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_____________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CURRENT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24, 2026 (July 23,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ARMOUR Residential REIT, Inc.</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left"/>
        <w:rPr/>
      </w:pPr>
      <w:r>
        <w:rPr/>
      </w:r>
    </w:p>
    <w:tbl>
      <w:tblPr>
        <w:tblW w:w="7617" w:type="dxa"/>
        <w:jc w:val="center"/>
        <w:tblInd w:w="0" w:type="dxa"/>
        <w:tblLayout w:type="fixed"/>
        <w:tblCellMar>
          <w:top w:w="28" w:type="dxa"/>
          <w:left w:w="28" w:type="dxa"/>
          <w:bottom w:w="28" w:type="dxa"/>
          <w:right w:w="28" w:type="dxa"/>
        </w:tblCellMar>
      </w:tblPr>
      <w:tblGrid>
        <w:gridCol w:w="829"/>
        <w:gridCol w:w="731"/>
        <w:gridCol w:w="734"/>
        <w:gridCol w:w="762"/>
        <w:gridCol w:w="762"/>
        <w:gridCol w:w="770"/>
        <w:gridCol w:w="884"/>
        <w:gridCol w:w="884"/>
        <w:gridCol w:w="1261"/>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001-34766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26-1908763</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720" w:type="dxa"/>
        <w:jc w:val="center"/>
        <w:tblInd w:w="0" w:type="dxa"/>
        <w:tblLayout w:type="fixed"/>
        <w:tblCellMar>
          <w:top w:w="28" w:type="dxa"/>
          <w:left w:w="28" w:type="dxa"/>
          <w:bottom w:w="28" w:type="dxa"/>
          <w:right w:w="28" w:type="dxa"/>
        </w:tblCellMar>
      </w:tblPr>
      <w:tblGrid>
        <w:gridCol w:w="623"/>
        <w:gridCol w:w="547"/>
        <w:gridCol w:w="547"/>
        <w:gridCol w:w="547"/>
        <w:gridCol w:w="547"/>
        <w:gridCol w:w="547"/>
        <w:gridCol w:w="109"/>
        <w:gridCol w:w="109"/>
        <w:gridCol w:w="109"/>
        <w:gridCol w:w="303"/>
        <w:gridCol w:w="303"/>
        <w:gridCol w:w="429"/>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 Ocean Drive, Suite 201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Vero Beach,</w:t>
            </w:r>
          </w:p>
        </w:tc>
        <w:tc>
          <w:tcPr>
            <w:tcW w:w="1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32963</w:t>
            </w:r>
          </w:p>
        </w:tc>
      </w:tr>
      <w:tr>
        <w:trPr/>
        <w:tc>
          <w:tcPr>
            <w:tcW w:w="33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(772) 617-4340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687"/>
        <w:gridCol w:w="1470"/>
        <w:gridCol w:w="1483"/>
        <w:gridCol w:w="109"/>
        <w:gridCol w:w="109"/>
        <w:gridCol w:w="109"/>
        <w:gridCol w:w="511"/>
        <w:gridCol w:w="508"/>
        <w:gridCol w:w="510"/>
        <w:gridCol w:w="109"/>
        <w:gridCol w:w="109"/>
        <w:gridCol w:w="109"/>
        <w:gridCol w:w="987"/>
        <w:gridCol w:w="987"/>
        <w:gridCol w:w="1408"/>
      </w:tblGrid>
      <w:tr>
        <w:trPr/>
        <w:tc>
          <w:tcPr>
            <w:tcW w:w="168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4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7.00% Series C Cumulative 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ARR-PRC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a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24, 2026, ARMOUR Residential REIT, Inc. (“ARMOUR” or the “Company”) entered into Amendment No. 8 (the “Eighth Sales Agreement Amendment”), pursuant to which ARMOUR increased by 25,000,000 the number of shares of common stock, par value $0.001 per share (“Common Stock”), that may be offered and sold under the Company's Equity Sales Agreement, dated July 26, 2023 (the “Sales Agreement”), with BUCKLER Securities LLC, an affiliate of the Company (“BUCKLER”), B. Riley Securities, Inc. (“B. Riley Securities”), Citizens JMP Securities LLC (“Citizens Capital Markets”), JonesTrading Institutional Services LLC (“Jones”) and Ladenburg Thalmann &amp; Co. Inc. (“Ladenburg Thalmann”), as sales agents, and the Company’s external manager, ARMOUR Capital Management LP, as amended by Amendment No. 1, dated October 25, 2023 (the “First Sales Agreement Amendment”), pursuant to which the Company added StockBlock Securities LLC (“StockBlock”) to the Sales Agreement, as further amended by Amendment No. 2, dated June 20, 2024 (the “Second Sales Agreement Amendment”), pursuant to which the Company added BTIG, LLC (“BTIG”) to the Sales Agreement, as further amended by Amendment No. 3, dated August 23, 2024 (the “Third Sales Agreement Amendment”), pursuant to which the number of shares of our common stock that may be offered and sold under the Sales Agreement was increased by 25,000,000, as further amended by Amendment No. 4, dated September 20, 2024 (the “Fourth Sales Agreement Amendment”), pursuant to which the Company added Janney Montgomery Scott LLC, as further amended by Amendment No. 5, dated February 13, 2025 (the “Fifth Sales Agreement Amendment”), pursuant to which the number of shares of our common stock that may be offered and sold under the Sales Agreement was increased by 15,000,000, as further amended by Amendment No. 6, dated July 25, 2025 (the “Sixth Sales Agreement Amendment”), pursuant to which the number of shares of our common stock that may be offered and sold under the Sales Agreement was increased by 9,500,000, as further amended by Amendment No. 7, dated January 28, 2026 (the “Seventh Sales Agreement Amendment”), pursuant to which (i) the number of shares of our common stock that may be offered and sold under the Sales Agreement was increased by 15,000,000 and (ii) Janney was removed as a sales agent and Huntington Securities, Inc. (“Huntington” and together with BUCKLER, B. Riley Securities, BTIG, Citizens Capital Markets, Jones, Ladenburg Thalmann and StockBlock, the “Agents”) was added as a sales agent. The purpose of the Eighth Sales Agreement Amendment was to increase the number of shares of Common Stock available under the Sales Agreement by 25,000,000 (as so amended, the “Amended Sales Agreement”). Pursuant to the Amended Sales Agreement, the Company may, from time to time, issue and sell up to 25,544,352 shares (the “Shares”) of the Company's Common Stock through or to the Agents. The Amended Sales Agreement includes the offer of 544,352 Shares that remained unsold under the Sales Agreement, as amended by the First Sales Agreement Amendment, the Second Sales Agreement Amendment, the Third Sales Agreement Amendment, the Fourth Sales Agreement Amendment, the Fifth Sales Agreement Amendment, the Sixth Sales Agreement Amendment, and the Seventh Sales Agreement Amendment, in addition to the offer of an additional 25,000,000 Shares.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Sales Agreement relates to an “at the market offering” program (the “Offering”) and the shares of Common Stock to be sold in the Offering will be issued pursuant to a prospectus supplement (the “ATM Prospectus Supplement”) filed with the Securities and Exchange Commission (the “SEC”) on July 24, 2026, in connection with the Company’s effective shelf registration statement on Form S-3 (Registration No. 333-278327). ARMOUR originally established the equity sales program on July 26, 2023 when it entered into the Sales Agreement, and filed a related prospectus supplement. ARMOUR entered into the First Sales Agreement Amendment on October 25, 2023 and filed a related prospectus supplement. ARMOUR entered into the Second Sales Agreement Amendment on June 20, 2024 and filed a related prospectus supplement. ARMOUR entered into the Third Sales Agreement Amendment on August 23, 2024 and filed a related prospectus supplement. ARMOUR entered into the Fourth Sales Agreement Amendment on September 20, 2024 and filed a related prospectus supplement. ARMOUR entered into the Fifth Sales Agreement Amendment on February 13, 2025 and filed a related prospectus supplement. ARMOUR entered into the Sixth Sales Agreement Amendment on July 25, 2025 and filed a related prospectus supplement. ARMOUR entered into the Seventh Sales Agreement Amendment on January 28, 2026 and filed a related prospectus supplement. The ATM Prospectus Supplement amends and restates in its entirety such related prospectus supplement and the Common Stock to which the ATM Prospectus Supplement relates is offered pursuant to the terms of the Amended Sales Agreement.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Eighth Sales Agreement Amendment is filed as Exhibit 1.1 to this Current Report on Form 8-K and is incorporated herein by reference. The foregoing description of the Eighth Sales Agreement Amendment and the transactions contemplated thereby is qualified in its entirety by reference to Exhibit 1.1.</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also filing this Current Report on Form 8-K to provide a legal opinion regarding the validity of the Shares to be issued and sold in the Offering, which opinion is attached hereto as Exhibit 5.1, and is incorporated herein by reference.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Forward Looking Statements Disclaimer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and the information incorporated herein contains “forward-looking statements” made pursuant to the safe harbor provisions of the Private Securities Litigation Reform Act of 1995. Forward-looking statements typically are identified by use of terms such as “believe,” “expect,” “anticipate,” “estimate,” “plan,” “continue,” “intend,” “should,” “may” or similar expressions. Forward-looking statements are based on the Company’s beliefs, assumptions and expectations of the Company’s future performance, taking into account all information currently available to the Company. The Company cannot assure you that actual results will not vary from the expectations contained in the forward-looking statements. All of the forward-looking statements are subject to numerous possible events, factors and conditions, many of which are beyond the control of the Company and not all of which are known to the Company, including, without limitation, market conditions and new laws and regulations and those described in the Company’s Annual Report on Form 10-K for the fiscal year ended December 31, 2025, which has been filed with the SEC. All forward-looking statements speak only as of the date on which they are made. New risks and uncertainties arise over time, and it is not possible to predict those events or how they may affect the Company or its stockholders. Except as required by law, the Company is not obligated to, and does not intend to, update or revise any forward-looking statements, whether as a result of new information, future events or otherwise, except a required by law.</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color w:val="000000"/>
          <w:sz w:val="20"/>
        </w:rPr>
      </w:pPr>
      <w:r>
        <w:rPr>
          <w:rFonts w:ascii="Times New Roman;serif" w:hAnsi="Times New Roman;serif"/>
          <w:b/>
          <w:color w:val="000000"/>
          <w:sz w:val="20"/>
        </w:rPr>
        <w:t>Item 5.03.    Amendments to Articles of Incorporation or Bylaws; Change in Fiscal Year</w:t>
      </w:r>
    </w:p>
    <w:p>
      <w:pPr>
        <w:pStyle w:val="TextBody"/>
        <w:bidi w:val="0"/>
        <w:spacing w:before="0" w:after="0"/>
        <w:ind w:left="0" w:right="0" w:firstLine="18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23, 2026, ARMOUR submitted Articles of Amendment with the State of Maryland to increase the number of authorized shares of common stock from 175,000,000 shares to 250,000,000 shares to be effective as of July 23, 2026. A copy of the Articles of Amendment is attached hereto as Exhibit 3.1 and incorporated herein by reference. </w:t>
      </w:r>
    </w:p>
    <w:p>
      <w:pPr>
        <w:pStyle w:val="TextBody"/>
        <w:bidi w:val="0"/>
        <w:spacing w:before="0" w:after="0"/>
        <w:ind w:left="0" w:right="0" w:firstLine="900"/>
        <w:jc w:val="left"/>
        <w:rPr/>
      </w:pPr>
      <w:r>
        <w:rPr/>
      </w:r>
    </w:p>
    <w:p>
      <w:pPr>
        <w:pStyle w:val="TextBody"/>
        <w:bidi w:val="0"/>
        <w:spacing w:lineRule="auto" w:line="288" w:before="0" w:after="0"/>
        <w:ind w:left="0" w:right="0" w:firstLine="18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color w:val="000000"/>
          <w:sz w:val="20"/>
          <w:u w:val="single"/>
        </w:rPr>
      </w:pPr>
      <w:r>
        <w:rPr>
          <w:rFonts w:ascii="Times New Roman;serif" w:hAnsi="Times New Roman;serif"/>
          <w:b/>
          <w:color w:val="000000"/>
          <w:sz w:val="20"/>
          <w:u w:val="single"/>
        </w:rPr>
        <w:t>Updated Material U.S. Federal Income Tax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filing as Exhibit 99.1 hereto (which is incorporated herein and in the Company’s Registration Statement on Form S-3 (Registration No. 333-278327) (the “Registration Statement”) and related prospectus and prospectus supplements thereto by reference), an updated summary of the material U.S. federal income tax considerations relating to the taxation of the Company as a real estate investment trust and the ownership and disposition of the capital stock of the Company for U.S. federal income tax purposes. The summary contained in Exhibit 99.1 replaces and supersedes in their entirety prior summaries of such material U.S. federal income tax considerations contained in the Registration Statement and related prospectus and prospectus supplements thereto to the extent that they are inconsistent with the summary contained in this Form 8-K. This summary is based on current law, is for general information only and is not tax advice.</w:t>
      </w:r>
    </w:p>
    <w:tbl>
      <w:tblPr>
        <w:tblW w:w="4034" w:type="dxa"/>
        <w:jc w:val="left"/>
        <w:tblInd w:w="0" w:type="dxa"/>
        <w:tblLayout w:type="fixed"/>
        <w:tblCellMar>
          <w:top w:w="28" w:type="dxa"/>
          <w:left w:w="28" w:type="dxa"/>
          <w:bottom w:w="28" w:type="dxa"/>
          <w:right w:w="28" w:type="dxa"/>
        </w:tblCellMar>
      </w:tblPr>
      <w:tblGrid>
        <w:gridCol w:w="347"/>
        <w:gridCol w:w="304"/>
        <w:gridCol w:w="308"/>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00" w:after="283"/>
        <w:jc w:val="left"/>
        <w:rPr>
          <w:color w:val="000000"/>
        </w:rPr>
      </w:pPr>
      <w:r>
        <w:rPr>
          <w:color w:val="000000"/>
        </w:rPr>
        <w:t> </w:t>
      </w: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16"/>
        <w:gridCol w:w="268"/>
        <w:gridCol w:w="269"/>
        <w:gridCol w:w="2813"/>
        <w:gridCol w:w="2695"/>
        <w:gridCol w:w="3844"/>
      </w:tblGrid>
      <w:tr>
        <w:trPr/>
        <w:tc>
          <w:tcPr>
            <w:tcW w:w="31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44" w:type="dxa"/>
            <w:tcBorders/>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9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93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uly2026prosuppexhibit11.htm">
              <w:r>
                <w:rPr>
                  <w:rStyle w:val="InternetLink"/>
                  <w:rFonts w:ascii="Times New Roman;serif" w:hAnsi="Times New Roman;serif"/>
                  <w:b w:val="false"/>
                  <w:color w:val="0000FF"/>
                  <w:sz w:val="20"/>
                  <w:u w:val="single"/>
                </w:rPr>
                <w:t>Amendment No. 8, dated July 24, 2026, by and among ARMOUR Residential REIT, Inc. and ARMOUR Capital Management LP, and BUCKLER Securities LLC, B. Riley Securities, Inc., BTIG, LLC, Citizens JMP Securities, LLC, JonesTrading Institutional Services LLC, Ladenburg Thalmann &amp; Co. Inc., StockBlock Securities LLC, and Huntington Securities, Inc.</w:t>
              </w:r>
            </w:hyperlink>
          </w:p>
        </w:tc>
      </w:tr>
      <w:tr>
        <w:trPr/>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articlesofamendme.htm">
              <w:r>
                <w:rPr>
                  <w:rStyle w:val="InternetLink"/>
                  <w:rFonts w:ascii="Times New Roman;serif" w:hAnsi="Times New Roman;serif"/>
                  <w:b w:val="false"/>
                  <w:color w:val="0000FF"/>
                  <w:sz w:val="20"/>
                  <w:u w:val="single"/>
                </w:rPr>
                <w:t>Articles of Amendment to Articles of Amendment and Restatement</w:t>
              </w:r>
            </w:hyperlink>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93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uly2026prosuppexhibit51.htm">
              <w:r>
                <w:rPr>
                  <w:rStyle w:val="InternetLink"/>
                  <w:rFonts w:ascii="Times New Roman;serif" w:hAnsi="Times New Roman;serif"/>
                  <w:b w:val="false"/>
                  <w:color w:val="0000FF"/>
                  <w:sz w:val="20"/>
                  <w:u w:val="single"/>
                </w:rPr>
                <w:t>Opinion of Holland &amp; Knight LLP</w:t>
              </w:r>
            </w:hyperlink>
          </w:p>
        </w:tc>
      </w:tr>
      <w:tr>
        <w:trPr/>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uly2026prosuppexhibit51.htm">
              <w:r>
                <w:rPr>
                  <w:rStyle w:val="InternetLink"/>
                  <w:rFonts w:ascii="Times New Roman;serif" w:hAnsi="Times New Roman;serif"/>
                  <w:b w:val="false"/>
                  <w:color w:val="0000FF"/>
                  <w:sz w:val="20"/>
                  <w:u w:val="single"/>
                </w:rPr>
                <w:t>Consent of Holland &amp; Knight LLP (included in Exhibit 5.1)</w:t>
              </w:r>
            </w:hyperlink>
          </w:p>
        </w:tc>
      </w:tr>
      <w:tr>
        <w:trPr/>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ulyprosuppexhibit991.htm">
              <w:r>
                <w:rPr>
                  <w:rStyle w:val="InternetLink"/>
                  <w:rFonts w:ascii="Times New Roman;serif" w:hAnsi="Times New Roman;serif"/>
                  <w:b w:val="false"/>
                  <w:color w:val="0000FF"/>
                  <w:sz w:val="20"/>
                  <w:u w:val="single"/>
                </w:rPr>
                <w:t>Material U.S. Federal Income Tax Considerations</w:t>
              </w:r>
            </w:hyperlink>
          </w:p>
        </w:tc>
      </w:tr>
      <w:tr>
        <w:trPr/>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24, 2026</w:t>
      </w:r>
    </w:p>
    <w:p>
      <w:pPr>
        <w:pStyle w:val="TextBody"/>
        <w:bidi w:val="0"/>
        <w:spacing w:before="0" w:after="0"/>
        <w:jc w:val="left"/>
        <w:rPr/>
      </w:pPr>
      <w:r>
        <w:rPr/>
      </w:r>
    </w:p>
    <w:tbl>
      <w:tblPr>
        <w:tblW w:w="4629" w:type="dxa"/>
        <w:jc w:val="left"/>
        <w:tblInd w:w="0" w:type="dxa"/>
        <w:tblLayout w:type="fixed"/>
        <w:tblCellMar>
          <w:top w:w="28" w:type="dxa"/>
          <w:left w:w="28" w:type="dxa"/>
          <w:bottom w:w="28" w:type="dxa"/>
          <w:right w:w="28" w:type="dxa"/>
        </w:tblCellMar>
      </w:tblPr>
      <w:tblGrid>
        <w:gridCol w:w="124"/>
        <w:gridCol w:w="109"/>
        <w:gridCol w:w="109"/>
        <w:gridCol w:w="359"/>
        <w:gridCol w:w="359"/>
        <w:gridCol w:w="359"/>
        <w:gridCol w:w="655"/>
        <w:gridCol w:w="655"/>
        <w:gridCol w:w="655"/>
        <w:gridCol w:w="359"/>
        <w:gridCol w:w="359"/>
        <w:gridCol w:w="5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ARMOUR RESIDENTIAL REIT,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right"/>
        <w:rPr>
          <w:rFonts w:ascii="Times New Roman;serif" w:hAnsi="Times New Roman;serif"/>
          <w:b/>
          <w:color w:val="000000"/>
          <w:sz w:val="24"/>
        </w:rPr>
      </w:pPr>
      <w:r>
        <w:rPr>
          <w:rFonts w:ascii="Times New Roman;serif" w:hAnsi="Times New Roman;serif"/>
          <w:b/>
          <w:color w:val="000000"/>
          <w:sz w:val="24"/>
        </w:rPr>
        <w:t>Exhibit 1.1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i/>
          <w:color w:val="000000"/>
          <w:sz w:val="24"/>
        </w:rPr>
      </w:pPr>
      <w:r>
        <w:rPr>
          <w:rFonts w:ascii="Times New Roman;serif" w:hAnsi="Times New Roman;serif"/>
          <w:b w:val="false"/>
          <w:i/>
          <w:color w:val="000000"/>
          <w:sz w:val="24"/>
        </w:rPr>
        <w:t>Execution Version</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AMENDMENT NO. 8 TO EQUITY SALES AGREEMENT </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July 24, 2026</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BUCKLER Securities LLC</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5 Greenwich Office Park, Suite 450</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Greenwich, CT 06831</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B. Riley Securities, Inc.</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299 Park Avenue, 21st Floor</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New York, New York 10171</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BTIG, LLC</w:t>
      </w:r>
    </w:p>
    <w:p>
      <w:pPr>
        <w:pStyle w:val="TextBody"/>
        <w:bidi w:val="0"/>
        <w:spacing w:lineRule="auto" w:line="268" w:before="0" w:after="0"/>
        <w:jc w:val="both"/>
        <w:rPr/>
      </w:pPr>
      <w:r>
        <w:rPr>
          <w:rFonts w:ascii="Times New Roman;serif" w:hAnsi="Times New Roman;serif"/>
          <w:b w:val="false"/>
          <w:color w:val="000000"/>
          <w:sz w:val="22"/>
        </w:rPr>
        <w:t>350 Bush Street, 9</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2"/>
        </w:rPr>
        <w:t>Floor</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San Francisco, CA 94104</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Citizens JMP Securities, LLC </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101 California Street, Suite 1700</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San Francisco, CA 94111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Huntington Securities, Inc.</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41 South High Street </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Columbus, Ohio 43215</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JonesTrading Institutional Services LLC</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325 Hudson St., 6th Floor</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New York, NY 10013</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Ladenburg Thalmann &amp; Co. Inc.</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640 5th Ave., 4th Floor</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New York, NY 10019</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StockBlock Securities LLC</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600 Lexington Avenue, 32nd Floor</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New York, New York 10022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before="0" w:after="0"/>
        <w:jc w:val="left"/>
        <w:rPr/>
      </w:pPr>
      <w:r>
        <w:rPr/>
      </w:r>
    </w:p>
    <w:p>
      <w:pPr>
        <w:pStyle w:val="TextBody"/>
        <w:bidi w:val="0"/>
        <w:spacing w:lineRule="auto" w:line="268"/>
        <w:ind w:left="0" w:right="0" w:firstLine="720"/>
        <w:jc w:val="both"/>
        <w:rPr/>
      </w:pPr>
      <w:r>
        <w:rPr>
          <w:rFonts w:ascii="Times New Roman;serif" w:hAnsi="Times New Roman;serif"/>
          <w:b w:val="false"/>
          <w:color w:val="000000"/>
          <w:sz w:val="22"/>
        </w:rPr>
        <w:t>ARMOUR Residential REIT, Inc., a Maryland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2"/>
        </w:rPr>
        <w:t>), together with ARMOUR Capital Management LP, a Delaware limited partnership (the “</w:t>
      </w:r>
      <w:r>
        <w:rPr>
          <w:rFonts w:ascii="Times New Roman;serif" w:hAnsi="Times New Roman;serif"/>
          <w:b w:val="false"/>
          <w:color w:val="000000"/>
          <w:sz w:val="24"/>
          <w:u w:val="single"/>
        </w:rPr>
        <w:t>Manager</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2"/>
        </w:rPr>
        <w:t>BUCKLER Securities LLC, B. Riley Securities, Inc., BTIG, LLC, Citizens JMP Securities, LLC, JonesTrading Institutional Services LLC, Ladenburg Thalmann &amp; Co. Inc., StockBlock Securities LLC and Huntington Securities, Inc (each an “</w:t>
      </w:r>
      <w:r>
        <w:rPr>
          <w:rFonts w:ascii="Times New Roman;serif" w:hAnsi="Times New Roman;serif"/>
          <w:b w:val="false"/>
          <w:color w:val="000000"/>
          <w:sz w:val="24"/>
          <w:u w:val="single"/>
        </w:rPr>
        <w:t>Agent</w:t>
      </w:r>
      <w:r>
        <w:rPr>
          <w:rFonts w:ascii="Times New Roman;serif" w:hAnsi="Times New Roman;serif"/>
          <w:b w:val="false"/>
          <w:color w:val="000000"/>
          <w:sz w:val="22"/>
        </w:rPr>
        <w:t>,” and collectively, the “</w:t>
      </w:r>
      <w:r>
        <w:rPr>
          <w:rFonts w:ascii="Times New Roman;serif" w:hAnsi="Times New Roman;serif"/>
          <w:b w:val="false"/>
          <w:color w:val="000000"/>
          <w:sz w:val="24"/>
          <w:u w:val="single"/>
        </w:rPr>
        <w:t>Agents</w:t>
      </w:r>
      <w:r>
        <w:rPr>
          <w:color w:val="000000"/>
        </w:rPr>
        <w:t>”</w:t>
      </w:r>
      <w:r>
        <w:rPr>
          <w:rFonts w:ascii="Times New Roman;serif" w:hAnsi="Times New Roman;serif"/>
          <w:b w:val="false"/>
          <w:color w:val="000000"/>
          <w:sz w:val="22"/>
        </w:rPr>
        <w:t xml:space="preserve">), are parties to that certain Equity Sales Agreement dated July 26, 2023 as amended by Amendment No. 1 to Equity Sales Agreement dated October 25, 2023, Amendment No. 2 to Equity Sales Agreement dated June 20, 2024, Amendment No. 3 to Equity Sales Agreement dated August 23, 2024, Amendment No. 4 to Equity Sales Agreement dated September 20, 2024, Amendment No. 5 to Equity Sales Agreement dated February 13, 2025, Amendment No. 6 to Equity Sales Agreement dated July 25, 2025 and Amendment No. 7 to Equity Sales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18185"/>
                <wp:effectExtent l="0" t="0" r="0" b="0"/>
                <wp:wrapNone/>
                <wp:docPr id="5" name="Frame5"/>
                <a:graphic xmlns:a="http://schemas.openxmlformats.org/drawingml/2006/main">
                  <a:graphicData uri="http://schemas.microsoft.com/office/word/2010/wordprocessingShape">
                    <wps:wsp>
                      <wps:cNvSpPr txBox="1"/>
                      <wps:spPr>
                        <a:xfrm>
                          <a:off x="0" y="0"/>
                          <a:ext cx="6480175" cy="71818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both"/>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both"/>
        <w:rPr/>
      </w:pPr>
      <w:r>
        <w:rPr>
          <w:rFonts w:ascii="Times New Roman;serif" w:hAnsi="Times New Roman;serif"/>
          <w:b w:val="false"/>
          <w:color w:val="000000"/>
          <w:sz w:val="22"/>
        </w:rPr>
        <w:t>dated January 28, 2026 (together, the “</w:t>
      </w:r>
      <w:r>
        <w:rPr>
          <w:rFonts w:ascii="Times New Roman;serif" w:hAnsi="Times New Roman;serif"/>
          <w:b w:val="false"/>
          <w:color w:val="000000"/>
          <w:sz w:val="24"/>
          <w:u w:val="single"/>
        </w:rPr>
        <w:t>Original Agreement</w:t>
      </w:r>
      <w:r>
        <w:rPr>
          <w:color w:val="000000"/>
        </w:rPr>
        <w:t>”</w:t>
      </w:r>
      <w:r>
        <w:rPr>
          <w:rFonts w:ascii="Times New Roman;serif" w:hAnsi="Times New Roman;serif"/>
          <w:b w:val="false"/>
          <w:color w:val="000000"/>
          <w:sz w:val="22"/>
        </w:rPr>
        <w:t>). All capitalized terms not defined herein shall have the meanings ascribed to them in the Original Agreement.</w:t>
      </w:r>
      <w:r>
        <w:rPr>
          <w:color w:val="000000"/>
        </w:rPr>
        <w:t xml:space="preserve"> </w:t>
      </w:r>
      <w:r>
        <w:rPr>
          <w:rFonts w:ascii="Times New Roman;serif" w:hAnsi="Times New Roman;serif"/>
          <w:b w:val="false"/>
          <w:color w:val="000000"/>
          <w:sz w:val="22"/>
        </w:rPr>
        <w:t>The Company, Manager and the Agents desire to amend the Original Agreement as set forth in this Amendment No. 8 thereto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2"/>
        </w:rPr>
        <w:t>) as follows:</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w:t>
      </w:r>
      <w:r>
        <w:rPr>
          <w:rFonts w:ascii="Times New Roman;serif" w:hAnsi="Times New Roman;serif"/>
          <w:b w:val="false"/>
          <w:color w:val="000000"/>
          <w:sz w:val="22"/>
        </w:rPr>
        <w:t>The first paragraph of the Original Agreement is hereby deleted in its entirety and replaced with the following:</w:t>
      </w:r>
    </w:p>
    <w:p>
      <w:pPr>
        <w:pStyle w:val="TextBody"/>
        <w:bidi w:val="0"/>
        <w:spacing w:before="0" w:after="0"/>
        <w:jc w:val="left"/>
        <w:rPr/>
      </w:pPr>
      <w:r>
        <w:rPr/>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2"/>
        </w:rPr>
        <w:t>ARMOUR Residential REIT, Inc., a Maryland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2"/>
        </w:rPr>
        <w:t xml:space="preserve">), that is </w:t>
      </w:r>
    </w:p>
    <w:p>
      <w:pPr>
        <w:pStyle w:val="TextBody"/>
        <w:bidi w:val="0"/>
        <w:spacing w:lineRule="auto" w:line="26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externally managed by ARMOUR Capital Management LP, a Delaware limited </w:t>
      </w:r>
    </w:p>
    <w:p>
      <w:pPr>
        <w:pStyle w:val="TextBody"/>
        <w:bidi w:val="0"/>
        <w:spacing w:lineRule="auto" w:line="268" w:before="0" w:after="0"/>
        <w:ind w:left="0" w:right="0" w:firstLine="1440"/>
        <w:jc w:val="both"/>
        <w:rPr/>
      </w:pPr>
      <w:r>
        <w:rPr>
          <w:rFonts w:ascii="Times New Roman;serif" w:hAnsi="Times New Roman;serif"/>
          <w:b w:val="false"/>
          <w:color w:val="000000"/>
          <w:sz w:val="22"/>
        </w:rPr>
        <w:t>partnership (the “</w:t>
      </w:r>
      <w:r>
        <w:rPr>
          <w:rFonts w:ascii="Times New Roman;serif" w:hAnsi="Times New Roman;serif"/>
          <w:b w:val="false"/>
          <w:color w:val="000000"/>
          <w:sz w:val="24"/>
          <w:u w:val="single"/>
        </w:rPr>
        <w:t>Manager</w:t>
      </w:r>
      <w:r>
        <w:rPr>
          <w:color w:val="000000"/>
        </w:rPr>
        <w:t>”</w:t>
      </w:r>
      <w:r>
        <w:rPr>
          <w:rFonts w:ascii="Times New Roman;serif" w:hAnsi="Times New Roman;serif"/>
          <w:b w:val="false"/>
          <w:color w:val="000000"/>
          <w:sz w:val="22"/>
        </w:rPr>
        <w:t xml:space="preserve">), proposes, subject to the terms and conditions stated herein, </w:t>
      </w:r>
    </w:p>
    <w:p>
      <w:pPr>
        <w:pStyle w:val="TextBody"/>
        <w:bidi w:val="0"/>
        <w:spacing w:lineRule="auto" w:line="26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to issue and sell from time to time to or through one or more of BUCKLER Securities </w:t>
      </w:r>
    </w:p>
    <w:p>
      <w:pPr>
        <w:pStyle w:val="TextBody"/>
        <w:bidi w:val="0"/>
        <w:spacing w:lineRule="auto" w:line="268" w:before="0" w:after="0"/>
        <w:ind w:left="0" w:right="0" w:firstLine="1440"/>
        <w:jc w:val="both"/>
        <w:rPr/>
      </w:pPr>
      <w:r>
        <w:rPr>
          <w:rFonts w:ascii="Times New Roman;serif" w:hAnsi="Times New Roman;serif"/>
          <w:b w:val="false"/>
          <w:color w:val="000000"/>
          <w:sz w:val="22"/>
        </w:rPr>
        <w:t>LLC (“</w:t>
      </w:r>
      <w:r>
        <w:rPr>
          <w:rFonts w:ascii="Times New Roman;serif" w:hAnsi="Times New Roman;serif"/>
          <w:b w:val="false"/>
          <w:color w:val="000000"/>
          <w:sz w:val="24"/>
          <w:u w:val="single"/>
        </w:rPr>
        <w:t>BUCKLER</w:t>
      </w:r>
      <w:r>
        <w:rPr>
          <w:color w:val="000000"/>
        </w:rPr>
        <w:t>”</w:t>
      </w:r>
      <w:r>
        <w:rPr>
          <w:rFonts w:ascii="Times New Roman;serif" w:hAnsi="Times New Roman;serif"/>
          <w:b w:val="false"/>
          <w:color w:val="000000"/>
          <w:sz w:val="22"/>
        </w:rPr>
        <w:t>), B. Riley Securities, Inc. (“</w:t>
      </w:r>
      <w:r>
        <w:rPr>
          <w:rFonts w:ascii="Times New Roman;serif" w:hAnsi="Times New Roman;serif"/>
          <w:b w:val="false"/>
          <w:color w:val="000000"/>
          <w:sz w:val="24"/>
          <w:u w:val="single"/>
        </w:rPr>
        <w:t>B. Riley Securities</w:t>
      </w:r>
      <w:r>
        <w:rPr>
          <w:color w:val="000000"/>
        </w:rPr>
        <w:t>”</w:t>
      </w:r>
      <w:r>
        <w:rPr>
          <w:rFonts w:ascii="Times New Roman;serif" w:hAnsi="Times New Roman;serif"/>
          <w:b w:val="false"/>
          <w:color w:val="000000"/>
          <w:sz w:val="22"/>
        </w:rPr>
        <w:t xml:space="preserve">), BTIG, LLC </w:t>
      </w:r>
    </w:p>
    <w:p>
      <w:pPr>
        <w:pStyle w:val="TextBody"/>
        <w:bidi w:val="0"/>
        <w:spacing w:lineRule="auto" w:line="268" w:before="0" w:after="0"/>
        <w:ind w:left="0" w:right="0" w:firstLine="1440"/>
        <w:jc w:val="both"/>
        <w:rPr/>
      </w:pPr>
      <w:r>
        <w:rPr>
          <w:rFonts w:ascii="Times New Roman;serif" w:hAnsi="Times New Roman;serif"/>
          <w:b w:val="false"/>
          <w:color w:val="000000"/>
          <w:sz w:val="22"/>
        </w:rPr>
        <w:t>(“</w:t>
      </w:r>
      <w:r>
        <w:rPr>
          <w:rFonts w:ascii="Times New Roman;serif" w:hAnsi="Times New Roman;serif"/>
          <w:b w:val="false"/>
          <w:color w:val="000000"/>
          <w:sz w:val="24"/>
          <w:u w:val="single"/>
        </w:rPr>
        <w:t>BTIG</w:t>
      </w:r>
      <w:r>
        <w:rPr>
          <w:color w:val="000000"/>
        </w:rPr>
        <w:t>”</w:t>
      </w:r>
      <w:r>
        <w:rPr>
          <w:rFonts w:ascii="Times New Roman;serif" w:hAnsi="Times New Roman;serif"/>
          <w:b w:val="false"/>
          <w:color w:val="000000"/>
          <w:sz w:val="22"/>
        </w:rPr>
        <w:t>), Citizens JMP Securities LLC (“</w:t>
      </w:r>
      <w:r>
        <w:rPr>
          <w:rFonts w:ascii="Times New Roman;serif" w:hAnsi="Times New Roman;serif"/>
          <w:b w:val="false"/>
          <w:color w:val="000000"/>
          <w:sz w:val="24"/>
          <w:u w:val="single"/>
        </w:rPr>
        <w:t>Citizens Capital Markets</w:t>
      </w:r>
      <w:r>
        <w:rPr>
          <w:color w:val="000000"/>
        </w:rPr>
        <w:t>”</w:t>
      </w:r>
      <w:r>
        <w:rPr>
          <w:rFonts w:ascii="Times New Roman;serif" w:hAnsi="Times New Roman;serif"/>
          <w:b w:val="false"/>
          <w:color w:val="000000"/>
          <w:sz w:val="22"/>
        </w:rPr>
        <w:t xml:space="preserve">), Huntington </w:t>
      </w:r>
    </w:p>
    <w:p>
      <w:pPr>
        <w:pStyle w:val="TextBody"/>
        <w:bidi w:val="0"/>
        <w:spacing w:lineRule="auto" w:line="268" w:before="0" w:after="0"/>
        <w:ind w:left="0" w:right="0" w:firstLine="1440"/>
        <w:jc w:val="both"/>
        <w:rPr/>
      </w:pPr>
      <w:r>
        <w:rPr>
          <w:rFonts w:ascii="Times New Roman;serif" w:hAnsi="Times New Roman;serif"/>
          <w:b w:val="false"/>
          <w:color w:val="000000"/>
          <w:sz w:val="22"/>
        </w:rPr>
        <w:t>Securities, Inc. (“</w:t>
      </w:r>
      <w:r>
        <w:rPr>
          <w:rFonts w:ascii="Times New Roman;serif" w:hAnsi="Times New Roman;serif"/>
          <w:b w:val="false"/>
          <w:color w:val="000000"/>
          <w:sz w:val="24"/>
          <w:u w:val="single"/>
        </w:rPr>
        <w:t>Huntington</w:t>
      </w:r>
      <w:r>
        <w:rPr>
          <w:color w:val="000000"/>
        </w:rPr>
        <w:t>”</w:t>
      </w:r>
      <w:r>
        <w:rPr>
          <w:rFonts w:ascii="Times New Roman;serif" w:hAnsi="Times New Roman;serif"/>
          <w:b w:val="false"/>
          <w:color w:val="000000"/>
          <w:sz w:val="22"/>
        </w:rPr>
        <w:t>), JonesTrading Institutional Services LLC (“</w:t>
      </w:r>
      <w:r>
        <w:rPr>
          <w:rFonts w:ascii="Times New Roman;serif" w:hAnsi="Times New Roman;serif"/>
          <w:b w:val="false"/>
          <w:color w:val="000000"/>
          <w:sz w:val="24"/>
          <w:u w:val="single"/>
        </w:rPr>
        <w:t>Jones</w:t>
      </w:r>
      <w:r>
        <w:rPr>
          <w:color w:val="000000"/>
        </w:rPr>
        <w:t>”</w:t>
      </w:r>
      <w:r>
        <w:rPr>
          <w:rFonts w:ascii="Times New Roman;serif" w:hAnsi="Times New Roman;serif"/>
          <w:b w:val="false"/>
          <w:color w:val="000000"/>
          <w:sz w:val="22"/>
        </w:rPr>
        <w:t xml:space="preserve">), </w:t>
      </w:r>
    </w:p>
    <w:p>
      <w:pPr>
        <w:pStyle w:val="TextBody"/>
        <w:bidi w:val="0"/>
        <w:spacing w:lineRule="auto" w:line="268" w:before="0" w:after="0"/>
        <w:ind w:left="0" w:right="0" w:firstLine="1440"/>
        <w:jc w:val="both"/>
        <w:rPr/>
      </w:pPr>
      <w:r>
        <w:rPr>
          <w:rFonts w:ascii="Times New Roman;serif" w:hAnsi="Times New Roman;serif"/>
          <w:b w:val="false"/>
          <w:color w:val="000000"/>
          <w:sz w:val="22"/>
        </w:rPr>
        <w:t>Ladenburg Thalmann &amp; Co. Inc. (“</w:t>
      </w:r>
      <w:r>
        <w:rPr>
          <w:rFonts w:ascii="Times New Roman;serif" w:hAnsi="Times New Roman;serif"/>
          <w:b w:val="false"/>
          <w:color w:val="000000"/>
          <w:sz w:val="24"/>
          <w:u w:val="single"/>
        </w:rPr>
        <w:t>Ladenburg</w:t>
      </w:r>
      <w:r>
        <w:rPr>
          <w:color w:val="000000"/>
        </w:rPr>
        <w:t>”</w:t>
      </w:r>
      <w:r>
        <w:rPr>
          <w:rFonts w:ascii="Times New Roman;serif" w:hAnsi="Times New Roman;serif"/>
          <w:b w:val="false"/>
          <w:color w:val="000000"/>
          <w:sz w:val="22"/>
        </w:rPr>
        <w:t xml:space="preserve">) and StockBlock Securities LLC </w:t>
      </w:r>
    </w:p>
    <w:p>
      <w:pPr>
        <w:pStyle w:val="TextBody"/>
        <w:bidi w:val="0"/>
        <w:spacing w:lineRule="auto" w:line="268" w:before="0" w:after="0"/>
        <w:ind w:left="0" w:right="0" w:firstLine="1440"/>
        <w:jc w:val="both"/>
        <w:rPr/>
      </w:pPr>
      <w:r>
        <w:rPr>
          <w:rFonts w:ascii="Times New Roman;serif" w:hAnsi="Times New Roman;serif"/>
          <w:b w:val="false"/>
          <w:color w:val="000000"/>
          <w:sz w:val="22"/>
        </w:rPr>
        <w:t>(“</w:t>
      </w:r>
      <w:r>
        <w:rPr>
          <w:rFonts w:ascii="Times New Roman;serif" w:hAnsi="Times New Roman;serif"/>
          <w:b w:val="false"/>
          <w:color w:val="000000"/>
          <w:sz w:val="24"/>
          <w:u w:val="single"/>
        </w:rPr>
        <w:t>StockBlock</w:t>
      </w:r>
      <w:r>
        <w:rPr>
          <w:color w:val="000000"/>
        </w:rPr>
        <w:t>”</w:t>
      </w:r>
      <w:r>
        <w:rPr>
          <w:rFonts w:ascii="Times New Roman;serif" w:hAnsi="Times New Roman;serif"/>
          <w:b w:val="false"/>
          <w:color w:val="000000"/>
          <w:sz w:val="22"/>
        </w:rPr>
        <w:t xml:space="preserve">; and together with BUCKLER, B. Riley Securities, BTIG, Citizens </w:t>
      </w:r>
    </w:p>
    <w:p>
      <w:pPr>
        <w:pStyle w:val="TextBody"/>
        <w:bidi w:val="0"/>
        <w:spacing w:lineRule="auto" w:line="268" w:before="0" w:after="0"/>
        <w:ind w:left="0" w:right="0" w:firstLine="1440"/>
        <w:jc w:val="both"/>
        <w:rPr/>
      </w:pPr>
      <w:r>
        <w:rPr>
          <w:rFonts w:ascii="Times New Roman;serif" w:hAnsi="Times New Roman;serif"/>
          <w:b w:val="false"/>
          <w:color w:val="000000"/>
          <w:sz w:val="22"/>
        </w:rPr>
        <w:t>Capital Markets, Huntington, Jones and Ladenburg, the “</w:t>
      </w:r>
      <w:r>
        <w:rPr>
          <w:rFonts w:ascii="Times New Roman;serif" w:hAnsi="Times New Roman;serif"/>
          <w:b w:val="false"/>
          <w:color w:val="000000"/>
          <w:sz w:val="24"/>
          <w:u w:val="single"/>
        </w:rPr>
        <w:t>Agents</w:t>
      </w:r>
      <w:r>
        <w:rPr>
          <w:color w:val="000000"/>
        </w:rPr>
        <w:t>”</w:t>
      </w:r>
      <w:r>
        <w:rPr>
          <w:rFonts w:ascii="Times New Roman;serif" w:hAnsi="Times New Roman;serif"/>
          <w:b w:val="false"/>
          <w:color w:val="000000"/>
          <w:sz w:val="22"/>
        </w:rPr>
        <w:t>), shares (the “</w:t>
      </w:r>
      <w:r>
        <w:rPr>
          <w:rFonts w:ascii="Times New Roman;serif" w:hAnsi="Times New Roman;serif"/>
          <w:b w:val="false"/>
          <w:color w:val="000000"/>
          <w:sz w:val="24"/>
          <w:u w:val="single"/>
        </w:rPr>
        <w:t>Shares</w:t>
      </w:r>
      <w:r>
        <w:rPr>
          <w:color w:val="000000"/>
        </w:rPr>
        <w:t>”</w:t>
      </w:r>
      <w:r>
        <w:rPr>
          <w:rFonts w:ascii="Times New Roman;serif" w:hAnsi="Times New Roman;serif"/>
          <w:b w:val="false"/>
          <w:color w:val="000000"/>
          <w:sz w:val="22"/>
        </w:rPr>
        <w:t xml:space="preserve">) </w:t>
      </w:r>
    </w:p>
    <w:p>
      <w:pPr>
        <w:pStyle w:val="TextBody"/>
        <w:bidi w:val="0"/>
        <w:spacing w:lineRule="auto" w:line="268" w:before="0" w:after="0"/>
        <w:ind w:left="0" w:right="0" w:firstLine="1440"/>
        <w:jc w:val="both"/>
        <w:rPr/>
      </w:pPr>
      <w:r>
        <w:rPr>
          <w:rFonts w:ascii="Times New Roman;serif" w:hAnsi="Times New Roman;serif"/>
          <w:b w:val="false"/>
          <w:color w:val="000000"/>
          <w:sz w:val="22"/>
        </w:rPr>
        <w:t>of the Company’s common stock, $0.001 par value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2"/>
        </w:rPr>
        <w:t xml:space="preserve">), in an </w:t>
      </w:r>
    </w:p>
    <w:p>
      <w:pPr>
        <w:pStyle w:val="TextBody"/>
        <w:bidi w:val="0"/>
        <w:spacing w:lineRule="auto" w:line="26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aggregate amount up to 25,544,352 Shares, on the terms set forth in this agreement (the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2.</w:t>
      </w:r>
      <w:r>
        <w:rPr>
          <w:rFonts w:ascii="Times New Roman;serif" w:hAnsi="Times New Roman;serif"/>
          <w:b w:val="false"/>
          <w:color w:val="000000"/>
          <w:sz w:val="22"/>
        </w:rPr>
        <w:t>Except as specifically set forth herein, all other provisions of the Original Agreement shall remain in full force and effect.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3.This Amendment together with the Original Agreement (including all exhibits attached hereto) constitutes the entire agreement and supersedes all other prior and contemporaneous agreements and undertakings, both written and oral, among the parties hereto with regard to the subject matter hereof. Neither this Amendment nor any term hereof may be amended except pursuant to a written instrument executed by the Company, Manager and the Agents.</w:t>
      </w:r>
      <w:r>
        <w:rPr>
          <w:color w:val="000000"/>
        </w:rPr>
        <w:t xml:space="preserve"> </w:t>
      </w:r>
      <w:r>
        <w:rPr>
          <w:rFonts w:ascii="Times New Roman;serif" w:hAnsi="Times New Roman;serif"/>
          <w:b w:val="false"/>
          <w:color w:val="000000"/>
          <w:sz w:val="22"/>
        </w:rPr>
        <w:t xml:space="preserve">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Amendment. All references in the Original Agreement to the “Agreement” shall mean the Original Agreement as amended by this Amendment; </w:t>
      </w:r>
      <w:r>
        <w:rPr>
          <w:rFonts w:ascii="Times New Roman;serif" w:hAnsi="Times New Roman;serif"/>
          <w:b w:val="false"/>
          <w:i/>
          <w:color w:val="000000"/>
          <w:sz w:val="24"/>
        </w:rPr>
        <w:t>provided, however</w:t>
      </w:r>
      <w:r>
        <w:rPr>
          <w:rFonts w:ascii="Times New Roman;serif" w:hAnsi="Times New Roman;serif"/>
          <w:b w:val="false"/>
          <w:color w:val="000000"/>
          <w:sz w:val="22"/>
        </w:rPr>
        <w:t>, that all references to “date of this Agreement” in the Original Agreement shall continue to refer to the date of the Original Agreement.</w:t>
      </w:r>
    </w:p>
    <w:p>
      <w:pPr>
        <w:pStyle w:val="TextBody"/>
        <w:bidi w:val="0"/>
        <w:spacing w:before="0" w:after="0"/>
        <w:jc w:val="both"/>
        <w:rPr/>
      </w:pPr>
      <w:r>
        <w:rPr/>
      </w:r>
    </w:p>
    <w:p>
      <w:pPr>
        <w:pStyle w:val="TextBody"/>
        <w:bidi w:val="0"/>
        <w:spacing w:lineRule="auto" w:line="268"/>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4.EACH OF THE COMPANY (ON ITS BEHALF AND, TO THE EXTENT PERMITTED BY APPLICABLE LAW, ON BEHALF OF ITS STOCKHOLDERS AND AFFILIATES), THE MANAGER AND THE AGENTS HEREBY IRREVOCABLY WAIVES, TO THE FULLEST EXTENT PERMITTED BY APPLICABLE LAW, ANY AND ALL RIGHT TO TRIAL BY JURY IN ANY LEGAL PROCEEDING ARISING OUT OF OR RELATING TO THIS AMENDMENT OR THE TRANSACTIONS CONTEMPLATED HEREBY.</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5.THIS AMENDMENT AND ANY CLAIM, CONTROVERSY OR DISPUTE ARISING UNDER OR RELATED TO THIS AMENDMENT SHALL BE GOVERNED BY, AND CONSTRUED IN ACCORDANCE WITH THE LAWS OF, THE STATE OF NEW YORK WITHOUT REGARD TO ITS CHOICE OF LAW PROVISIONS.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6.Each of the Company, the Manager and the Agents agrees that any legal suit, action or proceeding arising out of or based upon this Amendment or the transactions contemplated hereby (“</w:t>
      </w:r>
      <w:r>
        <w:rPr>
          <w:rFonts w:ascii="Times New Roman;serif" w:hAnsi="Times New Roman;serif"/>
          <w:b w:val="false"/>
          <w:color w:val="000000"/>
          <w:sz w:val="24"/>
          <w:u w:val="single"/>
        </w:rPr>
        <w:t>Related Proceedings</w:t>
      </w:r>
      <w:r>
        <w:rPr>
          <w:color w:val="000000"/>
        </w:rPr>
        <w:t>”</w:t>
      </w:r>
      <w:r>
        <w:rPr>
          <w:rFonts w:ascii="Times New Roman;serif" w:hAnsi="Times New Roman;serif"/>
          <w:b w:val="false"/>
          <w:color w:val="000000"/>
          <w:sz w:val="22"/>
        </w:rPr>
        <w:t>)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serif" w:hAnsi="Times New Roman;serif"/>
          <w:b w:val="false"/>
          <w:color w:val="000000"/>
          <w:sz w:val="24"/>
          <w:u w:val="single"/>
        </w:rPr>
        <w:t>Specified Courts</w:t>
      </w:r>
      <w:r>
        <w:rPr>
          <w:color w:val="000000"/>
        </w:rPr>
        <w:t>”</w:t>
      </w:r>
      <w:r>
        <w:rPr>
          <w:rFonts w:ascii="Times New Roman;serif" w:hAnsi="Times New Roman;serif"/>
          <w:b w:val="false"/>
          <w:color w:val="000000"/>
          <w:sz w:val="22"/>
        </w:rPr>
        <w:t>), and irrevocably submits to the exclusive jurisdiction (except for proceedings instituted in regard to the enforcement of a judgment of any Specified Court, as to which such jurisdiction is non-exclusive) of the Specified Courts in any such suit, action or proceeding. Service of any process, summons, notice or document by mail to a party’s address set forth in Section 10 of the Original Agreement, as amended by this Amendment, shall be effective service of process upon such party for any suit, action or proceeding brought in any Specified Court. Each of the Company, the Manager and the Agents irrevocably and unconditionally waives any objection to the laying of venue of any suit, action or proceeding in the Specified Courts and irrevocably and unconditionally waives and agrees not to plead or claim in any Specified Court that any such suit, action or proceeding brought in any Specified Court has been brought in an inconvenient forum.</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7.This Amendment may be executed in two or more counterparts, each of which shall be deemed an original, but all of which together shall constitute one and the same instrument. Delivery of an executed amendment by one party to the other may be made by facsimile transmission or electronic transmission (e.g., PDF).</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[Remainder of Page Intentionally Blank]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ind w:left="0" w:right="0" w:firstLine="720"/>
        <w:jc w:val="both"/>
        <w:rPr/>
      </w:pPr>
      <w:r>
        <w:rPr>
          <w:rFonts w:ascii="Times New Roman;serif" w:hAnsi="Times New Roman;serif"/>
          <w:b w:val="false"/>
          <w:color w:val="000000"/>
          <w:sz w:val="22"/>
        </w:rPr>
        <w:t>If the foregoing correctly sets forth the understanding between the Company, the Manager and the Agents, please so indicate in the space provided below for that purpose, whereupon this Amendment shall constitute a binding amendment to the Original Agreement between the Company, the Manager and the Agents.</w:t>
      </w:r>
      <w:r>
        <w:rPr>
          <w:color w:val="000000"/>
        </w:rPr>
        <w:t xml:space="preserve"> </w:t>
      </w:r>
    </w:p>
    <w:p>
      <w:pPr>
        <w:pStyle w:val="TextBody"/>
        <w:bidi w:val="0"/>
        <w:spacing w:lineRule="auto" w:line="268" w:before="0" w:after="0"/>
        <w:ind w:left="0" w:right="0" w:firstLine="4770"/>
        <w:jc w:val="left"/>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before="0" w:after="0"/>
        <w:ind w:left="0" w:right="0" w:firstLine="4770"/>
        <w:jc w:val="left"/>
        <w:rPr/>
      </w:pPr>
      <w:r>
        <w:rPr/>
      </w:r>
    </w:p>
    <w:p>
      <w:pPr>
        <w:pStyle w:val="TextBody"/>
        <w:bidi w:val="0"/>
        <w:spacing w:lineRule="auto" w:line="288" w:before="0" w:after="120"/>
        <w:ind w:left="0" w:right="0" w:firstLine="4770"/>
        <w:jc w:val="left"/>
        <w:rPr>
          <w:rFonts w:ascii="Times New Roman;serif" w:hAnsi="Times New Roman;serif"/>
          <w:b/>
          <w:color w:val="000000"/>
          <w:sz w:val="22"/>
        </w:rPr>
      </w:pPr>
      <w:r>
        <w:rPr>
          <w:rFonts w:ascii="Times New Roman;serif" w:hAnsi="Times New Roman;serif"/>
          <w:b/>
          <w:color w:val="000000"/>
          <w:sz w:val="22"/>
        </w:rPr>
        <w:t>BUCKLER SECURITIES LLC</w:t>
      </w:r>
    </w:p>
    <w:p>
      <w:pPr>
        <w:pStyle w:val="TextBody"/>
        <w:bidi w:val="0"/>
        <w:spacing w:lineRule="auto" w:line="268" w:before="0" w:after="0"/>
        <w:ind w:left="0" w:right="0" w:firstLine="477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Richard Misiano</w:t>
      </w:r>
      <w:r>
        <w:rPr>
          <w:rFonts w:ascii="Times New Roman;serif" w:hAnsi="Times New Roman;serif"/>
          <w:b w:val="false"/>
          <w:color w:val="000000"/>
          <w:sz w:val="22"/>
        </w:rPr>
        <w:t>________________</w:t>
      </w:r>
    </w:p>
    <w:p>
      <w:pPr>
        <w:pStyle w:val="TextBody"/>
        <w:bidi w:val="0"/>
        <w:spacing w:lineRule="auto" w:line="288" w:before="0" w:after="0"/>
        <w:ind w:left="0" w:right="0" w:firstLine="4770"/>
        <w:jc w:val="left"/>
        <w:rPr>
          <w:rFonts w:ascii="Times New Roman;serif" w:hAnsi="Times New Roman;serif"/>
          <w:b w:val="false"/>
          <w:color w:val="000000"/>
          <w:sz w:val="22"/>
        </w:rPr>
      </w:pPr>
      <w:r>
        <w:rPr>
          <w:rFonts w:ascii="Times New Roman;serif" w:hAnsi="Times New Roman;serif"/>
          <w:b w:val="false"/>
          <w:color w:val="000000"/>
          <w:sz w:val="22"/>
        </w:rPr>
        <w:t>Name: Richard Misiano</w:t>
      </w:r>
    </w:p>
    <w:p>
      <w:pPr>
        <w:pStyle w:val="TextBody"/>
        <w:bidi w:val="0"/>
        <w:spacing w:lineRule="auto" w:line="288" w:before="0" w:after="120"/>
        <w:ind w:left="0" w:right="0" w:firstLine="4770"/>
        <w:jc w:val="left"/>
        <w:rPr>
          <w:rFonts w:ascii="Times New Roman;serif" w:hAnsi="Times New Roman;serif"/>
          <w:b w:val="false"/>
          <w:color w:val="000000"/>
          <w:sz w:val="22"/>
        </w:rPr>
      </w:pPr>
      <w:r>
        <w:rPr>
          <w:rFonts w:ascii="Times New Roman;serif" w:hAnsi="Times New Roman;serif"/>
          <w:b w:val="false"/>
          <w:color w:val="000000"/>
          <w:sz w:val="22"/>
        </w:rPr>
        <w:t>Title: CEO</w:t>
      </w:r>
    </w:p>
    <w:p>
      <w:pPr>
        <w:pStyle w:val="TextBody"/>
        <w:bidi w:val="0"/>
        <w:spacing w:before="0" w:after="0"/>
        <w:ind w:left="0" w:right="0" w:firstLine="4770"/>
        <w:jc w:val="left"/>
        <w:rPr/>
      </w:pPr>
      <w:r>
        <w:rPr/>
      </w:r>
    </w:p>
    <w:p>
      <w:pPr>
        <w:pStyle w:val="TextBody"/>
        <w:bidi w:val="0"/>
        <w:spacing w:lineRule="auto" w:line="288" w:before="0" w:after="120"/>
        <w:ind w:left="0" w:right="0" w:firstLine="4770"/>
        <w:jc w:val="left"/>
        <w:rPr>
          <w:rFonts w:ascii="Times New Roman;serif" w:hAnsi="Times New Roman;serif"/>
          <w:b/>
          <w:color w:val="000000"/>
          <w:sz w:val="22"/>
        </w:rPr>
      </w:pPr>
      <w:r>
        <w:rPr>
          <w:rFonts w:ascii="Times New Roman;serif" w:hAnsi="Times New Roman;serif"/>
          <w:b/>
          <w:color w:val="000000"/>
          <w:sz w:val="22"/>
        </w:rPr>
        <w:t>B. RILEY SECURITIES, INC.</w:t>
      </w:r>
    </w:p>
    <w:p>
      <w:pPr>
        <w:pStyle w:val="TextBody"/>
        <w:bidi w:val="0"/>
        <w:spacing w:lineRule="auto" w:line="268" w:before="0" w:after="0"/>
        <w:ind w:left="0" w:right="0" w:firstLine="477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Michael Cavanagh </w:t>
      </w:r>
      <w:r>
        <w:rPr>
          <w:rFonts w:ascii="Times New Roman;serif" w:hAnsi="Times New Roman;serif"/>
          <w:b w:val="false"/>
          <w:color w:val="000000"/>
          <w:sz w:val="22"/>
        </w:rPr>
        <w:t>________________</w:t>
      </w:r>
    </w:p>
    <w:p>
      <w:pPr>
        <w:pStyle w:val="TextBody"/>
        <w:bidi w:val="0"/>
        <w:spacing w:lineRule="auto" w:line="288" w:before="0" w:after="0"/>
        <w:ind w:left="0" w:right="0" w:firstLine="4770"/>
        <w:jc w:val="left"/>
        <w:rPr>
          <w:rFonts w:ascii="Times New Roman;serif" w:hAnsi="Times New Roman;serif"/>
          <w:b w:val="false"/>
          <w:color w:val="000000"/>
          <w:sz w:val="22"/>
        </w:rPr>
      </w:pPr>
      <w:r>
        <w:rPr>
          <w:rFonts w:ascii="Times New Roman;serif" w:hAnsi="Times New Roman;serif"/>
          <w:b w:val="false"/>
          <w:color w:val="000000"/>
          <w:sz w:val="22"/>
        </w:rPr>
        <w:t>Name: Michael Cavanagh</w:t>
      </w:r>
    </w:p>
    <w:p>
      <w:pPr>
        <w:pStyle w:val="TextBody"/>
        <w:bidi w:val="0"/>
        <w:spacing w:lineRule="auto" w:line="288" w:before="0" w:after="120"/>
        <w:ind w:left="0" w:right="0" w:firstLine="4770"/>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p>
      <w:pPr>
        <w:pStyle w:val="TextBody"/>
        <w:bidi w:val="0"/>
        <w:spacing w:lineRule="auto" w:line="268" w:before="0" w:after="120"/>
        <w:ind w:left="0" w:right="0" w:firstLine="4770"/>
        <w:jc w:val="left"/>
        <w:rPr>
          <w:rFonts w:ascii="Times New Roman;serif" w:hAnsi="Times New Roman;serif"/>
          <w:b/>
          <w:color w:val="000000"/>
          <w:sz w:val="22"/>
        </w:rPr>
      </w:pPr>
      <w:r>
        <w:rPr>
          <w:rFonts w:ascii="Times New Roman;serif" w:hAnsi="Times New Roman;serif"/>
          <w:b/>
          <w:color w:val="000000"/>
          <w:sz w:val="22"/>
        </w:rPr>
        <w:t>BTIG, LLC</w:t>
      </w:r>
    </w:p>
    <w:p>
      <w:pPr>
        <w:pStyle w:val="TextBody"/>
        <w:bidi w:val="0"/>
        <w:spacing w:lineRule="auto" w:line="268" w:before="0" w:after="0"/>
        <w:ind w:left="0" w:right="0" w:firstLine="477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Tosh Chandra </w:t>
      </w:r>
      <w:r>
        <w:rPr>
          <w:rFonts w:ascii="Times New Roman;serif" w:hAnsi="Times New Roman;serif"/>
          <w:b w:val="false"/>
          <w:color w:val="000000"/>
          <w:sz w:val="22"/>
        </w:rPr>
        <w:t>________________</w:t>
      </w:r>
    </w:p>
    <w:p>
      <w:pPr>
        <w:pStyle w:val="TextBody"/>
        <w:bidi w:val="0"/>
        <w:spacing w:lineRule="auto" w:line="288" w:before="0" w:after="0"/>
        <w:ind w:left="0" w:right="0" w:firstLine="4770"/>
        <w:jc w:val="left"/>
        <w:rPr>
          <w:rFonts w:ascii="Times New Roman;serif" w:hAnsi="Times New Roman;serif"/>
          <w:b w:val="false"/>
          <w:color w:val="000000"/>
          <w:sz w:val="22"/>
        </w:rPr>
      </w:pPr>
      <w:r>
        <w:rPr>
          <w:rFonts w:ascii="Times New Roman;serif" w:hAnsi="Times New Roman;serif"/>
          <w:b w:val="false"/>
          <w:color w:val="000000"/>
          <w:sz w:val="22"/>
        </w:rPr>
        <w:t>Name: Tosh Chandra</w:t>
      </w:r>
    </w:p>
    <w:p>
      <w:pPr>
        <w:pStyle w:val="TextBody"/>
        <w:bidi w:val="0"/>
        <w:spacing w:lineRule="auto" w:line="288" w:before="0" w:after="120"/>
        <w:ind w:left="0" w:right="0" w:firstLine="4770"/>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p>
      <w:pPr>
        <w:pStyle w:val="TextBody"/>
        <w:bidi w:val="0"/>
        <w:spacing w:lineRule="auto" w:line="268" w:before="0" w:after="120"/>
        <w:ind w:left="0" w:right="0" w:firstLine="4770"/>
        <w:jc w:val="left"/>
        <w:rPr>
          <w:rFonts w:ascii="Times New Roman;serif" w:hAnsi="Times New Roman;serif"/>
          <w:b/>
          <w:color w:val="000000"/>
          <w:sz w:val="22"/>
        </w:rPr>
      </w:pPr>
      <w:r>
        <w:rPr>
          <w:rFonts w:ascii="Times New Roman;serif" w:hAnsi="Times New Roman;serif"/>
          <w:b/>
          <w:color w:val="000000"/>
          <w:sz w:val="22"/>
        </w:rPr>
        <w:t xml:space="preserve">CITIZENS JMP SECURITIES, LLC </w:t>
      </w:r>
    </w:p>
    <w:p>
      <w:pPr>
        <w:pStyle w:val="TextBody"/>
        <w:bidi w:val="0"/>
        <w:spacing w:lineRule="auto" w:line="268" w:before="0" w:after="0"/>
        <w:ind w:left="0" w:right="0" w:firstLine="477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Mark Timperman</w:t>
      </w:r>
      <w:r>
        <w:rPr>
          <w:rFonts w:ascii="Times New Roman;serif" w:hAnsi="Times New Roman;serif"/>
          <w:b w:val="false"/>
          <w:color w:val="000000"/>
          <w:sz w:val="22"/>
        </w:rPr>
        <w:t>________________</w:t>
      </w:r>
    </w:p>
    <w:p>
      <w:pPr>
        <w:pStyle w:val="TextBody"/>
        <w:bidi w:val="0"/>
        <w:spacing w:lineRule="auto" w:line="288" w:before="0" w:after="0"/>
        <w:ind w:left="0" w:right="0" w:firstLine="4770"/>
        <w:jc w:val="left"/>
        <w:rPr>
          <w:rFonts w:ascii="Times New Roman;serif" w:hAnsi="Times New Roman;serif"/>
          <w:b w:val="false"/>
          <w:color w:val="000000"/>
          <w:sz w:val="22"/>
        </w:rPr>
      </w:pPr>
      <w:r>
        <w:rPr>
          <w:rFonts w:ascii="Times New Roman;serif" w:hAnsi="Times New Roman;serif"/>
          <w:b w:val="false"/>
          <w:color w:val="000000"/>
          <w:sz w:val="22"/>
        </w:rPr>
        <w:t>Name: Mark Timperman</w:t>
      </w:r>
    </w:p>
    <w:p>
      <w:pPr>
        <w:pStyle w:val="TextBody"/>
        <w:bidi w:val="0"/>
        <w:spacing w:lineRule="auto" w:line="288" w:before="0" w:after="120"/>
        <w:ind w:left="0" w:right="0" w:firstLine="4770"/>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p>
      <w:pPr>
        <w:pStyle w:val="TextBody"/>
        <w:bidi w:val="0"/>
        <w:spacing w:lineRule="auto" w:line="268" w:before="0" w:after="0"/>
        <w:ind w:left="0" w:right="0" w:firstLine="4770"/>
        <w:jc w:val="left"/>
        <w:rPr>
          <w:rFonts w:ascii="Times New Roman;serif" w:hAnsi="Times New Roman;serif"/>
          <w:b/>
          <w:color w:val="000000"/>
          <w:sz w:val="22"/>
        </w:rPr>
      </w:pPr>
      <w:r>
        <w:rPr>
          <w:rFonts w:ascii="Times New Roman;serif" w:hAnsi="Times New Roman;serif"/>
          <w:b/>
          <w:color w:val="000000"/>
          <w:sz w:val="22"/>
        </w:rPr>
        <w:t>HUNTINGTON SECURITIES, INC.</w:t>
      </w:r>
    </w:p>
    <w:p>
      <w:pPr>
        <w:pStyle w:val="TextBody"/>
        <w:bidi w:val="0"/>
        <w:spacing w:before="0" w:after="0"/>
        <w:ind w:left="0" w:right="0" w:firstLine="4770"/>
        <w:jc w:val="left"/>
        <w:rPr/>
      </w:pPr>
      <w:r>
        <w:rPr/>
      </w:r>
    </w:p>
    <w:p>
      <w:pPr>
        <w:pStyle w:val="TextBody"/>
        <w:bidi w:val="0"/>
        <w:spacing w:lineRule="auto" w:line="268" w:before="0" w:after="0"/>
        <w:ind w:left="0" w:right="0" w:firstLine="477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Peter Dippolito</w:t>
      </w:r>
      <w:r>
        <w:rPr>
          <w:rFonts w:ascii="Times New Roman;serif" w:hAnsi="Times New Roman;serif"/>
          <w:b w:val="false"/>
          <w:color w:val="000000"/>
          <w:sz w:val="22"/>
        </w:rPr>
        <w:t>________________</w:t>
      </w:r>
    </w:p>
    <w:p>
      <w:pPr>
        <w:pStyle w:val="TextBody"/>
        <w:bidi w:val="0"/>
        <w:spacing w:lineRule="auto" w:line="288" w:before="0" w:after="0"/>
        <w:ind w:left="0" w:right="0" w:firstLine="4770"/>
        <w:jc w:val="left"/>
        <w:rPr>
          <w:rFonts w:ascii="Times New Roman;serif" w:hAnsi="Times New Roman;serif"/>
          <w:b w:val="false"/>
          <w:color w:val="000000"/>
          <w:sz w:val="22"/>
        </w:rPr>
      </w:pPr>
      <w:r>
        <w:rPr>
          <w:rFonts w:ascii="Times New Roman;serif" w:hAnsi="Times New Roman;serif"/>
          <w:b w:val="false"/>
          <w:color w:val="000000"/>
          <w:sz w:val="22"/>
        </w:rPr>
        <w:t>Name: Peter Dippolito</w:t>
      </w:r>
    </w:p>
    <w:p>
      <w:pPr>
        <w:pStyle w:val="TextBody"/>
        <w:bidi w:val="0"/>
        <w:spacing w:lineRule="auto" w:line="288" w:before="0" w:after="120"/>
        <w:ind w:left="0" w:right="0" w:firstLine="4770"/>
        <w:jc w:val="left"/>
        <w:rPr>
          <w:rFonts w:ascii="Times New Roman;serif" w:hAnsi="Times New Roman;serif"/>
          <w:b w:val="false"/>
          <w:color w:val="000000"/>
          <w:sz w:val="22"/>
        </w:rPr>
      </w:pPr>
      <w:r>
        <w:rPr>
          <w:rFonts w:ascii="Times New Roman;serif" w:hAnsi="Times New Roman;serif"/>
          <w:b w:val="false"/>
          <w:color w:val="000000"/>
          <w:sz w:val="22"/>
        </w:rPr>
        <w:t>Title: Head of Equity Capital Markets</w:t>
      </w:r>
    </w:p>
    <w:p>
      <w:pPr>
        <w:pStyle w:val="TextBody"/>
        <w:bidi w:val="0"/>
        <w:spacing w:lineRule="auto" w:line="268" w:before="0" w:after="0"/>
        <w:ind w:left="0" w:right="0" w:firstLine="4770"/>
        <w:jc w:val="left"/>
        <w:rPr>
          <w:rFonts w:ascii="Times New Roman;serif" w:hAnsi="Times New Roman;serif"/>
          <w:b/>
          <w:color w:val="000000"/>
          <w:sz w:val="22"/>
        </w:rPr>
      </w:pPr>
      <w:r>
        <w:rPr>
          <w:rFonts w:ascii="Times New Roman;serif" w:hAnsi="Times New Roman;serif"/>
          <w:b/>
          <w:color w:val="000000"/>
          <w:sz w:val="22"/>
        </w:rPr>
        <w:t>JONESTRADING INSTITUTIONAL</w:t>
      </w:r>
    </w:p>
    <w:p>
      <w:pPr>
        <w:pStyle w:val="TextBody"/>
        <w:bidi w:val="0"/>
        <w:spacing w:lineRule="auto" w:line="268" w:before="0" w:after="0"/>
        <w:ind w:left="0" w:right="0" w:firstLine="4770"/>
        <w:jc w:val="left"/>
        <w:rPr>
          <w:rFonts w:ascii="Times New Roman;serif" w:hAnsi="Times New Roman;serif"/>
          <w:b/>
          <w:color w:val="000000"/>
          <w:sz w:val="22"/>
        </w:rPr>
      </w:pPr>
      <w:r>
        <w:rPr>
          <w:rFonts w:ascii="Times New Roman;serif" w:hAnsi="Times New Roman;serif"/>
          <w:b/>
          <w:color w:val="000000"/>
          <w:sz w:val="22"/>
        </w:rPr>
        <w:t>SERVICES LLC</w:t>
      </w:r>
    </w:p>
    <w:p>
      <w:pPr>
        <w:pStyle w:val="TextBody"/>
        <w:bidi w:val="0"/>
        <w:spacing w:before="0" w:after="0"/>
        <w:ind w:left="0" w:right="0" w:firstLine="4770"/>
        <w:jc w:val="left"/>
        <w:rPr/>
      </w:pPr>
      <w:r>
        <w:rPr/>
      </w:r>
    </w:p>
    <w:p>
      <w:pPr>
        <w:pStyle w:val="TextBody"/>
        <w:bidi w:val="0"/>
        <w:spacing w:lineRule="auto" w:line="268" w:before="0" w:after="0"/>
        <w:ind w:left="0" w:right="0" w:firstLine="477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Burke Cook</w:t>
      </w:r>
      <w:r>
        <w:rPr>
          <w:rFonts w:ascii="Times New Roman;serif" w:hAnsi="Times New Roman;serif"/>
          <w:b w:val="false"/>
          <w:color w:val="000000"/>
          <w:sz w:val="22"/>
        </w:rPr>
        <w:t>________________</w:t>
      </w:r>
    </w:p>
    <w:p>
      <w:pPr>
        <w:pStyle w:val="TextBody"/>
        <w:bidi w:val="0"/>
        <w:spacing w:lineRule="auto" w:line="288" w:before="0" w:after="0"/>
        <w:ind w:left="0" w:right="0" w:firstLine="4770"/>
        <w:jc w:val="left"/>
        <w:rPr>
          <w:rFonts w:ascii="Times New Roman;serif" w:hAnsi="Times New Roman;serif"/>
          <w:b w:val="false"/>
          <w:color w:val="000000"/>
          <w:sz w:val="22"/>
        </w:rPr>
      </w:pPr>
      <w:r>
        <w:rPr>
          <w:rFonts w:ascii="Times New Roman;serif" w:hAnsi="Times New Roman;serif"/>
          <w:b w:val="false"/>
          <w:color w:val="000000"/>
          <w:sz w:val="22"/>
        </w:rPr>
        <w:t>Name: Burke Cook</w:t>
      </w:r>
    </w:p>
    <w:p>
      <w:pPr>
        <w:pStyle w:val="TextBody"/>
        <w:bidi w:val="0"/>
        <w:spacing w:lineRule="auto" w:line="288" w:before="0" w:after="120"/>
        <w:ind w:left="0" w:right="0" w:firstLine="4770"/>
        <w:jc w:val="left"/>
        <w:rPr>
          <w:rFonts w:ascii="Times New Roman;serif" w:hAnsi="Times New Roman;serif"/>
          <w:b w:val="false"/>
          <w:color w:val="000000"/>
          <w:sz w:val="22"/>
        </w:rPr>
      </w:pPr>
      <w:r>
        <w:rPr>
          <w:rFonts w:ascii="Times New Roman;serif" w:hAnsi="Times New Roman;serif"/>
          <w:b w:val="false"/>
          <w:color w:val="000000"/>
          <w:sz w:val="22"/>
        </w:rPr>
        <w:t>Title: General Counsel &amp; Secretary</w:t>
      </w:r>
    </w:p>
    <w:p>
      <w:pPr>
        <w:pStyle w:val="TextBody"/>
        <w:bidi w:val="0"/>
        <w:spacing w:lineRule="auto" w:line="268" w:before="0" w:after="0"/>
        <w:ind w:left="0" w:right="0" w:firstLine="4770"/>
        <w:jc w:val="left"/>
        <w:rPr>
          <w:rFonts w:ascii="Times New Roman;serif" w:hAnsi="Times New Roman;serif"/>
          <w:b/>
          <w:color w:val="000000"/>
          <w:sz w:val="22"/>
        </w:rPr>
      </w:pPr>
      <w:r>
        <w:rPr>
          <w:rFonts w:ascii="Times New Roman;serif" w:hAnsi="Times New Roman;serif"/>
          <w:b/>
          <w:color w:val="000000"/>
          <w:sz w:val="22"/>
        </w:rPr>
        <w:t>LADENBURG THALMANN &amp; CO. INC.</w:t>
      </w:r>
    </w:p>
    <w:p>
      <w:pPr>
        <w:pStyle w:val="TextBody"/>
        <w:bidi w:val="0"/>
        <w:spacing w:before="0" w:after="0"/>
        <w:ind w:left="0" w:right="0" w:firstLine="4770"/>
        <w:jc w:val="left"/>
        <w:rPr/>
      </w:pPr>
      <w:r>
        <w:rPr/>
      </w:r>
    </w:p>
    <w:p>
      <w:pPr>
        <w:pStyle w:val="TextBody"/>
        <w:bidi w:val="0"/>
        <w:spacing w:lineRule="auto" w:line="268" w:before="0" w:after="0"/>
        <w:ind w:left="0" w:right="0" w:firstLine="477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Dan Blood</w:t>
      </w:r>
      <w:r>
        <w:rPr>
          <w:rFonts w:ascii="Times New Roman;serif" w:hAnsi="Times New Roman;serif"/>
          <w:b w:val="false"/>
          <w:color w:val="000000"/>
          <w:sz w:val="22"/>
        </w:rPr>
        <w:t>________________</w:t>
      </w:r>
    </w:p>
    <w:p>
      <w:pPr>
        <w:pStyle w:val="TextBody"/>
        <w:bidi w:val="0"/>
        <w:spacing w:lineRule="auto" w:line="288" w:before="0" w:after="0"/>
        <w:ind w:left="0" w:right="0" w:firstLine="4770"/>
        <w:jc w:val="left"/>
        <w:rPr>
          <w:rFonts w:ascii="Times New Roman;serif" w:hAnsi="Times New Roman;serif"/>
          <w:b w:val="false"/>
          <w:color w:val="000000"/>
          <w:sz w:val="22"/>
        </w:rPr>
      </w:pPr>
      <w:r>
        <w:rPr>
          <w:rFonts w:ascii="Times New Roman;serif" w:hAnsi="Times New Roman;serif"/>
          <w:b w:val="false"/>
          <w:color w:val="000000"/>
          <w:sz w:val="22"/>
        </w:rPr>
        <w:t>Name: Dan Blood</w:t>
      </w:r>
    </w:p>
    <w:p>
      <w:pPr>
        <w:pStyle w:val="TextBody"/>
        <w:bidi w:val="0"/>
        <w:spacing w:lineRule="auto" w:line="288" w:before="0" w:after="120"/>
        <w:ind w:left="0" w:right="0" w:firstLine="4770"/>
        <w:jc w:val="left"/>
        <w:rPr/>
      </w:pPr>
      <w:r>
        <w:rPr>
          <w:rFonts w:ascii="Times New Roman;serif" w:hAnsi="Times New Roman;serif"/>
          <w:b w:val="false"/>
          <w:color w:val="000000"/>
          <w:sz w:val="22"/>
        </w:rPr>
        <w:t xml:space="preserve">Title: </w:t>
      </w:r>
      <w:r>
        <w:rPr>
          <w:rFonts w:ascii="Times New Roman;serif" w:hAnsi="Times New Roman;serif"/>
          <w:b w:val="false"/>
          <w:color w:val="000000"/>
          <w:sz w:val="20"/>
        </w:rPr>
        <w:t>Co-Head of Investment Banking, Head of FIG</w:t>
      </w:r>
    </w:p>
    <w:p>
      <w:pPr>
        <w:pStyle w:val="TextBody"/>
        <w:bidi w:val="0"/>
        <w:spacing w:lineRule="auto" w:line="268" w:before="0" w:after="0"/>
        <w:ind w:left="0" w:right="0" w:firstLine="4770"/>
        <w:jc w:val="left"/>
        <w:rPr>
          <w:rFonts w:ascii="Times New Roman;serif" w:hAnsi="Times New Roman;serif"/>
          <w:b/>
          <w:color w:val="000000"/>
          <w:sz w:val="22"/>
        </w:rPr>
      </w:pPr>
      <w:r>
        <w:rPr>
          <w:rFonts w:ascii="Times New Roman;serif" w:hAnsi="Times New Roman;serif"/>
          <w:b/>
          <w:color w:val="000000"/>
          <w:sz w:val="22"/>
        </w:rPr>
        <w:t>STOCKBLOCK SECURITIES LLC</w:t>
      </w:r>
    </w:p>
    <w:p>
      <w:pPr>
        <w:pStyle w:val="TextBody"/>
        <w:bidi w:val="0"/>
        <w:spacing w:before="0" w:after="0"/>
        <w:ind w:left="0" w:right="0" w:firstLine="4770"/>
        <w:jc w:val="left"/>
        <w:rPr/>
      </w:pPr>
      <w:r>
        <w:rPr/>
      </w:r>
    </w:p>
    <w:p>
      <w:pPr>
        <w:pStyle w:val="TextBody"/>
        <w:bidi w:val="0"/>
        <w:spacing w:lineRule="auto" w:line="268" w:before="0" w:after="0"/>
        <w:ind w:left="0" w:right="0" w:firstLine="477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David W. Dinkin </w:t>
      </w:r>
      <w:r>
        <w:rPr>
          <w:rFonts w:ascii="Times New Roman;serif" w:hAnsi="Times New Roman;serif"/>
          <w:b w:val="false"/>
          <w:color w:val="000000"/>
          <w:sz w:val="22"/>
        </w:rPr>
        <w:t>________________</w:t>
      </w:r>
    </w:p>
    <w:p>
      <w:pPr>
        <w:pStyle w:val="TextBody"/>
        <w:bidi w:val="0"/>
        <w:spacing w:lineRule="auto" w:line="288" w:before="0" w:after="0"/>
        <w:ind w:left="0" w:right="0" w:firstLine="4770"/>
        <w:jc w:val="left"/>
        <w:rPr>
          <w:rFonts w:ascii="Times New Roman;serif" w:hAnsi="Times New Roman;serif"/>
          <w:b w:val="false"/>
          <w:color w:val="000000"/>
          <w:sz w:val="22"/>
        </w:rPr>
      </w:pPr>
      <w:r>
        <w:rPr>
          <w:rFonts w:ascii="Times New Roman;serif" w:hAnsi="Times New Roman;serif"/>
          <w:b w:val="false"/>
          <w:color w:val="000000"/>
          <w:sz w:val="22"/>
        </w:rPr>
        <w:t xml:space="preserve">Name: David W. Dinkin </w:t>
      </w:r>
    </w:p>
    <w:p>
      <w:pPr>
        <w:pStyle w:val="TextBody"/>
        <w:bidi w:val="0"/>
        <w:spacing w:lineRule="auto" w:line="288" w:before="0" w:after="120"/>
        <w:ind w:left="0" w:right="0" w:firstLine="4770"/>
        <w:jc w:val="left"/>
        <w:rPr>
          <w:rFonts w:ascii="Times New Roman;serif" w:hAnsi="Times New Roman;serif"/>
          <w:b w:val="false"/>
          <w:color w:val="000000"/>
          <w:sz w:val="22"/>
        </w:rPr>
      </w:pPr>
      <w:r>
        <w:rPr>
          <w:rFonts w:ascii="Times New Roman;serif" w:hAnsi="Times New Roman;serif"/>
          <w:b w:val="false"/>
          <w:color w:val="000000"/>
          <w:sz w:val="22"/>
        </w:rPr>
        <w:t>Title: President</w:t>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2100"/>
                <wp:effectExtent l="0" t="0" r="0" b="0"/>
                <wp:wrapNone/>
                <wp:docPr id="8" name="Frame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68" w:before="0" w:after="0"/>
                              <w:jc w:val="center"/>
                              <w:rPr>
                                <w:rFonts w:ascii="Times New Roman;serif" w:hAnsi="Times New Roman;serif"/>
                                <w:b w:val="false"/>
                                <w:i/>
                                <w:color w:val="000000"/>
                                <w:sz w:val="16"/>
                              </w:rPr>
                            </w:pPr>
                            <w:r>
                              <w:rPr>
                                <w:rFonts w:ascii="Times New Roman;serif" w:hAnsi="Times New Roman;serif"/>
                                <w:b w:val="false"/>
                                <w:i/>
                                <w:color w:val="000000"/>
                                <w:sz w:val="16"/>
                              </w:rPr>
                              <w:t>[Signature Page to Amendment No. 8 to Equity Sales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val="false"/>
                          <w:i/>
                          <w:color w:val="000000"/>
                          <w:sz w:val="16"/>
                        </w:rPr>
                      </w:pPr>
                      <w:r>
                        <w:rPr>
                          <w:rFonts w:ascii="Times New Roman;serif" w:hAnsi="Times New Roman;serif"/>
                          <w:b w:val="false"/>
                          <w:i/>
                          <w:color w:val="000000"/>
                          <w:sz w:val="16"/>
                        </w:rPr>
                        <w:t>[Signature Page to Amendment No. 8 to Equity Sales Agreement]</w:t>
                      </w:r>
                    </w:p>
                  </w:txbxContent>
                </v:textbox>
                <w10:wrap type="none"/>
              </v:rect>
            </w:pict>
          </mc:Fallback>
        </mc:AlternateContent>
      </w:r>
    </w:p>
    <w:p>
      <w:pPr>
        <w:pStyle w:val="TextBody"/>
        <w:bidi w:val="0"/>
        <w:spacing w:lineRule="auto" w:line="268" w:before="0" w:after="0"/>
        <w:ind w:left="0" w:right="0" w:firstLine="4320"/>
        <w:jc w:val="left"/>
        <w:rPr>
          <w:rFonts w:ascii="Times New Roman;serif" w:hAnsi="Times New Roman;serif"/>
          <w:b/>
          <w:color w:val="000000"/>
          <w:sz w:val="22"/>
        </w:rPr>
      </w:pPr>
      <w:r>
        <w:rPr>
          <w:rFonts w:ascii="Times New Roman;serif" w:hAnsi="Times New Roman;serif"/>
          <w:b/>
          <w:color w:val="000000"/>
          <w:sz w:val="22"/>
        </w:rPr>
        <w:t>ACCEPTED as of the date</w:t>
      </w:r>
    </w:p>
    <w:p>
      <w:pPr>
        <w:pStyle w:val="TextBody"/>
        <w:bidi w:val="0"/>
        <w:spacing w:lineRule="auto" w:line="268" w:before="0" w:after="0"/>
        <w:ind w:left="0" w:right="0" w:firstLine="4320"/>
        <w:jc w:val="left"/>
        <w:rPr>
          <w:rFonts w:ascii="Times New Roman;serif" w:hAnsi="Times New Roman;serif"/>
          <w:b/>
          <w:color w:val="000000"/>
          <w:sz w:val="22"/>
        </w:rPr>
      </w:pPr>
      <w:r>
        <w:rPr>
          <w:rFonts w:ascii="Times New Roman;serif" w:hAnsi="Times New Roman;serif"/>
          <w:b/>
          <w:color w:val="000000"/>
          <w:sz w:val="22"/>
        </w:rPr>
        <w:t>first-above written:</w:t>
      </w:r>
    </w:p>
    <w:p>
      <w:pPr>
        <w:pStyle w:val="TextBody"/>
        <w:bidi w:val="0"/>
        <w:spacing w:before="0" w:after="0"/>
        <w:jc w:val="left"/>
        <w:rPr/>
      </w:pPr>
      <w:r>
        <w:rPr/>
      </w:r>
    </w:p>
    <w:p>
      <w:pPr>
        <w:pStyle w:val="TextBody"/>
        <w:bidi w:val="0"/>
        <w:spacing w:lineRule="auto" w:line="268" w:before="0" w:after="0"/>
        <w:ind w:left="0" w:right="0" w:firstLine="4320"/>
        <w:jc w:val="both"/>
        <w:rPr>
          <w:rFonts w:ascii="Times New Roman;serif" w:hAnsi="Times New Roman;serif"/>
          <w:b/>
          <w:color w:val="000000"/>
          <w:sz w:val="22"/>
        </w:rPr>
      </w:pPr>
      <w:r>
        <w:rPr>
          <w:rFonts w:ascii="Times New Roman;serif" w:hAnsi="Times New Roman;serif"/>
          <w:b/>
          <w:color w:val="000000"/>
          <w:sz w:val="22"/>
        </w:rPr>
        <w:t>ARMOUR RESIDENTIAL REIT,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320"/>
        <w:jc w:val="left"/>
        <w:rPr/>
      </w:pPr>
      <w:r>
        <w:rPr>
          <w:rFonts w:ascii="Times New Roman;serif" w:hAnsi="Times New Roman;serif"/>
          <w:b w:val="false"/>
          <w:color w:val="000000"/>
          <w:sz w:val="22"/>
        </w:rPr>
        <w:t>By:_____</w:t>
      </w:r>
      <w:r>
        <w:rPr>
          <w:rFonts w:ascii="Times New Roman;serif" w:hAnsi="Times New Roman;serif"/>
          <w:b w:val="false"/>
          <w:color w:val="000000"/>
          <w:sz w:val="22"/>
          <w:u w:val="single"/>
        </w:rPr>
        <w:t>/s/ Gordon M. Harper</w:t>
      </w:r>
      <w:r>
        <w:rPr>
          <w:rFonts w:ascii="Times New Roman;serif" w:hAnsi="Times New Roman;serif"/>
          <w:b w:val="false"/>
          <w:color w:val="000000"/>
          <w:sz w:val="22"/>
        </w:rPr>
        <w:t>___________</w:t>
      </w:r>
    </w:p>
    <w:p>
      <w:pPr>
        <w:pStyle w:val="TextBody"/>
        <w:bidi w:val="0"/>
        <w:spacing w:lineRule="auto" w:line="288" w:before="0" w:after="0"/>
        <w:ind w:left="0" w:right="0" w:firstLine="4320"/>
        <w:jc w:val="both"/>
        <w:rPr>
          <w:rFonts w:ascii="Times New Roman;serif" w:hAnsi="Times New Roman;serif"/>
          <w:b w:val="false"/>
          <w:color w:val="000000"/>
          <w:sz w:val="22"/>
        </w:rPr>
      </w:pPr>
      <w:r>
        <w:rPr>
          <w:rFonts w:ascii="Times New Roman;serif" w:hAnsi="Times New Roman;serif"/>
          <w:b w:val="false"/>
          <w:color w:val="000000"/>
          <w:sz w:val="22"/>
        </w:rPr>
        <w:t>Name: Gordon M. Harper</w:t>
      </w:r>
    </w:p>
    <w:p>
      <w:pPr>
        <w:pStyle w:val="TextBody"/>
        <w:bidi w:val="0"/>
        <w:spacing w:lineRule="auto" w:line="288" w:before="0" w:after="0"/>
        <w:ind w:left="0" w:right="0" w:firstLine="432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320"/>
        <w:jc w:val="both"/>
        <w:rPr>
          <w:rFonts w:ascii="Times New Roman;serif" w:hAnsi="Times New Roman;serif"/>
          <w:b/>
          <w:color w:val="000000"/>
          <w:sz w:val="22"/>
        </w:rPr>
      </w:pPr>
      <w:r>
        <w:rPr>
          <w:rFonts w:ascii="Times New Roman;serif" w:hAnsi="Times New Roman;serif"/>
          <w:b/>
          <w:color w:val="000000"/>
          <w:sz w:val="22"/>
        </w:rPr>
        <w:t>ARMOUR CAPITAL MANAGEMENT, 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320"/>
        <w:jc w:val="left"/>
        <w:rPr/>
      </w:pPr>
      <w:r>
        <w:rPr>
          <w:rFonts w:ascii="Times New Roman;serif" w:hAnsi="Times New Roman;serif"/>
          <w:b w:val="false"/>
          <w:color w:val="000000"/>
          <w:sz w:val="22"/>
        </w:rPr>
        <w:t>By:_____</w:t>
      </w:r>
      <w:r>
        <w:rPr>
          <w:rFonts w:ascii="Times New Roman;serif" w:hAnsi="Times New Roman;serif"/>
          <w:b w:val="false"/>
          <w:color w:val="000000"/>
          <w:sz w:val="22"/>
          <w:u w:val="single"/>
        </w:rPr>
        <w:t>/s/ Gordon M. Harper</w:t>
      </w:r>
      <w:r>
        <w:rPr>
          <w:rFonts w:ascii="Times New Roman;serif" w:hAnsi="Times New Roman;serif"/>
          <w:b w:val="false"/>
          <w:color w:val="000000"/>
          <w:sz w:val="22"/>
        </w:rPr>
        <w:t>___________</w:t>
      </w:r>
    </w:p>
    <w:p>
      <w:pPr>
        <w:pStyle w:val="TextBody"/>
        <w:bidi w:val="0"/>
        <w:spacing w:lineRule="auto" w:line="288" w:before="0" w:after="0"/>
        <w:ind w:left="0" w:right="0" w:firstLine="4320"/>
        <w:jc w:val="both"/>
        <w:rPr>
          <w:rFonts w:ascii="Times New Roman;serif" w:hAnsi="Times New Roman;serif"/>
          <w:b w:val="false"/>
          <w:color w:val="000000"/>
          <w:sz w:val="22"/>
        </w:rPr>
      </w:pPr>
      <w:r>
        <w:rPr>
          <w:rFonts w:ascii="Times New Roman;serif" w:hAnsi="Times New Roman;serif"/>
          <w:b w:val="false"/>
          <w:color w:val="000000"/>
          <w:sz w:val="22"/>
        </w:rPr>
        <w:t>Name: Gordon M. Harper</w:t>
      </w:r>
    </w:p>
    <w:p>
      <w:pPr>
        <w:pStyle w:val="TextBody"/>
        <w:bidi w:val="0"/>
        <w:spacing w:lineRule="auto" w:line="288" w:before="0" w:after="0"/>
        <w:ind w:left="0" w:right="0" w:firstLine="432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2100"/>
                <wp:effectExtent l="0" t="0" r="0" b="0"/>
                <wp:wrapNone/>
                <wp:docPr id="9" name="Frame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val="false"/>
                                <w:i/>
                                <w:color w:val="000000"/>
                                <w:sz w:val="16"/>
                              </w:rPr>
                            </w:pPr>
                            <w:r>
                              <w:rPr>
                                <w:rFonts w:ascii="Times New Roman;serif" w:hAnsi="Times New Roman;serif"/>
                                <w:b w:val="false"/>
                                <w:i/>
                                <w:color w:val="000000"/>
                                <w:sz w:val="16"/>
                              </w:rPr>
                              <w:t>[Signature Page to Amendment No. 8 to Equity Sales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val="false"/>
                          <w:i/>
                          <w:color w:val="000000"/>
                          <w:sz w:val="16"/>
                        </w:rPr>
                      </w:pPr>
                      <w:r>
                        <w:rPr>
                          <w:rFonts w:ascii="Times New Roman;serif" w:hAnsi="Times New Roman;serif"/>
                          <w:b w:val="false"/>
                          <w:i/>
                          <w:color w:val="000000"/>
                          <w:sz w:val="16"/>
                        </w:rPr>
                        <w:t>[Signature Page to Amendment No. 8 to Equity Sales Agreement]</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ARMOUR RESIDENTIAL REIT, INC.</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ARTICLES OF AMENDMENT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ARMOUR Residential REIT, Inc., a Maryland corporation (the “Corporation”), hereby certifies to the State Department of Assessments and Taxation of Maryland that: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FIRST: The first two sentences of Section 6.1 of the Charter of the Corporation currently specify that the Corporation has authority to issue 225,000,000 shares of stock, consisting of 175,000,000 shares of Common Stock, $0.001 par value per share, and 50,000,000 shares of Preferred Stock, $0.001 par value per share. The aggregate par value of all authorized shares of stock having par value is $225,000.</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SECOND: The Charter of the Corporation is hereby further amended, as of the Effective Time (as defined below), by deleting the first two sentences of Section 6.1 in their entirety and replacing them with the following:</w:t>
      </w:r>
    </w:p>
    <w:p>
      <w:pPr>
        <w:pStyle w:val="TextBody"/>
        <w:bidi w:val="0"/>
        <w:spacing w:before="0" w:after="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2"/>
        </w:rPr>
        <w:t xml:space="preserve">6.1 </w:t>
      </w:r>
      <w:r>
        <w:rPr>
          <w:rFonts w:ascii="Times New Roman;serif" w:hAnsi="Times New Roman;serif"/>
          <w:b w:val="false"/>
          <w:color w:val="000000"/>
          <w:sz w:val="24"/>
          <w:u w:val="single"/>
        </w:rPr>
        <w:t>Authorized Shares</w:t>
      </w:r>
      <w:r>
        <w:rPr>
          <w:rFonts w:ascii="Times New Roman;serif" w:hAnsi="Times New Roman;serif"/>
          <w:b w:val="false"/>
          <w:color w:val="000000"/>
          <w:sz w:val="22"/>
        </w:rPr>
        <w:t>. The Corporation has authority to issue 300,000,000 shares of stock, consisting of 250,000,000 shares of Common Stock, $0.001 par value per share (“Common Stock”), and 50,000,000 shares of Preferred Stock, $0.001 par value per share (“Preferred Stock”). The aggregate par value of all authorized shares of stock having par value is $300,000.”</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THIRD: The amendments to the Charter of the Corporation as set forth above have been duly approved by a majority of the entire Board of Directors of the Corporation as required by the Maryland General Corporation Law (the “MGCL”). The amendments set forth herein are limited to changes expressly authorized to be made without action by the stockholders of the Corporation by, as applicable, (a) Section 2-105(a)(13) of the MGCL and the Charter of the Corporation; or (b) Section 2-605(a)(2) of the MGCL.</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FOURTH: The preferences, conversion and other rights, voting powers, restrictions, limitations as to dividends, qualifications, and terms and conditions of redemption, if any, of the Corporation’s classes of stock remain unchanged by these Articles of Amendment.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FIFTH: These Articles of Amendment shall be effective at 5:00 p.m. EDT on July 23, 2026 (the “Effective Time”).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FIFTH: The undersigned officer of the Corporation acknowledges these Articles of Amendment to be the corporate act of the Corporation and as to all matters or facts required to be verified under oath, the undersigned officer acknowledges that to the best of his knowledge, information and belief, these matters and facts are true in all material respects and that this statement is made under the penalties for perjury.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pStyle w:val="TextBody"/>
        <w:bidi w:val="0"/>
        <w:spacing w:lineRule="auto" w:line="268" w:before="0" w:after="0"/>
        <w:ind w:left="0" w:right="0" w:firstLine="720"/>
        <w:jc w:val="left"/>
        <w:rPr/>
      </w:pPr>
      <w:r>
        <w:rPr>
          <w:rFonts w:ascii="Times New Roman;serif" w:hAnsi="Times New Roman;serif"/>
          <w:b/>
          <w:color w:val="000000"/>
          <w:sz w:val="22"/>
        </w:rPr>
        <w:t>IN WITNESS WHEREOF</w:t>
      </w:r>
      <w:r>
        <w:rPr>
          <w:rFonts w:ascii="Times New Roman;serif" w:hAnsi="Times New Roman;serif"/>
          <w:b w:val="false"/>
          <w:color w:val="000000"/>
          <w:sz w:val="22"/>
        </w:rPr>
        <w:t>, the Corporation has caused these Articles of Amendment to be executed in its name and on its behalf by its Chief Executive Officer and attested to by its Chief Financial Officer on this 23</w:t>
      </w:r>
      <w:r>
        <w:rPr>
          <w:rFonts w:ascii="Times New Roman;serif" w:hAnsi="Times New Roman;serif"/>
          <w:b w:val="false"/>
          <w:color w:val="000000"/>
          <w:sz w:val="14"/>
        </w:rPr>
        <w:t>rd</w:t>
      </w:r>
      <w:r>
        <w:rPr>
          <w:color w:val="000000"/>
        </w:rPr>
        <w:t xml:space="preserve"> </w:t>
      </w:r>
      <w:r>
        <w:rPr>
          <w:rFonts w:ascii="Times New Roman;serif" w:hAnsi="Times New Roman;serif"/>
          <w:b w:val="false"/>
          <w:color w:val="000000"/>
          <w:sz w:val="22"/>
        </w:rPr>
        <w:t>day of July,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ATTEST: ARMOUR RESIDENTIAL REIT, INC.</w:t>
      </w:r>
    </w:p>
    <w:tbl>
      <w:tblPr>
        <w:tblW w:w="6041" w:type="dxa"/>
        <w:jc w:val="center"/>
        <w:tblInd w:w="0" w:type="dxa"/>
        <w:tblLayout w:type="fixed"/>
        <w:tblCellMar>
          <w:top w:w="28" w:type="dxa"/>
          <w:left w:w="28" w:type="dxa"/>
          <w:bottom w:w="28" w:type="dxa"/>
          <w:right w:w="28" w:type="dxa"/>
        </w:tblCellMar>
      </w:tblPr>
      <w:tblGrid>
        <w:gridCol w:w="349"/>
        <w:gridCol w:w="307"/>
        <w:gridCol w:w="307"/>
        <w:gridCol w:w="307"/>
        <w:gridCol w:w="307"/>
        <w:gridCol w:w="307"/>
        <w:gridCol w:w="307"/>
        <w:gridCol w:w="307"/>
        <w:gridCol w:w="307"/>
        <w:gridCol w:w="109"/>
        <w:gridCol w:w="109"/>
        <w:gridCol w:w="109"/>
        <w:gridCol w:w="309"/>
        <w:gridCol w:w="309"/>
        <w:gridCol w:w="309"/>
        <w:gridCol w:w="309"/>
        <w:gridCol w:w="309"/>
        <w:gridCol w:w="309"/>
        <w:gridCol w:w="309"/>
        <w:gridCol w:w="309"/>
        <w:gridCol w:w="437"/>
      </w:tblGrid>
      <w:tr>
        <w:trPr/>
        <w:tc>
          <w:tcPr>
            <w:tcW w:w="34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By: /s/ Gordon M. Harper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By: /s/ Scott J. Ulm</w:t>
            </w:r>
          </w:p>
        </w:tc>
      </w:tr>
      <w:tr>
        <w:trPr/>
        <w:tc>
          <w:tcPr>
            <w:tcW w:w="28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Name: Gordon M. Harper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Name: Scott J. Ulm</w:t>
            </w:r>
          </w:p>
        </w:tc>
      </w:tr>
      <w:tr>
        <w:trPr/>
        <w:tc>
          <w:tcPr>
            <w:tcW w:w="2805" w:type="dxa"/>
            <w:gridSpan w:val="9"/>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lineRule="auto" w:line="288" w:before="0" w:after="0"/>
        <w:jc w:val="left"/>
        <w:rPr>
          <w:rFonts w:ascii="Times New Roman;serif" w:hAnsi="Times New Roman;serif"/>
          <w:b/>
          <w:color w:val="001A63"/>
          <w:sz w:val="32"/>
        </w:rPr>
      </w:pPr>
      <w:r>
        <w:rPr>
          <w:rFonts w:ascii="Times New Roman;serif" w:hAnsi="Times New Roman;serif"/>
          <w:b/>
          <w:color w:val="001A63"/>
          <w:sz w:val="32"/>
        </w:rPr>
        <w:t>Holland &amp; Knight</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2776"/>
          <w:sz w:val="16"/>
        </w:rPr>
      </w:pPr>
      <w:r>
        <w:rPr>
          <w:rFonts w:ascii="Arial;sans-serif" w:hAnsi="Arial;sans-serif"/>
          <w:b w:val="false"/>
          <w:color w:val="002776"/>
          <w:sz w:val="16"/>
        </w:rPr>
        <w:t>701 Brickell Avenue, Suite 3300 | Miami, FL 33131 | T 305.374.8500 | F 305.789.7799</w:t>
      </w:r>
    </w:p>
    <w:p>
      <w:pPr>
        <w:pStyle w:val="TextBody"/>
        <w:bidi w:val="0"/>
        <w:spacing w:lineRule="auto" w:line="288" w:before="0" w:after="0"/>
        <w:jc w:val="left"/>
        <w:rPr>
          <w:rFonts w:ascii="Arial;sans-serif" w:hAnsi="Arial;sans-serif"/>
          <w:b w:val="false"/>
          <w:color w:val="002776"/>
          <w:sz w:val="16"/>
        </w:rPr>
      </w:pPr>
      <w:r>
        <w:rPr>
          <w:rFonts w:ascii="Arial;sans-serif" w:hAnsi="Arial;sans-serif"/>
          <w:b w:val="false"/>
          <w:color w:val="002776"/>
          <w:sz w:val="16"/>
        </w:rPr>
        <w:t>Holland &amp; Knight LLP | www.hklaw.com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July 24,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ARMOUR Residential REIT, Inc.</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3001 Ocean Drive, Suite 201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Vero Beach, Florida 32963</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 Shelf Registration Statement on Form S-3 (Registration No. 333-278327)</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Ladies and Gentlemen: </w:t>
      </w:r>
    </w:p>
    <w:p>
      <w:pPr>
        <w:pStyle w:val="TextBody"/>
        <w:bidi w:val="0"/>
        <w:spacing w:before="0" w:after="0"/>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Reference is made to the Registration Statement on Form S-3 (Registration No. 333-278327) (the “Registration Statement”) filed with the Securities and Exchange Commission (the “Commission”) on March 28, 2024 by ARMOUR Residential REIT, Inc. (the “Company”) pursuant to the requirements of the Securities Act of 1933, as amended (the “Act”). We are rendering this opinion letter in connection with the filing of a prospectus supplement dated July 24, 2026 (the “Prospectus Supplement”). The Prospectus Supplement relates to the offering by the Company of up to 25,544,352 shares (the “Shares”) of the Company's common stock, par value $0.001 per share (the “Common Stock”), in an “at-the-market” offering, pursuant to an Equity Sales Agreement dated July 26, 2023, as amended by Amendment No. 1 dated October 25, 2023, as further amended by Amendment No. 2 dated June 20, 2024, as further amended by Amendment No. 3 dated August 23, 2024, as further amended by Amendment No. 4 dated September 20, 2024, as further amended by Amendment No. 5, dated February 13, 2025, as further amended by Amendment No. 6, dated July 25, 2025, as further amended by Amendment No. 7, dated January 28, 2026, as further amended by Amendment No. 8, dated July 24, 2026, which Shares are covered by the Registration Statement. We understand that the Shares are to be offered and sold in the manner set forth in the Registration Statement and the Prospectus Supplement. </w:t>
      </w:r>
    </w:p>
    <w:p>
      <w:pPr>
        <w:pStyle w:val="TextBody"/>
        <w:bidi w:val="0"/>
        <w:spacing w:before="0" w:after="0"/>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acted as your counsel in connection with the preparation of the Prospectus Supplement. We are familiar with the proceedings taken by the Board of Directors of the Company in connection with the authorization, issuance and sale of the Shares. We have examined all such documents as we have considered necessary in order to enable us to render this opinion letter, including, but not limited to, (i) the Registration Statement, (ii) the Base Prospectus, dated March 28, 2024, included with the Registration Statement (the “Prospectus”), (iii) the Prospectus Supplement, (iv) the Company’s Articles of Incorporation, as amended, (v) the Company’s Bylaws, as amended, (vi) certain resolutions adopted by the Board of Directors of the Company, the independent members of the Board of Directors of the Company and the Audit Committee of the Board of Directors of the Company, (vii) corporate records and instruments, (viii) a specimen certificate representing the Shares, and (ix) such laws and regulations as we have deemed necessary for the purposes of rendering the opinion set forth herein. In our examination, we have assumed the genuineness of all signatures, the legal capacity of all natural persons, the authenticity of and conformity to originals of such documents that have been presented to us as duplicates or certified or conformed copies, the accuracy, completeness and authenticity of originals, the due execution and delivery of all documents (except that no such assumption is made as to the Company) where due execution and delivery are a prerequisite to the effectiveness thereof, and that the Shares will be issued against payment of valid consideration under applicable law. As to any facts material to the opinion expressed herein, which were not independently established or verified, we have relied, to the extent we have deemed reasonably appropriate, upon statements and representations or certificates of officers or directors of the Company.</w:t>
      </w:r>
    </w:p>
    <w:p>
      <w:pPr>
        <w:pStyle w:val="TextBody"/>
        <w:bidi w:val="0"/>
        <w:spacing w:before="0" w:after="0"/>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Based upon the foregoing, we are of the opinion that the Shares have been duly authorized and, when issued and delivered by the Company against payment therefor as set forth in the Registration Statement and the Prospectus Supplement, will be validly issued, fully paid and non-assessable. </w:t>
      </w:r>
    </w:p>
    <w:p>
      <w:pPr>
        <w:pStyle w:val="TextBody"/>
        <w:bidi w:val="0"/>
        <w:spacing w:before="0" w:after="0"/>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opinion expressed herein is limited to the corporate laws of the State of Maryland and we express no opinion as to the effect on the matters covered by the laws of any other jurisdiction. We assume no obligation to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supplement this opinion letter if any applicable law changes after the date hereof or if we become aware of any fact that may change the opinion expressed herein after the date hereof.</w:t>
      </w:r>
    </w:p>
    <w:p>
      <w:pPr>
        <w:pStyle w:val="TextBody"/>
        <w:bidi w:val="0"/>
        <w:spacing w:before="0" w:after="0"/>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hereby consent to the filing of this opinion letter as part of the Registration Statement and to the reference of our firm under the caption “Legal Matters” in the Prospectus Supplement. In giving such consent, we do not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hereby admit that we are in the category of persons whose consent is required under Section 7 of the Act or the rules and regulations of the Commission.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HOLLAND &amp; KNIGHT LLP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HOLLAND &amp; KNIGHT LLP</w:t>
      </w:r>
    </w:p>
    <w:p>
      <w:pPr>
        <w:pStyle w:val="TextBody"/>
        <w:bidi w:val="0"/>
        <w:spacing w:before="0" w:after="240"/>
        <w:jc w:val="left"/>
        <w:rPr/>
      </w:pPr>
      <w:r>
        <w:rPr/>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MATERIAL U.S. FEDERAL INCOME TAX CONSIDERATIONS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This section summarizes the material U.S. federal income tax considerations that (i) apply to you, as a Holder (as defined in the immediately succeeding paragraph) of shares of our common and preferred stock and (ii) relate to our qualification as a REIT. Pillsbury Winthrop Shaw Pittman LLP has acted as our special tax counsel, has reviewed this section and is of the opinion that the discussion contained herein fairly and accurately summarizes the U.S. federal income tax consequences that are likely to be material to a Holder of our shares of common stock and a Holder of our preferred stock. Because this section is a summary, it does not address all aspects of taxation that may be relevant to particular Holders of our common or preferred stock in light of their personal investment or tax circumstances, or to certain types of Holders that are subject to special treatment under the U.S. federal income tax laws, such as insurance companies, tax-exempt organizations (except to the extent discussed in “-</w:t>
      </w:r>
      <w:r>
        <w:rPr>
          <w:rFonts w:ascii="Times New Roman;serif" w:hAnsi="Times New Roman;serif"/>
          <w:b w:val="false"/>
          <w:i/>
          <w:color w:val="000000"/>
          <w:sz w:val="20"/>
        </w:rPr>
        <w:t>Taxation of Holders-Taxation of Tax-Exempt Holders</w:t>
      </w:r>
      <w:r>
        <w:rPr>
          <w:color w:val="000000"/>
        </w:rPr>
        <w:t xml:space="preserve">” </w:t>
      </w:r>
      <w:r>
        <w:rPr>
          <w:rFonts w:ascii="Times New Roman;serif" w:hAnsi="Times New Roman;serif"/>
          <w:b w:val="false"/>
          <w:color w:val="000000"/>
          <w:sz w:val="20"/>
        </w:rPr>
        <w:t>below), regulated investment companies, other REITs, partnerships and other pass-through entities (including entities classified as partnerships for U.S. federal income tax purposes), financial institutions or broker-dealers, non-U.S. individuals and foreign corporations (except to the extent discussed in “-</w:t>
      </w:r>
      <w:r>
        <w:rPr>
          <w:rFonts w:ascii="Times New Roman;serif" w:hAnsi="Times New Roman;serif"/>
          <w:b w:val="false"/>
          <w:i/>
          <w:color w:val="000000"/>
          <w:sz w:val="20"/>
        </w:rPr>
        <w:t>Taxation of Holders-Taxation of Foreign Holders”</w:t>
      </w:r>
      <w:r>
        <w:rPr>
          <w:color w:val="000000"/>
        </w:rPr>
        <w:t xml:space="preserve"> </w:t>
      </w:r>
      <w:r>
        <w:rPr>
          <w:rFonts w:ascii="Times New Roman;serif" w:hAnsi="Times New Roman;serif"/>
          <w:b w:val="false"/>
          <w:color w:val="000000"/>
          <w:sz w:val="20"/>
        </w:rPr>
        <w:t>below), certain U.S. expatriates, persons holding our common or preferred stock as part of a “straddle,” “hedge,” “conversion transaction,” “synthetic security” or other integrated investment, persons subject to the alternative minimum tax, persons holding a 10% or more (by vote or value) beneficial interest in us, stockholders subject to special tax accounting rules as a result of their use of “applicable financial statements” (within the meaning of Section 451(b) of the Code), and other persons subject to special tax rules.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You should be aware that in this section, when we use the term:</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Code,” we mean the Internal Revenue Code of 1986, as amended;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Disqualified Organization,” we mean any organization described in section 860E(e)(5) of the Code, including:</w:t>
      </w:r>
    </w:p>
    <w:p>
      <w:pPr>
        <w:pStyle w:val="TextBody"/>
        <w:bidi w:val="0"/>
        <w:spacing w:before="0" w:after="0"/>
        <w:jc w:val="left"/>
        <w:rPr/>
      </w:pPr>
      <w:r>
        <w:rPr/>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United States;</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ii.any state or political subdivision of the United States;</w:t>
      </w:r>
    </w:p>
    <w:p>
      <w:pPr>
        <w:pStyle w:val="TextBody"/>
        <w:bidi w:val="0"/>
        <w:spacing w:lineRule="auto" w:line="288" w:before="0" w:after="60"/>
        <w:ind w:left="0" w:right="0" w:hanging="360"/>
        <w:jc w:val="left"/>
        <w:rPr/>
      </w:pPr>
      <w:r>
        <w:rPr>
          <w:rFonts w:ascii="Times New Roman;serif" w:hAnsi="Times New Roman;serif"/>
          <w:b w:val="false"/>
          <w:color w:val="000000"/>
          <w:sz w:val="20"/>
        </w:rPr>
        <w:t>iii.</w:t>
      </w:r>
      <w:r>
        <w:rPr>
          <w:color w:val="000000"/>
        </w:rPr>
        <w:t xml:space="preserve"> </w:t>
      </w:r>
      <w:r>
        <w:rPr>
          <w:rFonts w:ascii="Times New Roman;serif" w:hAnsi="Times New Roman;serif"/>
          <w:b w:val="false"/>
          <w:color w:val="000000"/>
          <w:sz w:val="20"/>
        </w:rPr>
        <w:t>any foreign government;</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iv.any international organization;</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v.any agency or instrumentality of any of the foregoing;</w:t>
      </w:r>
    </w:p>
    <w:p>
      <w:pPr>
        <w:pStyle w:val="TextBody"/>
        <w:bidi w:val="0"/>
        <w:spacing w:lineRule="auto" w:line="288" w:before="0" w:after="0"/>
        <w:ind w:left="0" w:right="0" w:hanging="360"/>
        <w:jc w:val="left"/>
        <w:rPr/>
      </w:pPr>
      <w:r>
        <w:rPr>
          <w:rFonts w:ascii="Times New Roman;serif" w:hAnsi="Times New Roman;serif"/>
          <w:b w:val="false"/>
          <w:color w:val="000000"/>
          <w:sz w:val="24"/>
        </w:rPr>
        <w:t>vi.</w:t>
      </w:r>
      <w:r>
        <w:rPr>
          <w:rFonts w:ascii="Times New Roman;serif" w:hAnsi="Times New Roman;serif"/>
          <w:b w:val="false"/>
          <w:color w:val="000000"/>
          <w:sz w:val="20"/>
        </w:rPr>
        <w:t>any charitable remainder trust or other tax-exempt organization, other than a farmer's cooperative described in section 521 of the Code, that is exempt both from income taxation and from taxation under the unrelated business taxable income provisions of the Code;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vii.any rural electrical or telephone cooperative;</w:t>
      </w:r>
    </w:p>
    <w:p>
      <w:pPr>
        <w:pStyle w:val="TextBody"/>
        <w:bidi w:val="0"/>
        <w:spacing w:before="0" w:after="0"/>
        <w:jc w:val="left"/>
        <w:rPr/>
      </w:pPr>
      <w:r>
        <w:rPr/>
      </w:r>
    </w:p>
    <w:p>
      <w:pPr>
        <w:pStyle w:val="TextBody"/>
        <w:bidi w:val="0"/>
        <w:spacing w:lineRule="auto" w:line="288" w:before="0" w:after="60"/>
        <w:jc w:val="left"/>
        <w:rPr>
          <w:color w:val="000000"/>
        </w:rPr>
      </w:pPr>
      <w:r>
        <w:rPr>
          <w:color w:val="000000"/>
        </w:rPr>
        <w:t>“</w:t>
      </w:r>
      <w:r>
        <w:rPr>
          <w:rFonts w:ascii="Times New Roman;serif" w:hAnsi="Times New Roman;serif"/>
          <w:b w:val="false"/>
          <w:color w:val="000000"/>
          <w:sz w:val="20"/>
        </w:rPr>
        <w:t>Domestic Holder,” we mean a Holder that is a U.S. Person;</w:t>
      </w:r>
    </w:p>
    <w:p>
      <w:pPr>
        <w:pStyle w:val="TextBody"/>
        <w:bidi w:val="0"/>
        <w:spacing w:lineRule="auto" w:line="288" w:before="0" w:after="60"/>
        <w:jc w:val="left"/>
        <w:rPr>
          <w:color w:val="000000"/>
        </w:rPr>
      </w:pPr>
      <w:r>
        <w:rPr>
          <w:color w:val="000000"/>
        </w:rPr>
        <w:t>“</w:t>
      </w:r>
      <w:r>
        <w:rPr>
          <w:rFonts w:ascii="Times New Roman;serif" w:hAnsi="Times New Roman;serif"/>
          <w:b w:val="false"/>
          <w:color w:val="000000"/>
          <w:sz w:val="20"/>
        </w:rPr>
        <w:t>Foreign Holder,” we mean a Holder that is not a U.S. Person;</w:t>
      </w:r>
    </w:p>
    <w:p>
      <w:pPr>
        <w:pStyle w:val="TextBody"/>
        <w:bidi w:val="0"/>
        <w:spacing w:lineRule="auto" w:line="288" w:before="0" w:after="60"/>
        <w:jc w:val="left"/>
        <w:rPr>
          <w:color w:val="000000"/>
        </w:rPr>
      </w:pPr>
      <w:r>
        <w:rPr>
          <w:color w:val="000000"/>
        </w:rPr>
        <w:t>“</w:t>
      </w:r>
      <w:r>
        <w:rPr>
          <w:rFonts w:ascii="Times New Roman;serif" w:hAnsi="Times New Roman;serif"/>
          <w:b w:val="false"/>
          <w:color w:val="000000"/>
          <w:sz w:val="20"/>
        </w:rPr>
        <w:t>IRS,” we mean the Internal Revenue Service;</w:t>
      </w:r>
    </w:p>
    <w:p>
      <w:pPr>
        <w:pStyle w:val="TextBody"/>
        <w:bidi w:val="0"/>
        <w:spacing w:lineRule="auto" w:line="288" w:before="0" w:after="60"/>
        <w:jc w:val="left"/>
        <w:rPr>
          <w:color w:val="000000"/>
        </w:rPr>
      </w:pPr>
      <w:r>
        <w:rPr>
          <w:color w:val="000000"/>
        </w:rPr>
        <w:t>“</w:t>
      </w:r>
      <w:r>
        <w:rPr>
          <w:rFonts w:ascii="Times New Roman;serif" w:hAnsi="Times New Roman;serif"/>
          <w:b w:val="false"/>
          <w:color w:val="000000"/>
          <w:sz w:val="20"/>
        </w:rPr>
        <w:t>Holder,” we mean any person having a beneficial ownership interest in shares of our common or preferred stock;</w:t>
      </w:r>
    </w:p>
    <w:p>
      <w:pPr>
        <w:pStyle w:val="TextBody"/>
        <w:bidi w:val="0"/>
        <w:spacing w:lineRule="auto" w:line="288" w:before="0" w:after="60"/>
        <w:jc w:val="left"/>
        <w:rPr>
          <w:color w:val="000000"/>
        </w:rPr>
      </w:pPr>
      <w:r>
        <w:rPr>
          <w:color w:val="000000"/>
        </w:rPr>
        <w:t>“</w:t>
      </w:r>
      <w:r>
        <w:rPr>
          <w:rFonts w:ascii="Times New Roman;serif" w:hAnsi="Times New Roman;serif"/>
          <w:b w:val="false"/>
          <w:color w:val="000000"/>
          <w:sz w:val="20"/>
        </w:rPr>
        <w:t>REMIC,” we mean real estate mortgage investment conduit as that term is defined in section 860D of the Code;</w:t>
      </w:r>
    </w:p>
    <w:p>
      <w:pPr>
        <w:pStyle w:val="TextBody"/>
        <w:bidi w:val="0"/>
        <w:spacing w:lineRule="auto" w:line="288" w:before="0" w:after="60"/>
        <w:jc w:val="left"/>
        <w:rPr>
          <w:color w:val="000000"/>
        </w:rPr>
      </w:pPr>
      <w:r>
        <w:rPr>
          <w:color w:val="000000"/>
        </w:rPr>
        <w:t>“</w:t>
      </w:r>
      <w:r>
        <w:rPr>
          <w:rFonts w:ascii="Times New Roman;serif" w:hAnsi="Times New Roman;serif"/>
          <w:b w:val="false"/>
          <w:color w:val="000000"/>
          <w:sz w:val="20"/>
        </w:rPr>
        <w:t>TMP,” we mean a taxable mortgage pool as that term is defined in section 7701(i)(2) of the Code;</w:t>
      </w:r>
    </w:p>
    <w:p>
      <w:pPr>
        <w:pStyle w:val="TextBody"/>
        <w:bidi w:val="0"/>
        <w:spacing w:lineRule="auto" w:line="288" w:before="0" w:after="60"/>
        <w:jc w:val="left"/>
        <w:rPr/>
      </w:pPr>
      <w:r>
        <w:rPr>
          <w:color w:val="000000"/>
        </w:rPr>
        <w:t>“</w:t>
      </w:r>
      <w:r>
        <w:rPr>
          <w:rFonts w:ascii="Times New Roman;serif" w:hAnsi="Times New Roman;serif"/>
          <w:b w:val="false"/>
          <w:color w:val="000000"/>
          <w:sz w:val="20"/>
        </w:rPr>
        <w:t>TRS,” we mean a taxable REIT subsidiary described under “-</w:t>
      </w:r>
      <w:r>
        <w:rPr>
          <w:rFonts w:ascii="Times New Roman;serif" w:hAnsi="Times New Roman;serif"/>
          <w:b w:val="false"/>
          <w:i/>
          <w:color w:val="000000"/>
          <w:sz w:val="20"/>
        </w:rPr>
        <w:t>Subsidiary Entities-Taxable REIT Subsidiaries</w:t>
      </w:r>
      <w:r>
        <w:rPr>
          <w:color w:val="000000"/>
        </w:rPr>
        <w:t xml:space="preserve">” </w:t>
      </w:r>
      <w:r>
        <w:rPr>
          <w:rFonts w:ascii="Times New Roman;serif" w:hAnsi="Times New Roman;serif"/>
          <w:b w:val="false"/>
          <w:color w:val="000000"/>
          <w:sz w:val="20"/>
        </w:rPr>
        <w:t>below; and</w:t>
      </w:r>
    </w:p>
    <w:p>
      <w:pPr>
        <w:pStyle w:val="TextBody"/>
        <w:bidi w:val="0"/>
        <w:spacing w:lineRule="auto" w:line="288"/>
        <w:jc w:val="left"/>
        <w:rPr>
          <w:color w:val="000000"/>
        </w:rPr>
      </w:pPr>
      <w:r>
        <w:rPr>
          <w:color w:val="000000"/>
        </w:rPr>
        <w:t>“</w:t>
      </w:r>
      <w:r>
        <w:rPr>
          <w:rFonts w:ascii="Times New Roman;serif" w:hAnsi="Times New Roman;serif"/>
          <w:b w:val="false"/>
          <w:color w:val="000000"/>
          <w:sz w:val="20"/>
        </w:rPr>
        <w:t xml:space="preserve">U.S. Person,” we mean (i) a citizen or resident of the United States; (ii) a corporation (or entity treated as a corporation for U.S. federal income tax purposes) created or organized in the United States or under the laws of the United States or of any state thereof, including, for this purpose, the District of Columbia; (iii) a partnership (or entity treated as a partnership for tax purposes) organized in the United States or under the laws of the United States or of any state thereof, including, for this purpose, the District of Columbia (unless provided otherwise by future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Treasury Regulations); (iv) an estate whose income is includible in gross income for U.S. federal income tax purposes regardless of its source; or (v) a trust, if a court within the United States is able to exercise primary supervision over the administration of the trust and one or more U.S. Persons have authority to control all substantial decisions of the trust. Notwithstanding the preceding clause, to the extent provided in Treasury Regulations, certain trusts that were in existence on August 20, 1996, that were treated as U.S. Persons prior to such date, and that elect to continue to be treated as U.S. Persons, also are U.S. Persons.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statements in this section are based on the current U.S. federal income tax laws. We cannot assure you that new laws, interpretations of law or court decisions, any of which may take effect retroactively, will not cause any statement in this section to be inaccurate. No assurance can be given that the IRS would not assert, or that a court would not sustain a position contrary to any of the tax consequences described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received a private letter ruling with respect to certain hedging matters from the IRS, but not regarding any other matter described herein. This summary provides general information only and is not tax advice. We urge you to consult your tax advisor regarding the specific tax consequences to you of the purchase, ownership and sale of our common or preferred stock and of our election to be taxed as a REIT. Specifically, you should consult your tax advisor regarding the federal, state, local, foreign, and other tax consequences of such purchase, ownership, sale and election, and regarding potential changes in applicable tax laws.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Federal Income Tax Considerations Relating to Our Treatment as a REIT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elected to be taxed as a REIT under Sections 856 through 860 of the Code commencing with our short taxable year ending on December 31, 2009. We believe that we were organized and have operated and will continue to operate in such a manner as to qualify for taxation as a REIT under the federal income tax laws, but no assurances can be given that we will operate in a manner so as to qualify or remain qualified as a REIT. This section discusses the laws governing the federal income tax treatment of a REIT and the holders of REIT stock. These laws are highly technical and complex.</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qualify as a REIT, we generally will not be subject to U.S. federal income tax on our taxable income that we currently distribute to our stockholders, but taxable income generated by our domestic TRSs, if any, will be subject to regular U.S. federal (and applicable state and local) corporate income tax.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Individuals who are stockholders of corporations that are not REITs are generally taxed on qualifying corporate dividends at a reduced maximum rate (the same as long-term capital gains), thereby substantially reducing, though not completely eliminating, the double taxation that has historically applied to corporate dividends. With limited exceptions, however, dividends received by individual U.S. stockholders from us or from other entities that are taxed as REITs are taxed at rates applicable to ordinary income and are accompanied by a deduction equal to 20% of the amount of such dividends (provided that the dividend is neither attributable to “qualified dividend income” nor designated as “capital gain dividends”). Net operating losses, foreign tax credits and other tax attributes of a REIT generally do not pass through to the stockholders of the REIT, subject to special rules for certain items, such as capital gains, recognized by REITs.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we qualify as a REIT, however, we will be subject to U.S. federal income taxation in the following circumstances:</w:t>
      </w:r>
    </w:p>
    <w:p>
      <w:pPr>
        <w:pStyle w:val="TextBody"/>
        <w:bidi w:val="0"/>
        <w:spacing w:before="0" w:after="0"/>
        <w:ind w:left="0" w:right="0" w:firstLine="720"/>
        <w:jc w:val="left"/>
        <w:rPr/>
      </w:pPr>
      <w:r>
        <w:rPr/>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1.We will pay U.S. federal income tax on our taxable income, including net capital gain, that we do not distribute to stockholders during, or within a specified time period after, the calendar year in which the income is earned.</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2.We will pay U.S. federal income tax at the highest corporate rate 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net income from the sale or other disposition of property acquired through foreclosure, which we refer to as foreclosure property, that we hold primarily for sale to customers in the ordinary course of business, and</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other non-qualifying income from foreclosure property.</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3.We will pay a 100% tax on net income earned from sales or other dispositions of property, other than foreclosure property, that we hold primarily for sale to customers in the ordinary course of business.</w:t>
      </w:r>
    </w:p>
    <w:p>
      <w:pPr>
        <w:pStyle w:val="TextBody"/>
        <w:bidi w:val="0"/>
        <w:spacing w:lineRule="auto" w:line="288" w:before="0" w:after="200"/>
        <w:ind w:left="0" w:right="0" w:hanging="360"/>
        <w:jc w:val="left"/>
        <w:rPr/>
      </w:pPr>
      <w:r>
        <w:rPr>
          <w:rFonts w:ascii="Times New Roman;serif" w:hAnsi="Times New Roman;serif"/>
          <w:b w:val="false"/>
          <w:color w:val="000000"/>
          <w:sz w:val="20"/>
        </w:rPr>
        <w:t>4.If we fail to satisfy the 75% gross income test or the 95% gross income test, as described below under “-</w:t>
      </w:r>
      <w:r>
        <w:rPr>
          <w:rFonts w:ascii="Times New Roman;serif" w:hAnsi="Times New Roman;serif"/>
          <w:b w:val="false"/>
          <w:i/>
          <w:color w:val="000000"/>
          <w:sz w:val="20"/>
        </w:rPr>
        <w:t>Gross Income Tests</w:t>
      </w:r>
      <w:r>
        <w:rPr>
          <w:rFonts w:ascii="Times New Roman;serif" w:hAnsi="Times New Roman;serif"/>
          <w:b w:val="false"/>
          <w:color w:val="000000"/>
          <w:sz w:val="20"/>
        </w:rPr>
        <w:t>,” but nonetheless continue to qualify as a REIT because we meet other requirements, we will be subject to a 100% tax 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greater of the amount by which we fail the 75% gross income test or the 95% gross income test, multiplied, in either case, by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 fraction intended to reflect our profitability.</w:t>
      </w:r>
    </w:p>
    <w:p>
      <w:pPr>
        <w:pStyle w:val="TextBody"/>
        <w:bidi w:val="0"/>
        <w:spacing w:lineRule="auto" w:line="288" w:before="0" w:after="200"/>
        <w:ind w:left="0" w:right="0" w:hanging="360"/>
        <w:jc w:val="left"/>
        <w:rPr/>
      </w:pPr>
      <w:r>
        <w:rPr>
          <w:rFonts w:ascii="Times New Roman;serif" w:hAnsi="Times New Roman;serif"/>
          <w:b w:val="false"/>
          <w:color w:val="000000"/>
          <w:sz w:val="20"/>
        </w:rPr>
        <w:t>5.If we fail to satisfy the asset tests by more than a de minimis amount, as described below under “</w:t>
      </w:r>
      <w:r>
        <w:rPr>
          <w:rFonts w:ascii="Times New Roman;serif" w:hAnsi="Times New Roman;serif"/>
          <w:b w:val="false"/>
          <w:i/>
          <w:color w:val="000000"/>
          <w:sz w:val="20"/>
        </w:rPr>
        <w:t>Asset Tests</w:t>
      </w:r>
      <w:r>
        <w:rPr>
          <w:color w:val="000000"/>
        </w:rPr>
        <w:t>”</w:t>
      </w:r>
      <w:r>
        <w:rPr>
          <w:rFonts w:ascii="Times New Roman;serif" w:hAnsi="Times New Roman;serif"/>
          <w:b w:val="false"/>
          <w:color w:val="000000"/>
          <w:sz w:val="20"/>
        </w:rPr>
        <w:t>, as long as the failure was due to reasonable cause and not to willful neglect, we dispose of the assets or otherwise comply with such asset tests within six months after the last day of the quarter in which we identify such failure and we file a schedule with the IRS describing the assets that caused such failure, we will pay a tax equal to the greater of $50,000 or the corporate tax rate of the net income from the non-qualifying assets during the period in which we failed to satisfy such asset tests.</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6.If we fail to satisfy one or more requirements for REIT qualification, other than the gross income tests and the asset tests, and such failure was due to reasonable cause and not due to willful neglect, we will be required to pay a penalty of $50,000 for each such failure.</w:t>
      </w:r>
    </w:p>
    <w:p>
      <w:pPr>
        <w:pStyle w:val="TextBody"/>
        <w:bidi w:val="0"/>
        <w:spacing w:lineRule="auto" w:line="288" w:before="0" w:after="200"/>
        <w:ind w:left="0" w:right="0" w:hanging="360"/>
        <w:jc w:val="left"/>
        <w:rPr/>
      </w:pPr>
      <w:r>
        <w:rPr>
          <w:rFonts w:ascii="Times New Roman;serif" w:hAnsi="Times New Roman;serif"/>
          <w:b w:val="false"/>
          <w:color w:val="000000"/>
          <w:sz w:val="20"/>
        </w:rPr>
        <w:t xml:space="preserve">7.We may be required to pay monetary penalties to the IRS in certain circumstances, including if we fail to meet recordkeeping requirements intended to monitor our compliance with rules relating to the composition of a REIT’s stockholders, as described below in </w:t>
      </w:r>
      <w:r>
        <w:rPr>
          <w:color w:val="000000"/>
        </w:rPr>
        <w:t>“</w:t>
      </w:r>
      <w:r>
        <w:rPr>
          <w:rFonts w:ascii="Times New Roman;serif" w:hAnsi="Times New Roman;serif"/>
          <w:b w:val="false"/>
          <w:i/>
          <w:color w:val="000000"/>
          <w:sz w:val="20"/>
        </w:rPr>
        <w:t>Requirements for Qualification.</w:t>
      </w:r>
      <w:r>
        <w:rPr>
          <w:color w:val="000000"/>
        </w:rPr>
        <w:t>”</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8.If we fail to distribute during a calendar year at least the sum of: (i) 85% of our REIT ordinary income for the year, (ii) 95% of our REIT capital gain net income for the year and (iii) any undistributed taxable income from earlier periods, we will pay a 4% nondeductible excise tax on the excess of the required distribution over the amount we actually distributed, plus any retained amounts on which income tax has been paid at the corporate level.</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9.We may elect to retain and pay U.S. federal income tax on our net long-term capital gain. In that case, a Domestic Holder would be taxed on its proportionate share of our undistributed long-term capital gain (to the extent that we make a timely designation of such gain to the stockholder) and would receive a credit or refund for its proportionate share of the tax we paid.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10.We will be subject to a 100% excise tax on transactions between us and any of our TRSs that are not conducted on an arm’s-length basis.</w:t>
      </w:r>
    </w:p>
    <w:p>
      <w:pPr>
        <w:pStyle w:val="TextBody"/>
        <w:bidi w:val="0"/>
        <w:spacing w:lineRule="auto" w:line="288" w:before="0" w:after="200"/>
        <w:ind w:left="0" w:right="0" w:hanging="360"/>
        <w:jc w:val="left"/>
        <w:rPr/>
      </w:pPr>
      <w:r>
        <w:rPr>
          <w:rFonts w:ascii="Times New Roman;serif" w:hAnsi="Times New Roman;serif"/>
          <w:b w:val="false"/>
          <w:color w:val="000000"/>
          <w:sz w:val="20"/>
        </w:rPr>
        <w:t>11.If (a) we recognize excess inclusion income for a taxable year as a result of our ownership of a 100% equity interest in a TMP or our ownership of a REMIC residual interest and (b) one or more Disqualified Organizations is the record owner of shares of our common stock during that year, then we will be subject to tax at the highest corporate U.S. federal income tax rate on the portion of the excess inclusion income that is allocable to the Disqualified Organizations. We do not anticipate owning REMIC residual interests; we may, however, own 100% of the equity interests in one or more trusts formed in connection with our securitization transactions that would be classified as a TMP. See “-</w:t>
      </w:r>
      <w:r>
        <w:rPr>
          <w:rFonts w:ascii="Times New Roman;serif" w:hAnsi="Times New Roman;serif"/>
          <w:b w:val="false"/>
          <w:i/>
          <w:color w:val="000000"/>
          <w:sz w:val="20"/>
        </w:rPr>
        <w:t>Taxable Mortgage Pools</w:t>
      </w:r>
      <w:r>
        <w:rPr>
          <w:rFonts w:ascii="Times New Roman;serif" w:hAnsi="Times New Roman;serif"/>
          <w:b w:val="false"/>
          <w:color w:val="000000"/>
          <w:sz w:val="20"/>
        </w:rPr>
        <w:t>.”</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12.If we acquire any asset from a C corporation, or a corporation that generally is subject to full corporate-level tax, in a merger or other transaction in which we acquire a basis in the asset that is determined by reference either to the C corporation’s basis in the asset or to another asset, we will pay tax at the highest corporate U.S. federal income tax rate if we recognize gain on the sale or disposition of the asset during the 5-year period after we acquire the asset. The amount of gain on which we will pay tax is the lesser of:</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amount of gain that we recognize at the time of the sale or disposition,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amount of gain that we would have recognized if we had sold the asset at the time we acquired it, assuming that the C corporation will not elect in lieu of this treatment to an immediate tax when the asset is acquired.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notwithstanding our qualification as a REIT, we may also have to pay certain state, local, and foreign income, property, and other taxes, because not all states and localities treat REITs in the same manner that they are treated for U.S. federal income tax purposes. Moreover, as further described below, any domestic TRS in which we own an interest will be subject to federal, state and local corporate income tax on its taxable income. We could also be subject to tax in situations and on transactions not presently contemplated.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Requirements for Qualification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REIT is a corporation, trust, or association that meets each of the following requirements:</w:t>
      </w:r>
    </w:p>
    <w:p>
      <w:pPr>
        <w:pStyle w:val="TextBody"/>
        <w:bidi w:val="0"/>
        <w:spacing w:before="0" w:after="0"/>
        <w:jc w:val="left"/>
        <w:rPr/>
      </w:pPr>
      <w:r>
        <w:rPr/>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1.It is managed by one or more trustees or directors.</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2.Its beneficial ownership is evidenced by transferable shares or by transferable certificates of beneficial interest.</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3.It would be taxable as a domestic corporation, but for the REIT provisions of the U.S. federal income tax laws.</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4.It is neither a financial institution nor an insurance company subject to special provisions of the U.S. federal income tax laws.</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5.At least 100 persons are beneficial owners of its shares or ownership certificates.</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6.Not more than 50% in value of its outstanding shares or ownership certificates is owned, directly or indirectly, by five or fewer individuals, which the U.S. federal income tax laws define to include certain entities, during the last half of any taxable year. For purposes of this requirement, indirect ownership will be determined by applying attribution rules set out in section 544 of the Code, as modified by section 856(h) of the Code. </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7.It elects to be taxed as a REIT, or has made such election for a previous taxable year, and satisfies all relevant filing and other administrative requirements that must be met to elect and maintain REIT qualification.</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8.It meets certain other qualification tests, described below, regarding the nature of its income and assets.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must meet requirements 1 through 4 during our entire taxable year and must meet requirement 5 during at least 335 days of a taxable year of twelve months, or during a proportionate part of a taxable year of less than twelve months. If we comply with all the requirements for ascertaining the ownership of our outstanding stock in a taxable year and have no reason to know that we violated requirement 6, we will be deemed to have satisfied requirement 6 for that taxable year. For purposes of determining share ownership under requirement 6, an “individual” generally includes a supplemental unemployment compensation benefits plan, a private foundation, or a portion of a trust permanently set aside or used exclusively for charitable purposes. An “individual” generally does not include a trust that is a qualified employee pension or profit sharing trust under the U.S. federal income tax laws, however, and beneficiaries of such a trust will be treated as owning our stock in proportion to their actuarial interests in the trust for purposes of requirement 6.</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we have and have always had sufficient diversity of ownership to satisfy requirements 5 and 6. In addition, our charter restricts the ownership and transfer of our stock so that we should continue to satisfy these requirements.</w:t>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monitor compliance with the share ownership requirements, we generally are required to maintain records regarding the actual ownership of our shares. To do so, we must demand written statements each year from the record holders of significant percentages of our stock pursuant to which the record holders must disclose the actual owners of the shares (i.e., the persons required to include our dividends in their gross income). We must maintain a list of those persons failing or refusing to comply with this demand as part of our records. We could be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subject to monetary penalties if we fail to comply with these record keeping requirements. If you fail or refuse to comply with the demands, you will be required by Treasury Regulations to submit a statement with your tax return disclosing your actual ownership of our shares and other information. In addition, we must satisfy all relevant filing and other administrative requirements that must be met to elect and maintain REIT qualification and use a calendar year for U.S. federal income tax purposes. We intend to continue to comply with these requirements.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Subsidiary Entities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Qualified REIT Subsidiaries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including for purposes of the gross income and asset tests applicable to REITs (see “-</w:t>
      </w:r>
      <w:r>
        <w:rPr>
          <w:rFonts w:ascii="Times New Roman;serif" w:hAnsi="Times New Roman;serif"/>
          <w:b w:val="false"/>
          <w:i/>
          <w:color w:val="000000"/>
          <w:sz w:val="20"/>
        </w:rPr>
        <w:t>Gross Income Tests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Asset Tests</w:t>
      </w:r>
      <w:r>
        <w:rPr>
          <w:color w:val="000000"/>
        </w:rPr>
        <w:t>”</w:t>
      </w:r>
      <w:r>
        <w:rPr>
          <w:rFonts w:ascii="Times New Roman;serif" w:hAnsi="Times New Roman;serif"/>
          <w:b w:val="false"/>
          <w:color w:val="000000"/>
          <w:sz w:val="20"/>
        </w:rPr>
        <w:t>). A qualified REIT subsidiary is a corporation, other than a TRS, all of the capital stock of which is owned, directly or indirectly, by the REIT. Thus, in applying the requirements described herein, any qualified REIT subsidiary that we own will be ignored, and all assets, liabilities, and items of income, deduction and credit of such subsidiary will be treated as our assets, liabilities, and items of income, deduction and credit.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Disregarded Entities and Partnerships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An unincorporated domestic entity, such as a partnership, limited liability company, or trust that has a single owner generally is not treated as an entity separate from its parent for U.S. federal income tax purposes, including for purposes of the gross income and asset tests applicable to REITs. An unincorporated domestic entity with two or more owners generally is treated as a partnership for U.S. federal income tax purposes. Our proportionate share of the assets, liabilities, and items of income of any partnership, joint venture or limited liability company that is treated as a partnership for U.S. federal income tax purposes in which we acquire an interest, directly or indirectly, will be treated as our assets and gross income for purposes of applying the various REIT qualification requirements. For purposes of the 10% value test (see “-</w:t>
      </w:r>
      <w:r>
        <w:rPr>
          <w:rFonts w:ascii="Times New Roman;serif" w:hAnsi="Times New Roman;serif"/>
          <w:b w:val="false"/>
          <w:i/>
          <w:color w:val="000000"/>
          <w:sz w:val="20"/>
        </w:rPr>
        <w:t>Asset Tests</w:t>
      </w:r>
      <w:r>
        <w:rPr>
          <w:color w:val="000000"/>
        </w:rPr>
        <w:t>”</w:t>
      </w:r>
      <w:r>
        <w:rPr>
          <w:rFonts w:ascii="Times New Roman;serif" w:hAnsi="Times New Roman;serif"/>
          <w:b w:val="false"/>
          <w:color w:val="000000"/>
          <w:sz w:val="20"/>
        </w:rPr>
        <w:t>), our proportionate share is based on our proportionate interest in the equity interests and certain debt securities issued by the partnership. For all of the other asset and income tests, our proportionate share is based on our proportionate interest in the capital interests in the partnership.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If a disregarded subsidiary of ours ceases to be wholly-owned – for example, if any equity interest in the subsidiary is acquired by a person other than us or another disregarded subsidiary of ours – the subsidiary’s separate existence would no longer be disregarded for U.S. federal income tax purposes. Instead, the subsidiary would have multiple owners and would be treated as either a partnership or a taxable corporation. Such an event could, depending on the circumstances, adversely affect our ability to satisfy the various asset and gross income requirements applicable to REITs, including the requirement that REITs generally may not own, directly or indirectly, more than 10% of the securities of another corporation. See “-</w:t>
      </w:r>
      <w:r>
        <w:rPr>
          <w:rFonts w:ascii="Times New Roman;serif" w:hAnsi="Times New Roman;serif"/>
          <w:b w:val="false"/>
          <w:i/>
          <w:color w:val="000000"/>
          <w:sz w:val="20"/>
        </w:rPr>
        <w:t>Asset Tests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Gross Income Tests</w:t>
      </w:r>
      <w:r>
        <w:rPr>
          <w:rFonts w:ascii="Times New Roman;serif" w:hAnsi="Times New Roman;serif"/>
          <w:b w:val="false"/>
          <w:color w:val="000000"/>
          <w:sz w:val="20"/>
        </w:rPr>
        <w:t>.”</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Taxable REIT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REIT is permitted to own up to 100% of the stock of one or more TRSs. A TRS is a fully taxable corporation that may earn income that would not be qualifying income if earned directly by the parent REIT. The subsidiary and the REIT must jointly elect to treat the subsidiary as a TRS. A corporation with respect to which a TRS directly or indirectly owns more than 35% of the voting power or value of the stock will automatically be treated as a TRS. Overall, no more than 25% (20% for taxable years beginning before 2026) of the value of a REIT’s assets may consist of stock or securities of one or more TRSs.</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separate existence of a TRS or other taxable corporation, unlike a qualified REIT subsidiary or other disregarded subsidiary as discussed above, is not ignored for U.S. federal income tax purposes. Accordingly, a domestic TRS would generally be subject to U.S. federal income tax (and applicable state and local taxes) on its earnings, which may reduce the cash flow generated by us and our subsidiaries in the aggregate and our ability to make distributions to our stockholders.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REIT is not treated as holding the assets of a TRS or other taxable subsidiary corporation or as receiving any income that the subsidiary earns. Rather, the stock issued by the subsidiary is an asset in the hands of the REIT, and the REIT generally recognizes as income the dividends, if any, that it receives from the subsidiary. This treatment can affect the gross income and asset test calculations that apply to the REIT, as described below. Because a parent REIT does not include the assets and income of such subsidiary corporations in determining the parent’s compliance with the REIT requirements, such entities may be used by the parent REIT to undertake indirectly activities that the REIT rules might otherwise preclude it from doing directly or indirectly through pass-through subsidiaries.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restrictions imposed on TRSs are intended to ensure that such entities will be subject to appropriate levels of U.S. federal income taxation. If amounts are paid to a REIT or deducted by a TRS due to transactions between the REIT and a TRS that exceed the amount that would be paid to or deducted by a party in an arm’s-length transaction, the REIT generally will be subject to an excise tax equal to 100% of such excess. We intend to scrutinize all of our transactions with any of our subsidiaries that are treated as a TRS in an effort to ensure that we do not become subject to this excise tax; however, we cannot assure you that we will be successful in avoiding this excise tax.</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Gross Income Tests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must satisfy two gross income tests annually to maintain qualification as a REIT. First, at least 75% of our gross income for each taxable year must consist of defined types of income that we derive from investments relating to real property or mortgages on real property, or from qualified temporary investments. Qualifying income for purposes of the 75% gross income test generally includes:</w:t>
      </w:r>
    </w:p>
    <w:p>
      <w:pPr>
        <w:pStyle w:val="TextBody"/>
        <w:bidi w:val="0"/>
        <w:spacing w:before="0" w:after="0"/>
        <w:ind w:left="0" w:right="0" w:firstLine="72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rents from real property;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interest on debt secured by a mortgage on real property or on interests in real property;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dividends or other distributions on, and gain from the sale of, shares in other REITs;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gain from the sale of real property (including interests in real property and interests in mortgages on real property) other than property held for sale to customers in the ordinary course of a trade or business;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any amount includible in gross income with respect to a regular or residual interest in a REMIC, unless less than 95% of the REMIC’s assets are real estate assets, in which case only a proportionate amount of such income will qualify;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income derived from certain temporary investments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Second, in general, at least 95% of our gross income for each taxable year must consist of some combination of income that is qualifying income for purposes of the 75% gross income test and other types of interest and dividends, or gain from the sale or disposition of stock or securities (provided that such stock or securities are not property held primarily for sale to customers in the ordinary course of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income from the sale of property held for sale to customers in the ordinary course of a trade or business is excluded from both the numerator and the denominator in both income tests. Income and gain from hedging transactions that we enter into to hedge indebtedness incurred or to be incurred to acquire or carry real estate assets will generally be excluded from both the numerator and the denominator for purposes of the 95% gross income test and the 75% gross income test. We intend to monitor the amount of our non-qualifying income and manage our investment portfolio to comply at all times with the gross income tests but we cannot assure you that we will be successful in this effort.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w:t>
      </w:r>
    </w:p>
    <w:p>
      <w:pPr>
        <w:pStyle w:val="TextBody"/>
        <w:bidi w:val="0"/>
        <w:spacing w:before="0" w:after="0"/>
        <w:jc w:val="left"/>
        <w:rPr/>
      </w:pPr>
      <w:r>
        <w:rPr/>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term “interest,” as defined for purposes of both gross income tests, generally excludes any amount that is based in whole or in part on the income or profits of any person. However, interest generally includes the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(i) an amount that is based on a fixed percentage or percentages of gross receipts or sales and (ii) an amount that is based on the income or profits of a borrower, where the borrower derives substantially all of its income from the real property securing the debt by leasing substantially all of its interest in the property, but only to the extent that the amounts received by the borrower would be qualifying “rents from real property” if received directly by a REIT.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loan contains a provision that entitles a REIT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 provided that the property is not held as inventory or dealer property.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including original issue discount and market discount, on debt secured by a mortgage on real property or on interests in real property is generally qualifying income for purposes of the 75% gross income test. Where a mortgage covers both real property and other property, an apportionment of interest income must be made for purposes of the 75% gross income test. If a mortgage covers both real property and other property and the fair market value of the real property securing the mortgage loan at the time we commit to originate or acquire the mortgage loan equals or exceeds the highest principal amount of the loan during the year, then all of the interest we accrue on the mortgage loan will qualify for purposes of the 75% gross income test. If, however, the value of the real property were less than the highest principal amount, then only a portion of the interest income we accrue on the mortgage loan would qualify for purposes of the 75% gross income test; such portion based on the percentage equivalent of a fraction, the numerator of which is the fair market value of the real property and the denominator of which is the principal amount of the mortgage loan.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including original issue discount or market discount, that we accrue on our real estate-related investments generally will be qualifying income for purposes of both gross income tests. Interest income from investments that are not secured by mortgages on real property will be qualifying income for purposes of the 95% gross income test but not the 75% gross income test.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Mortgage-Backed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acquired and expect to continue to acquire MBS, including Agency MBS, that will be treated either as interests in a grantor trust or as REMIC regular interests. We expect that all income from the MBS in which we invest will be qualifying income for purposes of the 95% gross income test. In the case of interests in grantor trusts, we will be treated as owning an undivided beneficial ownership interest in the mortgage loans held by the grantor trust. Thus, to the extent those mortgage loans are secured by real property or interests in real property, the income from the grantor trust will be qualifying income for purposes of the 75% gross income test. Income that we accrue with respect to REMIC regular interests will generally be treated as qualifying income for purposes of the 75% gross income tests. If, however, less than 95% of the assets of the REMIC are real estate assets, then only a proportionate part of such income will qualify for purposes of the 75% gross income test. We expect that substantially all of the income we have accrued and will accrue on our investments in MBS, and any gain from the disposition of MBS, will be qualifying income for purposes of the both the 75% and the 95% gross income tests.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use “to-be-announced” forward contracts, or TBAs, as a means of investing and financing Agency Securities. There is no direct authority with respect to the qualifications of income or gains from dispositions of TBAs as gains from the sale of real property (including interests in real property and interests in mortgages on real property) or other qualifying income for purposes of the 75% gross income test. We have received advice that TBAs should be so treated. Accordingly, we will treat these items as qualifying for purposes of the 75% gross income test. This advice is not binding on the IRS. In the event that such income was determined not to be qualifying income for the 75% gross income test, we could be subject to a penalty tax or could fail to qualify as a REIT if such income, when added to any other non-qualifying income, exceeded 25% of our gross income. </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hold certain participation interests, including B-notes in mortgage loans. Such interests in an underlying loan are created by virtue of a participation or similar agreement to which the originator of the loan is a party, along with one or more participants. The borrower on the underlying loan is typically not a party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participation agreement. The performance of this investment depends upon the performance of the underlying loan, and if the underlying borrower defaults, the participant typically has no recourse against the originator of the loan.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originator often retains a senior position in the underlying loan, and grants junior participations which absorb losses first in the event of a default by the borrower. We believe that our participation interests will qualify as real estate assets for purposes of the REIT asset tests described below, and that the interest that we will derive from such investments will be treated as qualifying mortgage interest for purposes of the 75% and 95% income tests. The appropriate treatment of participation interests for federal income tax purposes is not entirely certain, however, and no assurance can be given that the IRS will not challenge our treatment of our participation interests. In the event of a determination that such participation interests do not qualify as real estate assets, or that the income that we will derive from such participation interests does not qualify as mortgage interest for purposes of the REIT asset and income tests, we could be subject to a penalty tax, or could fail to qualify as a REIT.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invest in construction loans, the interest from which will be qualifying income for purposes of the REIT income tests, provided that the loan value of the real property securing the construction loan is equal to or greater than the highest outstanding principal amount of the construction loan during any taxable year, and other requirements are met. For purposes of construction loans, the loan value of the real property is the fair market value of the land plus the reasonably estimated cost of the improvements or developments (other than personal property) which will secure the loan and which are to be constructed from the proceeds of the loan. There can be no assurance that the IRS would not successfully challenge our estimate of the loan value of the real property and our treatment of the construction loans for purposes of the REIT income and assets tests, which may cause us to fail to qualify as a REIT.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Foreign Currency Gains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foreign currency gains are excluded from gross income for purposes of one or both of the gross income tests. “Real estate foreign exchange gain” is excluded from gross income for purposes of the 75% gross income test. Real estate foreign exchange gain generally includes foreign currency gain attributable to any item of income or gain that is qualifying income for purposes of the 75% gross income test, foreign currency gain attributable to the acquisition or ownership of (or becoming or being the obligor under) obligations secured by mortgages on real property or on interest in real property and certain foreign currency gain attributable to certain “qualified business units” of a REIT. “Passive foreign exchange gain” will be excluded from gross income for purposes of the 95% gross income test. Passive foreign exchange gain generally includes real estate foreign exchange gain as described above, and also includes foreign currency gain attributable to any item of income or gain that is qualifying income for purposes of the 95% gross income test and foreign currency gain attributable to the acquisition or ownership of (or becoming or being the obligor under) obligations. Because passive foreign exchange gain includes real estate foreign exchange gain, real estate foreign exchange gain is excluded from gross income for purposes of both the 75% and 95% gross income test. These exclusions for real estate foreign exchange gain and passive foreign exchange gain do not apply to foreign currency gain derived from dealing, or engaging in substantial and regular trading, in securities. Such gain is treated as non-qualifying income for purposes of both the 75% and 95% gross income tests.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Fee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receive various fees in connection with our operations. The fees will be qualifying income for purposes of both the 75% gross income and 95% gross income tests if they are received in consideration for entering into an agreement to make a loan secured by a mortgage on real property or an interest in real property and the fees are not determined by income or profits of any person. Other fees are not qualifying income for purposes of either gross income test. Any fees earned by our TRS will not be included for purposes of the gross income tests.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before="0" w:after="0"/>
        <w:jc w:val="left"/>
        <w:rPr/>
      </w:pPr>
      <w:r>
        <w:rPr/>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share of any dividends received from any corporation (including any TRS, but excluding any qualified REIT subsidiary) in which we own an equity interest will qualify for purposes of the 95% gross income test but not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purposes of the 75% gross income test. Our share of any dividends received from any other REIT in which we own an equity interest will be qualifying income for purposes of both gross income tests.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Derivatives and Hedging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our subsidiaries may enter into hedging transactions with respect to interest rate exposure on one or more of our assets or liabilities. Any such hedging transactions could take a variety of forms, including the use of derivative instruments such as interest rate swap contracts, interest rate cap or floor contracts, futures or forward contracts, and options. Except to the extent provided by Treasury Regulations, any income from a hedging transaction we enter into (i) in the normal course of our business primarily to manage risk of interest rate or price changes or currency fluctuations with respect to borrowings made or to be made, or ordinary obligations incurred or to be incurred, to acquire or carry real estate assets, and (ii) primarily to manage risk of currency fluctuations with respect to any item of income or gain that would be qualifying income under the 75% or 95% income tests (or any asset that produces such income) and (iii) in both cases, which are clearly identified as such before the close of the day on which it was acquired, originated, or entered into, will not constitute gross income for purposes of the 75% or 95% gross income test. We have received a private letter ruling from the IRS to allow us to treat income from hedging transactions that counteract hedging transactions as hedging transactions for federal income tax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that we enter into other types of hedging transactions, the income from those transactions is likely to be treated as non-qualifying income for purposes of both of the 75% and 95% gross income tests. We intend to structure any hedging transactions in a manner that does not jeopardize our qualification as a REIT. We may conduct some or all of our hedging activities (including hedging activities relating to currency risk) through a TRS or other corporate entity, the income from which may be subject to U.S. federal income tax, rather than by participating in the arrangements directly or through pass-through subsidiaries. No assurance can be given, however, that our hedging activities will not give rise to income that does not qualify for purposes of either or both of the REIT gross income tests, or that our hedging activities will not adversely affect our ability to satisfy the REIT qualification requirements.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Failure to Satisfy Gross Income Tests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We have monitored and will continue to monitor the amount of our non-qualifying income and manage our assets to comply with the gross income tests for each taxable year for which we seek to maintain our REIT qualification. We cannot assure you, however, that we will be able to satisfy the gross income tests. If we fail to satisfy one or both of the gross income tests for any taxable year, we may nevertheless qualify as a REIT for such year if we qualify for relief under certain provisions of the Code. These relief provisions will be generally available if (i) our failure to meet such tests was due to reasonable cause and not due to willful neglect, and (ii) we file with the IRS a schedule describing the sources of our gross income in accordance with Treasury Regulations. We cannot predict, however, whether in all circumstances, we would qualify for the benefit of these relief provisions. In addition, as discussed above under “-</w:t>
      </w:r>
      <w:r>
        <w:rPr>
          <w:rFonts w:ascii="Times New Roman;serif" w:hAnsi="Times New Roman;serif"/>
          <w:b w:val="false"/>
          <w:i/>
          <w:color w:val="000000"/>
          <w:sz w:val="20"/>
        </w:rPr>
        <w:t>Federal Income Tax Considerations Relating to Our Treatment as a REIT</w:t>
      </w:r>
      <w:r>
        <w:rPr>
          <w:rFonts w:ascii="Times New Roman;serif" w:hAnsi="Times New Roman;serif"/>
          <w:b w:val="false"/>
          <w:color w:val="000000"/>
          <w:sz w:val="20"/>
        </w:rPr>
        <w:t>,” even if the relief provisions apply, a tax would be imposed upon the amount by which we fail to satisfy the particular gross income test.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Secretary of the Treasury has been given broad authority to determine whether particular items of gain or income recognized after July 30, 2008 qualify or not under the 75% and 95% gross income tests, or are to be excluded from the measure of gross income for such purposes.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Cash/Income Differences - Phantom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nature of the assets in which we will invest, we may be required to recognize taxable income from those assets in advance of our receipt of cash flow on or proceeds from disposition of such assets, and may be required to report taxable income in early periods that exceeds the economic income ultimately realized on such assets.</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acquire MBS in the secondary market for less than their face amount. The discount at which such debt instruments are acquired may reflect doubts about their ultimate collectability rather than current market interest rates. The amount of such discount will nevertheless generally be treated as “market discount” for U.S. federal income tax purposes. Payments on mortgage loans are ordinarily made monthly, and consequently accrued market discount generally will have to be included in income each month as if the debt instrument were assured of ultimately being collected in full. If we collect less on the debt instrument than our purchase price plus the market discount we had previously reported as income, we may not be able to benefit from any offsetting loss deductions.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of the MBS that we acquire may have been issued with original issue discount. In general, we will be required to accrue original issue discount based on the constant yield to maturity of the MBS, and to treat the accrued original issue discount as taxable income in accordance with applicable U.S. federal income tax rules even though smaller or no cash payments are received on such debt instrument. As in the case of the market discount discussed in the preceding paragraph, the constant yield in question will be determined and we will be taxed based on the assumption that all future payments due on the MBS in question will be made, with consequences similar to those described in the previous paragraph if all payments on the MBS are not made.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if any debt instruments or MBS acquired by us are delinquent as to mandatory principal and interest payments, or if payments with respect to a particular debt instrument are not made when due, we may nonetheless be required to continue to recognize the unpaid interest as taxable income. Similarly, we may be required to accrue interest income with respect to subordinate MBS at the stated rate regardless of whether corresponding cash payments are received.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Finally, we may be required under the terms of indebtedness that we incur, whether to private lenders or pursuant to government programs, to use cash received from interest payments to make principal payments on that indebtedness, with the effect of recognizing income but not having a corresponding amount of cash available for distribution to our stockholders.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Due to each of these potential timing differences between income recognition or expense deduction and the related cash receipts or disbursements, there is a significant risk that we may have substantial taxable income in excess of cash available for distribution. In that event, we may need to borrow funds or take other actions to satisfy the REIT distribution requirements for the taxable year in which this “phantom income” is recognized. See “-</w:t>
      </w:r>
      <w:r>
        <w:rPr>
          <w:rFonts w:ascii="Times New Roman;serif" w:hAnsi="Times New Roman;serif"/>
          <w:b w:val="false"/>
          <w:i/>
          <w:color w:val="000000"/>
          <w:sz w:val="20"/>
        </w:rPr>
        <w:t>Annual Distribution Requirements</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 Tests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qualify as a REIT, we also must satisfy the following asset tests at the end of each quarter of each taxable year. First, at least 75% of the value of our total assets must consist of some combination of “real estate assets,” cash, cash items, government securities, and, under some circumstances, stock or debt instruments purchased with new capital. For this purpose, the term “real estate assets” includes interests in real property (including leaseholds and options to acquire real property and leaseholds), stock of other corporations that qualify as REITs and interests in mortgage loans secured by real property (including certain types of mortgage backed securities). Assets that do not qualify for purposes of the 75% test are subject to the additional asset tests described below.</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Second, the value of our interest in any one issuer’s securities (other than debt and equity securities issued by any of our TRSs, qualified REIT subsidiaries, any other entity that is disregarded as an entity separate from us, and any equity interest we may hold in a partnership) may not exceed 5% of the value of our total assets. Third, we may not own more than 10% of the voting power or 10% of the value of any one issuer’s outstanding securities (other than debt and equity securities issued by any of our TRSs, qualified REIT subsidiaries, any other entity that is disregarded as an entity separate from us, and any equity interest we may hold in a partnership). Solely for purposes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Code. For purposes of the 10% value test, the term “securities” does not include certain “straight debt” securities. Fourth, no more than 25%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 for years beginning before 2026) of the value of our total assets may consist of the securities of one or more TRSs. Fifth, no more than 25% of the total value of our assets may be represented by “nonqualified publicly offered REIT debt instruments” (i.e., real estate assets that would cease to be real estate assets if debt instruments issued by publicly offered REITs were not included in the definition of real estate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general rule that, for purposes of the gross income and asset tests, a REIT is treated as owning its proportionate share of the underlying assets of a partnership in which it holds a partnership interest, if a REIT holds indebtedness issued by a partnership, the indebtedness will be subject to, and may cause a violation of the asset tests, unless it is a qualifying mortgage asset or otherwise satisfies the rules for “straight debt.” Similarly, although stock of another REIT qualifies as a real estate asset for purposes of the REIT asset tests, non-mortgage debt issued by another REIT may not so qualify (such debt, however, will not be treated as a “security” for purposes of the 10% asset test).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Certain securities will not cause a violation of the 10% asset test described above. Such securities include instruments that constitute “straight debt,” which includes, among other things, securities having certain contingency features. A security does not qualify as “straight debt” where a REIT (or a controlled TRS of the REIT) owns other securities of the same issuer which do not qualify as straight debt, unless the value of those other securities constitute, in the aggregate, 1% or less of the total value of that issuer’s outstanding securities. In addition to straight debt, the Code provides that certain other securities will not violate the 10% asset test. Such securities include (i) any loan made to an individual or an estate, (ii) certain rental agreements pursuant to which one or more payments are to be made in subsequent years (other than agreements between a REIT and certain persons related to the REIT under attribution rules), (iii) any obligation to pay rents from real property, (iv) securities issued by governmental entities that are not dependent in whole or in part on the profits of (or payments made by) a non-governmental entity, (v) any security (including debt securities) issued by another REIT, and (vi) any debt instrument issued by a partnership if the partnership’s income is of a nature that it would satisfy the 75% gross income test described above under “- </w:t>
      </w:r>
      <w:r>
        <w:rPr>
          <w:rFonts w:ascii="Times New Roman;serif" w:hAnsi="Times New Roman;serif"/>
          <w:b w:val="false"/>
          <w:i/>
          <w:color w:val="000000"/>
          <w:sz w:val="20"/>
        </w:rPr>
        <w:t>Gross Income Tests</w:t>
      </w:r>
      <w:r>
        <w:rPr>
          <w:rFonts w:ascii="Times New Roman;serif" w:hAnsi="Times New Roman;serif"/>
          <w:b w:val="false"/>
          <w:color w:val="000000"/>
          <w:sz w:val="20"/>
        </w:rPr>
        <w:t>.” In applying the 10% asset test, a debt security issued by a partnership is not taken into account to the extent, if any, of the REIT’s proportionate interest in the equity and certain debt securities issued by that partnership.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intend to acquire and manage MBS that are either interests in grantor trusts or REMIC regular interests. In the case of interests in grantor trusts, we will be treated as owning an undivided beneficial ownership interest in the mortgage loans held by the grantor trust, and we will be treated as owning an interest in real estate assets to the extent those mortgage loans held by the grantor trust represent real estate assets. In the case of REMIC regular interests, such regular interests will generally qualify as real estate assets. If, however, less than 95% of the REMIC’s assets are real estate assets, then only a proportionate part of the regular interest will be a real estate asset. We expect that substantially all of the MBS we acquire will be treated as real estate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have and expect to continue to enter into repurchase agreements under which we will nominally sell certain of our assets to a counterparty and simultaneously enter into an agreement to repurchase the sold assets. We believe that we will be treated for U.S. federal income tax purposes as the owner of the assets that are the subject of any such repurchase agreement and the repurchase agreement will be treated as a secured lending transaction notwithstanding that we may transfer record ownership of the assets to the counterparty during the term of the agreement. It is possible, however, that the IRS could successfully assert that we did not own the assets during the term of the repurchase agreement, in which case we could fail to qualify as a REIT.</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the assets and mortgage-related securities that we own generally will be qualifying assets for purposes of the 75% asset test. However, to the extent that we own non-REMIC collateralized mortgage obligations or other debt instruments secured by mortgage loans (rather than by real property) or secured by non-real estate assets, or debt securities issued by C corporations that are not secured by mortgages on real property, those securities may not be qualifying assets for purposes of the 75% asset test. In addition, we utilize TBAs as a means of investing and financing Agency Securities. There is no direct authority with respect to the qualification of TBAs as real estate assets or U.S. Government securities for purposes of the 75% asset test. We have received advice that TBAs should be so treated. Accordingly, we will treat these items as qualifying assets for purposes of the 75% asset test. This advice is not binding on the IRS. In the event our TBAs were determined not to be qualifying assets for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purposes of the 75% asset test, we could be subject to a penalty tax or fail to qualify as a REIT if such assets, when combined with other non-real estate assets, exceed 25% of our gross assets. We believe that our holdings of securities and other assets will be structured in a manner that will comply with the foregoing REIT asset requirements and intend to monitor compliance on an ongoing basis. There can be no assurance, however, that we will be successful in this effort. Moreover, values of some assets may not be susceptible to a precise determination and are subject to change in the future. Furthermore, the proper classification of an instrument as debt or equity for U.S. federal income tax purposes may be uncertain in some circumstances, which could affect the application of the REIT asset tests. Accordingly, there can be no assurance that the IRS will not contend that our interests in subsidiaries or in the securities of other issuers (including REIT issuers) cause a violation of the REIT asset tests.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We have invested, and we expect to continue to do so, possibly at an increased level, in interest-bearing “credit risk transfer notes”, or CRT Notes, issued (or to be issued) by Fannie Mae and Freddie Mac. Under the terms of those CRT Notes, Fannie Mae and Freddie Mac transfer a portion of the default risk associated with particular identified residential mortgage loan pools as to which those agencies have guaranteed full and timely payment of principal and interest to holders of mortgage-backed securities backed by those mortgage loans. The principal amount of the CRT Notes is reduced by reference to default losses on the mortgage loans pools to which they relate. The prospectuses and placement memoranda with respect to the CRT Notes state that the CRT Notes will be treated as debt instruments for U.S. federal income purposes and that counsel to Fannie Mae or Freddie Mac, as applicable, has delivered an opinion to that effect. In addition, those prospectuses and placement memoranda also state that the CRT Notes are “government securities” within the meaning of Section 856(c)(4) of the Code because they are issued by governmental instrumentalities (</w:t>
      </w:r>
      <w:r>
        <w:rPr>
          <w:rFonts w:ascii="Times New Roman;serif" w:hAnsi="Times New Roman;serif"/>
          <w:b w:val="false"/>
          <w:i/>
          <w:color w:val="000000"/>
          <w:sz w:val="20"/>
        </w:rPr>
        <w:t>i.e.</w:t>
      </w:r>
      <w:r>
        <w:rPr>
          <w:rFonts w:ascii="Times New Roman;serif" w:hAnsi="Times New Roman;serif"/>
          <w:b w:val="false"/>
          <w:color w:val="000000"/>
          <w:sz w:val="20"/>
        </w:rPr>
        <w:t>, Fannie Mae and Freddie Mac). As a result, we treat CRT Notes as qualifying assets for purposes of the 75% asset test. Although Fannie Mae and Freddie Mac are instrumentalities of the U.S. government, their views on the tax classification of the CRT Notes are not binding on the IRS. Thus, it is possible that the IRS could assert that the CRT Notes are not government securities for REIT purposes. If that were to occur, we might not be able to satisfy the 5% REIT asset test. Nevertheless, given the disclosure issued by the agencies and the other information and analysis relevant to our treatment of the CRT Notes as government securities, we believe that we have reasonable cause for any failure of the 5% asset test and would be able to retain our REIT status by paying any applicable penalty taxes and causing our assets to come back into compliance with the REIT asset tests, including by acquiring additional qualifying REIT assets, selling some or all of the CRT Notes, or restructuring our ownership of the CRT Notes using TRS structures.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monitored and will continue to monitor the status of our assets for purposes of the various asset tests and will seek to manage our portfolio to comply at all times with such tests. There can be no assurance, however, that we will be successful in this effort. In this regard, to determine our compliance with these requirements, we will need to estimate the value of our assets to ensure compliance with the asset tests. We will not obtain independent appraisals to support our conclusions concerning the values of our assets. Moreover, some of the assets that we may own may not be susceptible to precise valuation. Although we will seek to be prudent in making these estimates, there can be no assurance that the IRS will not disagree with these determinations and assert that a different value is applicable, in which case we might not satisfy the 75% asset test and the other asset tests and would fail to qualify as a REIT.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Failure to Satisfy Asset Tests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fail to satisfy the asset tests as the end of a quarter, we will not lose our REIT qualification if: </w:t>
      </w:r>
    </w:p>
    <w:p>
      <w:pPr>
        <w:pStyle w:val="TextBody"/>
        <w:bidi w:val="0"/>
        <w:spacing w:before="0" w:after="0"/>
        <w:ind w:left="0" w:right="0" w:firstLine="720"/>
        <w:jc w:val="left"/>
        <w:rPr/>
      </w:pPr>
      <w:r>
        <w:rPr/>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1.we satisfied the asset tests at the end of the preceding calendar quarter;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discrepancy between the value of our assets and the asset test requirements arose from changes in the market values of our assets and was not wholly or partly caused by the acquisition of one or more non-qualifying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did not satisfy the condition described in the second bullet above, we still could avoid disqualification by eliminating any discrepancy within 30 days after the close of the calendar quarter in which it arose.</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violate the 5% value test, 10% voting test or 10% value test described above at the end of any calendar quarter, we will not lose our REIT qualification if (i) the failure is de minimis (up to the lesser of 1% of our total assets or $10 million) and (ii) we dispose of these assets or otherwise comply with the asset tests within six months after the last day of the quarter. In the event of a more than de minimis failure of any of the asset tests, as long as the failure was due to reasonable cause and not to willful neglect, we will not lose our REIT qualification if we (i) file with the IRS a schedule describing the assets that caused the failure, (ii) dispose of these assets or otherwise comply with the asset tests within six months after the last day of the quarter and (iii) pay a tax equal to the greater of $50,000 per failure or an amount equal to the product of the highest corporate income tax rate (currently 21%) and the net income from the non-qualifying assets during the period in which we failed to satisfy the asset tests.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Annual Distribution Requirements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qualify as a REIT, we are required to distribute dividends (other than capital gain dividends) to our stockholders in an amount at least equal to:</w:t>
      </w:r>
    </w:p>
    <w:p>
      <w:pPr>
        <w:pStyle w:val="TextBody"/>
        <w:bidi w:val="0"/>
        <w:spacing w:before="0" w:after="0"/>
        <w:ind w:left="0" w:right="0" w:firstLine="720"/>
        <w:jc w:val="left"/>
        <w:rPr/>
      </w:pPr>
      <w:r>
        <w:rPr/>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sum of</w:t>
      </w:r>
    </w:p>
    <w:p>
      <w:pPr>
        <w:pStyle w:val="TextBody"/>
        <w:bidi w:val="0"/>
        <w:spacing w:lineRule="auto" w:line="288" w:before="0" w:after="60"/>
        <w:ind w:left="0" w:right="0" w:hanging="360"/>
        <w:jc w:val="left"/>
        <w:rPr/>
      </w:pPr>
      <w:r>
        <w:rPr>
          <w:rFonts w:ascii="Times New Roman;serif" w:hAnsi="Times New Roman;serif"/>
          <w:b w:val="false"/>
          <w:color w:val="000000"/>
          <w:sz w:val="20"/>
        </w:rPr>
        <w:t>(i)</w:t>
      </w:r>
      <w:r>
        <w:rPr>
          <w:color w:val="000000"/>
        </w:rPr>
        <w:t xml:space="preserve"> </w:t>
      </w:r>
      <w:r>
        <w:rPr>
          <w:rFonts w:ascii="Times New Roman;serif" w:hAnsi="Times New Roman;serif"/>
          <w:b w:val="false"/>
          <w:color w:val="000000"/>
          <w:sz w:val="20"/>
        </w:rPr>
        <w:t>90% of our “REIT taxable income” (computed without regard to the dividends paid deduction and our net capital gains), and</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(ii)90% of the net income (after tax), if any, from foreclosure property (as described below), minus </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(B)certain items of non-cash income.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if we were to recognize “built-in-gain” (as defined below) on disposition of any assets acquired from a “C” corporation in a transaction in which our basis in the assets was determined by reference to the “C” corporation’s basis (for instance, if the assets were acquired in a tax-free reorganization), we would be required to distribute at least 90% of the built-in-gain recognized net of the tax we would pay on such gain. “Built-in-gain” is the excess of (a) the fair market value of an asset (measured at the time of acquisition) over (b) the basis of the asset (measured at the time of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Such distributions must be paid in the taxable year to which they relate, or in the following taxable year if either (i) we declare the distribution before we file a timely U.S. federal income tax return for the year and pay the distribution with or before the first regular dividend payment after such declaration or (ii) we declare the distribution in October, November or December of the taxable year, payable to stockholders of record on a specified day in any such month, and we actually pay the dividends before the end of January of the following year. The distributions under clause (i) are taxable to the Holders of our common stock in the year in which paid, and the distributions in clause (ii) are treated as paid on December 31 of the prior taxable year. In both instances, these distributions relate to our prior taxable year for purposes of the 90% distribution requirement.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pay U.S. federal income tax at corporate tax rates on our taxable income, including net capital gain, that we do not distribute to stockholders. Furthermore, if we fail to distribute during each calendar year, or by the end of January following the calendar year in the case of distributions with declaration and record dates falling in the last three months of the calendar year, at least the sum of (i) 85% of our REIT ordinary income for such year, (ii) 95% of our REIT capital gain income for such year and (iii) any undistributed taxable income from prior periods, we will be subject to a 4% nondeductible excise tax on the excess of such required distribution over the amounts actually distributed. We generally intend to make timely distributions sufficient to satisfy the annual distribution requirements and to avoid corporate U.S. federal income tax and the 4% nondeductible excise tax.</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elect to retain rather than distribute our net capital gain and pay tax on such gains. In this case, we could elect to have our stockholders include their proportionate share of such undistributed capital gains in income and to receive a corresponding credit or refund, as the case may be, for their share of the tax paid by us. Stockholders would then increase the adjusted basis of their stock by the difference between the designated amounts of capital gains from us that they include in their taxable income, and the tax paid on their behalf by us with respect to that income.</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To the extent that a REIT has available net operating losses carried forward from prior tax years, such losses may reduce the amount of distributions that it must make to comply with the REIT distribution requirements. Such losses, however, will generally not affect the character, in the hands of stockholders, of any distributions that are actually made by the REIT, which are generally taxable to stockholders to the extent that the REIT has current or accumulated earnings and profits. See “-</w:t>
      </w:r>
      <w:r>
        <w:rPr>
          <w:rFonts w:ascii="Times New Roman;serif" w:hAnsi="Times New Roman;serif"/>
          <w:b w:val="false"/>
          <w:i/>
          <w:color w:val="000000"/>
          <w:sz w:val="20"/>
        </w:rPr>
        <w:t>Taxation of Holders -Taxation of Taxable Domestic Holders</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find it difficult or impossible to meet distribution requirements in certain circumstances. Due to the nature of the assets in which we will invest, we may be required to recognize taxable income from those assets in advance of our receipt of cash flow on or proceeds from disposition of such assets. For instance, we may be required to accrue interest and discount income on mortgage loans, mortgage backed securities, and other types of debt securities or interests in debt securities before we receive any payments of interest or principal on such assets. Moreover, in certain instances we may be required to accrue taxable income that we may not actually recognize as economic income. For example, if we own a residual equity position in a mortgage loan securitization, we may recognize taxable income that we will never actually receive due to losses sustained on the underlying mortgage loans. Although those losses would be deductible for tax purposes, they would likely occur in a year subsequent to the year in which we recognized the taxable income. Thus, for any taxable year, we may be required to fund distributions in excess of cash flow received from our investments. If such circumstances arise, then to fund our distribution requirement and maintain our status as a REIT we may have to sell assets at unfavorable prices, borrow at unfavorable terms, make taxable stock dividends, or pursue other strategies. We cannot be assured, however, that any such strategy would be successful if our cash flow were to become insufficient to make the required distributions. Alternatively, we may declare a taxable dividend payable in cash or stock at the election of each stockholder, where the aggregate amount of cash to be distributed in such dividend may be subject to limitation. In such case, for U.S. federal income tax purposes, the amount of the dividend paid in stock will be equal to the amount of cash that could have been received instead of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certain circumstances, we may be able to rectify a failure to meet the distribution requirement for a year by paying “deficiency dividends” to stockholders in a later year, which may be included in our deduction for dividends paid for the earlier year. Thus, we may be able to avoid being taxed on amounts distributed as deficiency dividends; however, we will be required to pay interest and a penalty to the IRS based on the amount of any deduction taken for deficiency dividends.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Failure to Qualify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If we fail to satisfy one or more requirements for REIT qualification, other than the gross income tests and the asset tests, we could avoid disqualification if our failure is due to reasonable cause and not to willful neglect and we pay a penalty of $50,000 for each such failure. In addition, there are relief provisions for a failure of the gross income tests and asset tests, as described in “</w:t>
      </w:r>
      <w:r>
        <w:rPr>
          <w:rFonts w:ascii="Times New Roman;serif" w:hAnsi="Times New Roman;serif"/>
          <w:b w:val="false"/>
          <w:i/>
          <w:color w:val="000000"/>
          <w:sz w:val="20"/>
        </w:rPr>
        <w:t>Gross Income Tests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Asset Tests</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fail to qualify for taxation as a REIT in any taxable year, and the relief provisions do not apply, we will be subject to tax on our taxable income at regular federal corporate income tax rates. Distributions to stockholders in any year in which we fail to qualify will not be deductible by us nor will they be required to be made. In such event, to the extent of current and accumulated earnings and profits, all distributions to stockholders will be taxable as ordinary income, and, subject to certain limitations of the Code, corporate stockholders may be eligible for the dividends received deduction, and individual stockholders and other non-corporate stockholders may be eligible to be taxed at the reduced 23.8% rate currently applicable to qualified dividend income. Unless entitled to relief under specific statutory provisions, we will also be disqualified from taxation as a REIT for the four taxable years following the year during which qualification was lost. We cannot predict whether in all circumstances we would be entitled to such statutory relief.</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Prohibited Transactions</w:t>
      </w:r>
    </w:p>
    <w:p>
      <w:pPr>
        <w:pStyle w:val="TextBody"/>
        <w:bidi w:val="0"/>
        <w:spacing w:before="0" w:after="0"/>
        <w:jc w:val="left"/>
        <w:rPr/>
      </w:pPr>
      <w:r>
        <w:rPr/>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derived by a REIT from a prohibited transaction is subject to a 100% excise tax. The term “prohibited transaction” generally includes a sale or other disposition of property (other than foreclosure property)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that is held “primarily for sale to customers in the ordinary course of a trade or business.” Although we do not expect that our assets will be held primarily for sale to customers, these terms are dependent upon the particular facts and circumstances, and we cannot assure you that we will never be subject to this excise tax. The 100% tax does not apply to gains from the sale of property that is held through a TRS or other taxable corporation, although such income will be subject to tax in the hands of the corporation at regular federal corporate income tax rates. We intend to structure our activities to avoid transactions that are prohibited transactions.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Foreclosure Property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REIT is subject to tax at the maximum corporate rate (currently 21%) on any income from foreclosure property, including gain from the disposition of such foreclosure property, other than income that otherwise would be qualifying income for purposes of the 75% gross income test. Foreclosure property is real property and any personal property incident to such real property (i) that is acquired by a REIT as result of the REIT having bid on such property at foreclosure, or having otherwise reduced the property to ownership or possession by agreement or process of law, after there was a default (or default was imminent) on a lease of such property or a mortgage loan held by the REIT and secured by the property, (ii) for which the related loan or lease was acquired by the REIT at a time when default was not imminent or anticipated and (iii) for which such REIT makes a proper election to treat the property as foreclosure property. Any gain from the sale of property for which a foreclosure election has been made will not be subject to the 100% excise tax on gains from prohibited transactions described above, even if the property would otherwise constitute inventory or dealer property in the hands of the selling REIT. We do not expect to receive income from foreclosure property that is not qualifying income for purposes of the 75% gross income test. However, if we do receive any such income, we intend to make an election to treat the related property as foreclosure property.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Taxable Mortgage Pools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entity, or a portion of an entity, may be classified as a TMP under the Code if (i) substantially all of its assets consist of debt obligations or interests in debt obligations, (ii) more than 50% of those debt obligations are real estate mortgage loans, interests in real estate mortgage loans or interests in certain MBS as of specified testing dates, (iii) the entity has issued debt obligations that have two or more maturities and (iv) the payments required to be made by the entity on its debt obligations “bear a relationship” to the payments to be received by the entity on the debt obligations that it holds as assets. Under Treasury Regulations, if less than 80% of the assets of an entity (or a portion of an entity) consists of debt obligations, these debt obligations are considered not to comprise “substantially all” of its assets, and therefore the entity would not be treated as a TMP.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structure or enter into securitization or financing transactions that will cause us to be viewed as owning interests in one or more TMPs. Generally, if an entity or a portion of an entity is classified as a TMP, then the entity or portion thereof is treated as a taxable corporation and it cannot file a consolidated U.S. federal income tax return with any other corporation. If, however, a REIT owns 100% of the equity interests in a TMP, then the TMP is a qualified REIT subsidiary and, as such, ignored as an entity separate from the REIT.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long as we owned 100% of the equity interests in the TMP, all or a portion of the income that we recognize with respect to our investment in the TMP will be treated as excess inclusion income. Section 860E(c) of the Code defines the term “excess inclusion” with respect to a residual interest in a REMIC. The IRS, however, has yet to issue guidance on the computation of excess inclusion income on equity interests in a TMP held by a REIT. Generally, however, excess inclusion income with respect to our investment in any TMP and any taxable year will equal the excess of (i) the amount of income we accrue on our investment in the TMP over (ii) the amount of income we would have accrued if our investment were a debt instrument having an issue price equal to the fair market value of our investment on the day we acquired it and a yield to maturity equal to 120% of the long-term applicable federal rate in effect on the date we acquired our interest. The term “applicable federal rate” refers to rates that are based on weighted average yields for treasury securities and are published monthly by the IRS for use in various tax calculations. If we undertake securitization transactions that are TMPs, the amount of excess inclusion income we recognize in any taxable year could represent a significant portion of our total taxable income for that year.</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recognized excess inclusion income, then under guidance issued by the IRS we would be required to allocate the excess inclusion income proportionately among the dividends we pay to our stockholders and we must notify our stockholders of the portion of our dividends that represents excess inclusion income. The portion of any dividend you receive that is treated as excess inclusion income is subject to special rules. First, your taxable income can never be less than the sum of your excess inclusion income for the year; excess inclusion income cannot be offset with net operating losses or other allowable deductions. Second, if you are a tax-exempt organization and your excess inclusion income is subject to the unrelated business income tax, then the excess inclusion portion of any dividend you receive will be treated as unrelated business taxable income. Third, dividends paid to Foreign Holders who hold stock for investment and not in connection with a trade or business conducted in the United States will be subject to United States federal withholding tax without regard to any reduction in rate otherwise allowed by any applicable income tax treaty.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recognize excess inclusion income, and one or more Disqualified Organizations are record holders of shares of common stock, we will be taxable at the highest federal corporate income tax rate on the portion of any excess inclusion income equal to the percentage of our stock that is held by Disqualified Organizations. In such circumstances, we may reduce the amount of our distributions to a Disqualified Organization whose stock ownership gave rise to the tax. To the extent that our common or preferred stock owned by Disqualified Organizations is held by a broker/dealer or other nominee, the broker/dealer or other nominee would be liable for a tax at the highest corporate tax rate on the portion of our excess inclusion income allocable to our common or preferred stock held by the broker/dealer or other nominee on behalf of the Disqualified Organizations.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own less than 100% of the equity interests in a TMP, the foregoing rules would not apply. Rather, the TMP would be treated as a corporation for U.S. federal income tax purposes and would potentially be subject to federal corporate income tax. This could adversely affect our compliance with the REIT gross income and asset tests described above. We currently do not have, and currently do not intend to enter into any securitization or financing transaction that is a TMP in which we own some, but less than all, of the equity interests, and we intend to monitor the structure of any TMPs in which we have an interest to ensure that they will not adversely affect our status as a REIT. We cannot assure you that we will be successful in this regard.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Taxation of 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Taxation of Taxable Domestic Holders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Distributions</w:t>
      </w:r>
      <w:r>
        <w:rPr>
          <w:rFonts w:ascii="Times New Roman;serif" w:hAnsi="Times New Roman;serif"/>
          <w:b w:val="false"/>
          <w:color w:val="000000"/>
          <w:sz w:val="20"/>
        </w:rPr>
        <w:t>. As long as we qualify as a REIT, distributions we make to our taxable Domestic Holders out of current or accumulated earnings and profits (and not designated as capital gain dividends) will be taken into account by them as ordinary income. Dividends we pay to a corporation will not be eligible for the dividends received deduction. In addition, distributions we make to individuals and other Holders that are not corporations generally will not be eligible for the reduced rate of tax in effect for “qualified dividend income.” However, provided certain holding period and other requirements are met, an individual or other non-corporate Holder will be eligible for the reduced long-term capital gain rate with respect to (i) distributions attributable to dividends we receive from certain “C” corporations, such as our TRSs, and (ii) distributions attributable to income upon which we have paid corporate income tax.</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Distributions that we designate as capital gain dividends will be taxed as long-term capital gains (to the extent that they do not exceed our actual net capital gain for the taxable year) without regard to the period for which you have owned our common or preferred stock. Capital gains attributable to the sale of depreciable real property held for more than 12 months are subject to a 25% maximum U.S. federal income tax rate for taxpayers who are taxed as individuals, to the extent of previously claimed depreciation deductions.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Rather than distribute our net capital gains, we may elect to retain and pay the U.S. federal income tax on them, in which case you will (i) include your proportionate share of the undistributed net capital gains in income, (ii) receive a credit for your share of the U.S. federal income tax we pay and (iii) increase the basis in your common or preferred stock by the difference between your share of the capital gain and your share of the credit.</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stockholders that are individuals, trusts or estates are generally entitled to a deduction equal to 20% of the aggregate amount of ordinary income dividends received from a REIT (not including dividends eligible for the reduced rates applicable to “qualified dividend income,” or capital gain dividends as described above), subject to certain limitations. IRS regulations provide that a non-corporate stockholder can only claim this deduction if our stock has been held by such stockholder for more than 45 days during the 91-day period beginning on the date which is 45 days before the date on which such share becomes ex-dividend with respect to such dividend. Non-corporate stockholders are urged to consult their tax advisors as to their ability to claim this deduction.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Distributions in excess of our current and accumulated earnings and profits will not be taxable to you to the extent that they do not exceed your adjusted tax basis in our common or preferred stock you own, but rather, will reduce your adjusted tax basis in your common or preferred stock. Assuming that the common or preferred stock you own is a capital asset, to the extent that such distributions exceed your adjusted tax basis in the common or preferred stock you own, you must include them in income as long-term capital gain (or short-term capital gain if the common or preferred stock has been held for one year or less).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declare a dividend in October, November or December of any year that is payable to stockholders of record on a specified date in any such month, but actually distribute the amount declared in January of the following year, then you must treat the January distribution as though you received it on December 31 of the year in which we declared the dividend. In addition, we may elect to treat other distributions after the close of the taxable year as having been paid during the taxable year, but you will be treated as having received these distributions in the taxable year in which they are actually made.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To the extent that we have available net operating losses and capital losses carried forward from prior tax years, subject to limitations, such losses may reduce the amount of distributions that we must make to comply with the REIT distribution requirements. See “-</w:t>
      </w:r>
      <w:r>
        <w:rPr>
          <w:rFonts w:ascii="Times New Roman;serif" w:hAnsi="Times New Roman;serif"/>
          <w:b w:val="false"/>
          <w:i/>
          <w:color w:val="000000"/>
          <w:sz w:val="20"/>
        </w:rPr>
        <w:t>Annual Distribution Requirements</w:t>
      </w:r>
      <w:r>
        <w:rPr>
          <w:rFonts w:ascii="Times New Roman;serif" w:hAnsi="Times New Roman;serif"/>
          <w:b w:val="false"/>
          <w:color w:val="000000"/>
          <w:sz w:val="20"/>
        </w:rPr>
        <w:t>.” Such losses, however, are not passed through to you and do not offset your income from other sources, nor would they affect the character of any distributions that you receive from us; you will be subject to tax on those distributions to the extent that we have current or accumulated earnings and profits.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If we recognize excess inclusion income, we will identify a portion of the distributions that we make to you as excess inclusion income. Your taxable income can never be less than the sum of your excess inclusion income for the year; excess inclusion income cannot be offset with net operating losses or other allowable deductions. See “-</w:t>
      </w:r>
      <w:r>
        <w:rPr>
          <w:rFonts w:ascii="Times New Roman;serif" w:hAnsi="Times New Roman;serif"/>
          <w:b w:val="false"/>
          <w:i/>
          <w:color w:val="000000"/>
          <w:sz w:val="20"/>
        </w:rPr>
        <w:t>Taxable Mortgage Pools</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Dispositions of Our Stock Generally.</w:t>
      </w:r>
      <w:r>
        <w:rPr>
          <w:color w:val="000000"/>
        </w:rPr>
        <w:t xml:space="preserve"> </w:t>
      </w:r>
      <w:r>
        <w:rPr>
          <w:rFonts w:ascii="Times New Roman;serif" w:hAnsi="Times New Roman;serif"/>
          <w:b w:val="false"/>
          <w:color w:val="000000"/>
          <w:sz w:val="20"/>
        </w:rPr>
        <w:t>Except as discussed below with respect to our preferred stock, any gain or loss you recognize upon the sale or other disposition of our common or preferred stock will generally be capital gain or loss for U.S. federal income tax purposes, and will be long-term capital gain or loss if you held the common or preferred stock for more than one year. In addition, any loss you recognize upon a sale or exchange of our common or preferred stock that you have owned for six months or less (after applying certain holding period rules) will generally be treated as a long-term capital loss to the extent of distributions received from us that you are required to treat as long-term capital gain.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you recognize a loss upon a disposition of our common or preferred stock in an amount that exceeds a prescribed threshold, it is possible that the provisions of Treasury Regulations involving “reportable transactions” could apply, with a resulting requirement to separately disclose the loss-generating transaction to the IRS. While these regulations are directed towards “tax shelters,” they are written quite broadly, and apply to transactions that would not typically be considered tax shelters. In addition, significant penalties may be imposed for failure to comply with these requirements. You should consult your tax advisor concerning any possible disclosure obligation with respect to the receipt or disposition of our common or preferred stock, or transactions that might be undertaken directly or indirectly by us. Moreover, you should be aware that we and other participants in the transactions involving us (including our advisors) may be subject to disclosure or other requirements pursuant to these regulations.</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Amounts that you are required to include in taxable income with respect to our common or preferred stock you own, including taxable distributions and the income you recognize with respect to undistributed net capital gain, and any gain recognized upon your disposition of our common or preferred stock, will not be treated as passive activity income. You may not offset any passive activity losses you may have, such as losses from limited partnerships in which you have invested, with income you recognize with respect to our shares of common or preferred stock. Generally, income you recognize with respect to our common or preferred stock will be treated as investment income for purposes of the investment interest limitations.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Information Reporting and Backup Withholding. </w:t>
      </w:r>
      <w:r>
        <w:rPr>
          <w:rFonts w:ascii="Times New Roman;serif" w:hAnsi="Times New Roman;serif"/>
          <w:b w:val="false"/>
          <w:color w:val="000000"/>
          <w:sz w:val="20"/>
        </w:rPr>
        <w:t>We will report to our stockholders and to the IRS the amount of distributions we pay during each calendar year and the amount of tax we withhold, if any. Under the backup withholding rules, you may be subject to backup withholding at the applicable statutory rate with respect to distributions unless you:</w:t>
      </w:r>
    </w:p>
    <w:p>
      <w:pPr>
        <w:pStyle w:val="TextBody"/>
        <w:bidi w:val="0"/>
        <w:spacing w:before="0" w:after="0"/>
        <w:ind w:left="0" w:right="0" w:firstLine="72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are a corporation or come within certain other exempt categories and, when required, demonstrate this fact;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provide a taxpayer identification number, certify as to no loss of exemption from backup withholding, and otherwise comply with the applicable requirements of the backup withholding rules.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Any amount paid as backup withholding will be creditable against your income tax liability. For a discussion of the backup withholding rules as applied to foreign holders, see “-</w:t>
      </w:r>
      <w:r>
        <w:rPr>
          <w:rFonts w:ascii="Times New Roman;serif" w:hAnsi="Times New Roman;serif"/>
          <w:b w:val="false"/>
          <w:i/>
          <w:color w:val="000000"/>
          <w:sz w:val="20"/>
        </w:rPr>
        <w:t>Taxation of Foreign Holders</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Special Considerations for Our Preferred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discussion below, an investment in our preferred stock is generally subject to the same U.S. federal income tax considerations applicable to an investment in our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Redemption of Our Capital Stock. </w:t>
      </w:r>
      <w:r>
        <w:rPr>
          <w:rFonts w:ascii="Times New Roman;serif" w:hAnsi="Times New Roman;serif"/>
          <w:b w:val="false"/>
          <w:color w:val="000000"/>
          <w:sz w:val="20"/>
        </w:rPr>
        <w:t>A redemption of shares of our preferred stock will be treated by operation of section 302(b) of the Code as a distribution taxable as a dividend to the extent of our current and accumulated earnings and profits, generally at ordinary income rates, unless the redemption satisfies one of the tests set forth in section 302(b) of the Code and is therefore treated as a sale or exchange of the redeemed shares of capital stock. The redemption will be treated as a sale or exchange if it:</w:t>
      </w:r>
    </w:p>
    <w:p>
      <w:pPr>
        <w:pStyle w:val="TextBody"/>
        <w:bidi w:val="0"/>
        <w:spacing w:before="0" w:after="0"/>
        <w:ind w:left="0" w:right="0" w:firstLine="72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is “substantially disproportionate” with respect to the Holder;</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results in a “complete termination” of the Holder’s capital stock interest in us;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is “not essentially equivalent to a dividend” with respect to the Holder.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determining whether any of these tests have been met, shares of capital stock, including common stock and other equity interests in us, considered to be owned by the Holder by reason of certain constructive ownership rules set forth in the Code, as well as shares of our capital stock actually owned by the Holder, must generally be taken into account. Because the determination as to whether any of the alternative tests will be satisfied with respect to the Holder depends upon the facts and circumstances at the time that the determination must be made, investors are advised to consult their tax advisors to determine such tax treatment.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redemption of shares of our preferred stock is treated as a distribution, the amount of the distribution will be measured by the amount of cash and the fair market value of any property received. A Holder’s adjusted tax basis in the redeemed shares of the preferred stock for tax purposes will be transferred to its remaining shares of our capital stock, if any. If a Holder owns no other shares of our capital stock, under certain circumstances, such basis may be transferred to a related person or it may be lost entirely. With respect to a redemption of our capital stock that is treated as a distribution but that is not otherwise taxable as a dividend because it exceeds our earnings and profits, the method by which a holder must reduce its basis is uncertain in situations where the Holder owns different blocks of stock that were acquired at different prices and thus have different bases. Prospective investors should consult their tax advisors regarding the U.S. federal income tax consequences of a redemption of the preferred stock.</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redemption of shares of our stock is not treated as a distribution taxable as a dividend, it will be treated as a taxable sale or exchange in the manner described for dispositions of our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Conversion of Preferred Stock. </w:t>
      </w:r>
      <w:r>
        <w:rPr>
          <w:rFonts w:ascii="Times New Roman;serif" w:hAnsi="Times New Roman;serif"/>
          <w:b w:val="false"/>
          <w:color w:val="000000"/>
          <w:sz w:val="20"/>
        </w:rPr>
        <w:t>Upon the occurrence of certain changes of control, each Holder of preferred stock will have the right (unless, generally, prior to the date of the change in control, we have provided notice of our election to redeem some or all of the shares of the preferred stock held by such Holder, in which case such Holder will have the right only with respect to shares of preferred stock that are not called for redemption) to convert some or all of such Holder’s preferred stock into shares of our common stock (or generally certain alternative conversion consideration, as applicable). A Holder generally will not recognize gain or loss upon the conversion of preferred stock into shares of our common stock. A Holder’s tax basis and holding period in the shares of common stock received upon conversion generally will be the same as those of the converted preferred stock (but the tax basis will be reduced by the portion of adjusted tax basis allocated to any fractional share of common stock exchanged for cash).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received upon conversion in lieu of a fractional share of common stock generally will be treated as a payment in a taxable exchange for such fractional share of common stock, and gain or loss will be recognized on the receipt of cash in an amount equal to the difference between the amount of cash received and the adjusted tax basis allocable to the fractional common share deemed exchanged. This gain or loss will be long-term capital gain or loss if the Holder has held the preferred stock for more than one year.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common stock received on conversion in exchange for accrued and unpaid dividends on the preferred stock generally will be treated as a distribution by us, and subject to tax treatment of distributions as described above.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if a Holder receives certain alternative conversion consideration (in lieu of shares of our common stock) in connection with the conversion of the Holder’s shares of preferred stock, the tax treatment of the receipt of any such other consideration will depend on the nature of the consideration and the structure of the transaction that gives rise to the change of control, and it may be a taxable exchange. Holders converting their shares of preferred stock should consult their tax advisors regarding the U.S. federal income tax consequences of any such conversion and of the ownership and disposition of the consideration received upon any such conversion.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Taxation of Tax-Exempt Holders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Tax-exempt entities, including qualified employee pension and profit sharing trusts and individual retirement accounts, are generally exempt from U.S. federal income taxation. However, they are subject to taxation on their unrelated business taxable income (“UBTI”). Provided that a tax-exempt Holder (i) has not held our common or preferred stock as “debt financed property” within the meaning of the Code and (ii) has not used our common or preferred stock in an unrelated trade or business, amounts that we distribute to tax-exempt Holders generally should not constitute UBTI. To the extent that we are (or a part of us, or a disregarded subsidiary of ours is) a TMP, a portion of the dividends paid to a tax-exempt Holder that is allocable to excess inclusion income may be treated as UBTI. If, however, excess inclusion income is allocable to some categories of tax-exempt Holders that are not subject to UBTI, we might be subject to corporate level tax on such income, and, in that case, may reduce the amount of distributions to those Holders whose ownership gave rise to the tax. However, a tax-exempt Holder’s allocable share of any excess inclusion income that we recognize will be subject to tax as UBTI. See “-</w:t>
      </w:r>
      <w:r>
        <w:rPr>
          <w:rFonts w:ascii="Times New Roman;serif" w:hAnsi="Times New Roman;serif"/>
          <w:b w:val="false"/>
          <w:i/>
          <w:color w:val="000000"/>
          <w:sz w:val="20"/>
        </w:rPr>
        <w:t>Taxable Mortgage Pools</w:t>
      </w:r>
      <w:r>
        <w:rPr>
          <w:rFonts w:ascii="Times New Roman;serif" w:hAnsi="Times New Roman;serif"/>
          <w:b w:val="false"/>
          <w:color w:val="000000"/>
          <w:sz w:val="20"/>
        </w:rPr>
        <w:t>.” As required by IRS guidance, we intend to notify Holders of our common and preferred stock if a portion of a dividend paid by us is attributable to excess inclusion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Tax-exempt Holders that are social clubs, voluntary employee benefit associations, supplemental unemployment benefit trusts and qualified group legal services plans, exempt from taxation under special provisions of the U.S. federal income tax laws, are subject to different UBTI rules, which generally will require them to characterize distributions that they receive from us as UBTI.</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certain circumstances, a qualified employee pension trust or profit sharing trust that owns more than 10% of our stock could be required to treat a percentage of the dividends that it receives from us as UBTI if we are a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pension-held REIT.” We will not be a pension-held REIT unless either (a) one pension trust owns more than 25% of the value of our stock or (b) a group of pension trusts individually holding more than 10% of our stock collectively owns more than 50% of the value of our stock. However, the restrictions on ownership and transfer of our stock are designed, among other things, to prevent a tax-exempt entity from owning more than 10% of the value of our stock, thus making it unlikely that we will become a pension-held REIT.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Taxation of Foreign 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certain U.S. federal income and estate tax consequences of the ownership and disposition of our common or preferred stock applicable to a Foreign Holder.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partnership, including for this purpose any entity that is treated as a partnership for U.S. federal income tax purposes, holds our common or preferred stock, the tax treatment of a partner in the partnership will generally depend upon the status of the partner and the activities of the partnership. An investor that is a partnership having Foreign Holders as partners should consult its tax advisors about the U.S. federal income tax consequences of the acquisition, ownership and disposition of our common or preferred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discussion is based on current law and is for general information only. This discussion addresses only certain and not all aspects of U.S. federal income and estate taxation.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General</w:t>
      </w:r>
      <w:r>
        <w:rPr>
          <w:rFonts w:ascii="Times New Roman;serif" w:hAnsi="Times New Roman;serif"/>
          <w:b w:val="false"/>
          <w:color w:val="000000"/>
          <w:sz w:val="20"/>
        </w:rPr>
        <w:t>. For most foreign investors, investment in a REIT that invests principally in mortgage loans and MBS is not the most tax-efficient way to acquire and manage, through our subsidiaries, such assets. That is because receiving distributions of income derived from such assets in the form of REIT dividends subjects most foreign investors to withholding taxes that direct investment in those asset classes, and the direct receipt of interest and principal payments with respect to them, would not. The principal exceptions are foreign sovereigns and their agencies and instrumentalities, which may be exempt from withholding taxes on REIT dividends under the Code, and certain foreign pension funds or similar entities able to claim an exemption from withholding taxes on REIT dividends under the terms of a bilateral tax treaty between their country of residence and the United States.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Ordinary Dividend Distributions. </w:t>
      </w:r>
      <w:r>
        <w:rPr>
          <w:rFonts w:ascii="Times New Roman;serif" w:hAnsi="Times New Roman;serif"/>
          <w:b w:val="false"/>
          <w:color w:val="000000"/>
          <w:sz w:val="20"/>
        </w:rPr>
        <w:t>The portion of dividends received by a Foreign Owner payable out of our current and accumulated earnings and profits that are not attributable to our capital gains and that are not effectively connected with a U.S. trade or business of the Foreign Holder will be subject to U.S. withholding tax at the rate of 30% (unless reduced by an applicable income tax treaty). In general, a Foreign Holder will not be considered engaged in a U.S. trade or business solely as a result of its ownership of our common or preferred stock. In cases where the dividend income from a Foreign Holder’s investment in our common or preferred stock is (or is treated as) effectively connected with the Foreign Holder’s conduct of a U.S. trade or business, the Foreign Holder generally will be subject to U.S. tax at graduated rates, in the same manner as Domestic Holders are taxed with respect to such dividends (and may also be subject to the 30% branch profits tax in the case of a foreign owner that is a foreign corporation). If a Foreign Holder is the record holder of shares of our common or preferred stock, we plan to withhold U.S. income tax at the rate of 30% on the gross amount of any distribution paid to a Foreign Holder unless:</w:t>
      </w:r>
    </w:p>
    <w:p>
      <w:pPr>
        <w:pStyle w:val="TextBody"/>
        <w:bidi w:val="0"/>
        <w:spacing w:before="0" w:after="0"/>
        <w:ind w:left="0" w:right="0" w:firstLine="72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 lower income treaty rate applies and the Foreign Holder provides us with an IRS Form W-8BEN (or other applicable IRS Form W-8) evidencing eligibility for that reduced rate;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Foreign Holder provides us with an IRS Form W-8ECI certifying that the distribution is effectively connected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Under some income tax treaties, lower withholding tax rates do not apply to ordinary dividends from REITs. Furthermore, reduced treaty rates are not available to the extent that distributions are treated as excess inclusion income. See “</w:t>
      </w:r>
      <w:r>
        <w:rPr>
          <w:rFonts w:ascii="Times New Roman;serif" w:hAnsi="Times New Roman;serif"/>
          <w:b w:val="false"/>
          <w:i/>
          <w:color w:val="000000"/>
          <w:sz w:val="20"/>
        </w:rPr>
        <w:t>Taxable Mortgage Pools</w:t>
      </w:r>
      <w:r>
        <w:rPr>
          <w:rFonts w:ascii="Times New Roman;serif" w:hAnsi="Times New Roman;serif"/>
          <w:b w:val="false"/>
          <w:color w:val="000000"/>
          <w:sz w:val="20"/>
        </w:rPr>
        <w:t>.” As required by IRS guidance, we intend to notify Holders of our common and preferred stock if a portion of a dividend paid by us is excess inclusion income.</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Non-Dividend Distributions.</w:t>
      </w:r>
      <w:r>
        <w:rPr>
          <w:color w:val="000000"/>
        </w:rPr>
        <w:t xml:space="preserve"> </w:t>
      </w:r>
      <w:r>
        <w:rPr>
          <w:rFonts w:ascii="Times New Roman;serif" w:hAnsi="Times New Roman;serif"/>
          <w:b w:val="false"/>
          <w:color w:val="000000"/>
          <w:sz w:val="20"/>
        </w:rPr>
        <w:t>Distributions we make to a Foreign Holder that are not considered to be distributions out of our current and accumulated earnings and profits will not be subject to U.S. federal income or withholding tax unless the distribution exceeds the Foreign Holder’s adjusted tax basis in our common or preferred stock at the time of the distribution and, as described below, the Foreign Holder would otherwise be taxable on any gain from a disposition of our common or preferred stock. If it cannot be determined at the time a distribution is made whether or not such distribution will be in excess of our current and accumulated earnings and profits, the entire distribution will be subject to withholding at the rate applicable to dividends. A Foreign Holder may, however, seek a refund of such amounts from the IRS if it is subsequently determined that the distribution was, in fact, in excess of our current and accumulated earnings and profits, provided the proper forms are timely filed with the IRS by the Foreign Holder.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Capital Gain Dividends.</w:t>
      </w:r>
      <w:r>
        <w:rPr>
          <w:color w:val="000000"/>
        </w:rPr>
        <w:t xml:space="preserve"> </w:t>
      </w:r>
      <w:r>
        <w:rPr>
          <w:rFonts w:ascii="Times New Roman;serif" w:hAnsi="Times New Roman;serif"/>
          <w:b w:val="false"/>
          <w:color w:val="000000"/>
          <w:sz w:val="20"/>
        </w:rPr>
        <w:t>Distributions that we make to Foreign Holders that are attributable to our disposition of U.S. real property interests (“USRPI,” which term does not include interests in mortgage loans and mortgage-backed securities) are subject to U.S. federal income and withholding taxes pursuant to the Foreign Investment in Real Property Act of 1980, or FIRPTA, and may also be subject to branch profits tax if the Foreign Holder is a corporation that is not entitled to treaty relief or exemption. Although we do not anticipate recognizing any gain attributable to the disposition of USRPI, as defined by FIRPTA, Treasury Regulations interpreting the FIRPTA provisions of the Code could be read to impose a withholding tax at a rate of 21% on all of our capital gain dividends (or amounts we could have designated as capital gain dividends) paid to Foreign Holders, even if no portion of the capital gains we recognize during the year are attributable to our disposition of USRPI. However, in any event, the FIRPTA rules will not apply to distributions to a Foreign Holder so long as (i) our common or preferred stock, as applicable, is regularly traded (as defined by applicable Treasury Regulations) on an established securities market, and (ii) the Foreign Holder owns (actually or constructively) no more than 10% of our common or preferred stock, as applicable, at any time during the one-year period ending with the date of the distribution.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Dispositions of Our Stock.</w:t>
      </w:r>
      <w:r>
        <w:rPr>
          <w:color w:val="000000"/>
        </w:rPr>
        <w:t xml:space="preserve"> </w:t>
      </w:r>
      <w:r>
        <w:rPr>
          <w:rFonts w:ascii="Times New Roman;serif" w:hAnsi="Times New Roman;serif"/>
          <w:b w:val="false"/>
          <w:color w:val="000000"/>
          <w:sz w:val="20"/>
        </w:rPr>
        <w:t>Unless our common stock or preferred constitutes a USRPI, a sale of our common or preferred stock by a Foreign Holder generally will not be subject to U.S. federal income tax under FIRPTA. We do not expect that our common or preferred stock will constitute a USRPI. Our common or preferred stock will not constitute a USRPI if less than 50% of our assets throughout a prescribed testing period consist of interests in real property located within the United States, excluding, for this purpose, interest in real property solely in the capacity as a creditor. Even if the foregoing test is not met, our common or preferred stock will not constitute a USRPI if we are a domestically controlled REIT. A “domestically controlled REIT” is a REIT in which, at all times during a specified testing period, less than 50% in value of its shares is held directly or indirectly by foreign owners. We believe that we will be a domestically controlled REIT, and that a sale of our stock should not be subject to taxation under FIRPTA. However, no assurance can be given that we are or will remain a domestically controlled REIT.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we do not constitute a domestically controlled REIT, a Foreign Holder’s sale of our common or preferred stock generally will still not be subject to tax under FIRPTA as a sale of a USRPI provided that (i) our common or preferred stock, as applicable, is “regularly traded” (as defined by applicable Treasury Regulations) on an established securities market and (ii) the selling Foreign Holder has owned (actually or constructively) 10% or less of our outstanding common or preferred stock, as applicable, at all times during a specified testing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gain on the sale of our stock were subject to taxation under FIRPTA, the Foreign Holder would generally be subject to the same treatment as a Domestic Holder with respect to such gain (subject to applicable alternative minimum tax and a special alternative minimum tax in the case of nonresident alien individuals) and the purchaser of the common or preferred stock could be required to withhold 15% of the purchase price and remit such amount to the IRS.</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Capital gains not subject to FIRPTA will nonetheless be taxable in the United States to a Foreign Holder in two cases. First, if the Foreign Holder’s investment in our common or preferred stock is effectively connected with a U.S. trade or business conducted by such Foreign Holder, the Foreign Holder will generally be subject to the same treatment as a Domestic Holder with respect to such gain. Second, if the Foreign Holder is a nonresident alien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individual who was present in the United States for 183 days or more during the taxable year and has a “tax home” in the United States, the nonresident alien individual will be subject to a 30% tax on the individual’s capital gain.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Estate Tax.</w:t>
      </w:r>
      <w:r>
        <w:rPr>
          <w:color w:val="000000"/>
        </w:rPr>
        <w:t xml:space="preserve"> </w:t>
      </w:r>
      <w:r>
        <w:rPr>
          <w:rFonts w:ascii="Times New Roman;serif" w:hAnsi="Times New Roman;serif"/>
          <w:b w:val="false"/>
          <w:color w:val="000000"/>
          <w:sz w:val="20"/>
        </w:rPr>
        <w:t>Our common or preferred stock owned or treated as owned by an individual who is not a citizen or resident of the United States (as specially defined for U.S. federal estate tax purposes) at the time of death will be includible in the individual’s gross estate for U.S. federal estate tax purposes, unless an applicable estate tax treaty provides otherwise. Such individual’s estate may be subject to U.S. federal estate tax on the property includible in the estate for U.S. federal estate tax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Information Reporting and Backup Withholding. </w:t>
      </w:r>
      <w:r>
        <w:rPr>
          <w:rFonts w:ascii="Times New Roman;serif" w:hAnsi="Times New Roman;serif"/>
          <w:b w:val="false"/>
          <w:color w:val="000000"/>
          <w:sz w:val="20"/>
        </w:rPr>
        <w:t>Under current Treasury Regulations, information reporting and backup withholding will not apply to payments on our common or preferred stock made by us or our paying agent (in its capacity as such) to you if you have provided the required certification that you are a Foreign Holder, provided that neither we nor our paying agent has actual knowledge or reason to know that you are a Domestic Holder. However, we or our paying agent may be required to report to the IRS and you payments of dividends on our common or preferred stock and the amount of tax, if any, withheld with respect to those payments. Copies of the information returns reporting such payments and any withholding may also be made available to the tax authorities in the country in which you reside under the provisions of a treaty or agreement. The gross proceeds from the disposition of your common or preferred stock may be subject to information reporting and backup withholding tax. If you sell your common or preferred stock outside the United States through a non-U.S. office of a non-U.S. broker and the sales proceeds are paid to you outside the United States, then the U.S. information reporting and backup withholding requirements generally will not apply to that payment. However, U.S. information reporting, but not backup withholding, will apply to a payment of sales proceeds, even if that payment is made outside the United States, if you sell common or preferred stock through a non-U.S. office of a broker that:</w:t>
      </w:r>
    </w:p>
    <w:p>
      <w:pPr>
        <w:pStyle w:val="TextBody"/>
        <w:bidi w:val="0"/>
        <w:spacing w:before="0" w:after="0"/>
        <w:ind w:left="0" w:right="0" w:firstLine="72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is a U.S. person;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derives 50% or more of its gross income in specific periods from the conduct of a trade or business in the United States;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is a “controlled foreign corporation” for U.S. federal income tax purposes; or</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is a foreign partnership, if at any time during its tax year:</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one or more of its partners are U.S. persons who in the aggregate hold more than 50% of the income or capital interests in the partnership;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foreign partnership is engaged in a U.S. trade or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unless the broker has documentary evidence in its files that you are a Foreign Holder and certain other conditions are met or you otherwise establish an exemption. If you receive payment of the proceeds of a sale of your common or preferred stock to or through a U.S. office of a broker, the payment is subject to both U.S. backup withholding and information reporting unless you provide an IRS Form W-8BEN (or other applicable IRS Form W-8) certifying that you are a Foreign Holder or you otherwise establish an exemption, provided that the broker does not have actual knowledge or reason to know that you are not a Foreign Holder or the conditions of any other exemption are not, in fact, satisfied.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are encouraged to consult your own tax advisor regarding application of backup withholding in your particular circumstance and the availability of and procedure for obtaining an exemption from backup withholding under current Treasury Regulations. Any amounts withheld under the backup withholding rules from a payment to you will be allowed as a refund or credit against your U.S. federal income tax liability, provided the required information is timely furnished to the IRS.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FATCA Withholding</w:t>
      </w:r>
    </w:p>
    <w:p>
      <w:pPr>
        <w:pStyle w:val="TextBody"/>
        <w:bidi w:val="0"/>
        <w:spacing w:before="0" w:after="0"/>
        <w:jc w:val="left"/>
        <w:rPr/>
      </w:pPr>
      <w:r>
        <w:rPr/>
      </w:r>
    </w:p>
    <w:p>
      <w:pPr>
        <w:pStyle w:val="TextBody"/>
        <w:bidi w:val="0"/>
        <w:spacing w:lineRule="auto" w:line="288"/>
        <w:ind w:left="0" w:right="0" w:firstLine="720"/>
        <w:jc w:val="left"/>
        <w:rPr/>
      </w:pPr>
      <w:r>
        <w:rPr>
          <w:rFonts w:ascii="Times New Roman;serif" w:hAnsi="Times New Roman;serif"/>
          <w:b w:val="false"/>
          <w:i/>
          <w:color w:val="000000"/>
          <w:sz w:val="20"/>
        </w:rPr>
        <w:t xml:space="preserve">Withholding on Foreign Financial Accounts. </w:t>
      </w:r>
      <w:r>
        <w:rPr>
          <w:rFonts w:ascii="Times New Roman;serif" w:hAnsi="Times New Roman;serif"/>
          <w:b w:val="false"/>
          <w:color w:val="000000"/>
          <w:sz w:val="20"/>
        </w:rPr>
        <w:t xml:space="preserve">Under FATCA, we will be required to withhold 30% of “withholdable payments” made to certain Foreign Holders. This 30% withholding tax will apply to withholdable payments made to an Holder that is a “foreign financial institution” (“FFI”) unless the FFI enters into an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the IRS to collect and provide to the IRS on an annual basis substantial information regarding its United States accounts (which include certain equity and debt holders, as well as certain account holders that are foreign entities with owners that are U.S. Persons), or an exception applies. Alternatively, an FFI resident or doing business in a country that has entered into an intergovernmental agreement with the U.S. to implement FATCA will be exempt from FATCA withholding provided that the FFI and the applicable foreign government comply with the terms of such agreement. An FFI is generally any foreign entity that (i) accepts deposits in the ordinary course of business (ii) holds financial assets for the account of others as a substantial portion of its business, (iii) is engaged primarily in the business of investing or trading in securities or partnership interests or (iv) certain insurance companies issuing cash-value insurance or annuity contracts. The 30% withholding tax will also apply to withholdable payments made to a foreign entity that is not a FFI unless the entity provides the withholding agent with a completed Form W-8BEN or Form W-8BEN-E certifying its FATCA status and, in certain circumstances, identifying its substantial U.S. owners, which generally includes any U.S. Person who directly or indirectly owns more than 10% of the entity. The term “withholdable payment” includes any payment of interest and dividends,, in each case with respect to any U.S. investment. Proposed regulations eliminate the requirement of withholding on gross proceeds from the sale or disposition of stock. The U.S. Treasury Department has indicated that taxpayers may rely on these proposed regulations pending their finalization.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Tax Consequences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Medicare Tax. </w:t>
      </w:r>
      <w:r>
        <w:rPr>
          <w:rFonts w:ascii="Times New Roman;serif" w:hAnsi="Times New Roman;serif"/>
          <w:b w:val="false"/>
          <w:color w:val="000000"/>
          <w:sz w:val="20"/>
        </w:rPr>
        <w:t>Certain taxable Domestic Holders who are individuals, estates or trusts are subject to a 3.8% tax on all or a portion of their “net investment income,” which may include all or a portion of their dividends on our common and preferred stock and net gains from the taxable disposition of our common and preferred stock. Domestic Holders that are individuals, estates or trusts should consult their tax advisors regarding the applicability of the Medicare tax to any of their income or gains in respect of our common and preferred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State and Local Taxes.</w:t>
      </w:r>
      <w:r>
        <w:rPr>
          <w:color w:val="000000"/>
        </w:rPr>
        <w:t xml:space="preserve"> </w:t>
      </w:r>
      <w:r>
        <w:rPr>
          <w:rFonts w:ascii="Times New Roman;serif" w:hAnsi="Times New Roman;serif"/>
          <w:b w:val="false"/>
          <w:color w:val="000000"/>
          <w:sz w:val="20"/>
        </w:rPr>
        <w:t>We and our stockholders may be subject to state or local taxation in various state or local jurisdictions, including those in which we or they transact business or reside. The state and local tax treatment may not conform to the U.S. federal income tax consequences discussed above. Consequently, prospective investors should consult their own tax advisors regarding the effect of state and local tax laws on an investment in our common or preferred stock.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Legislative or other actions affecting REITs could materially and adversely affect us and our stockholders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rules dealing with U.S. federal income taxation are constantly under review by persons involved in the legislative process and by the IRS and the U.S. Department of the Treasury. Changes to the tax laws, with or without retroactive application, could materially and adversely affect us and our stockholders. We cannot predict how changes in the tax laws might affect us or our stockholders. New legislation, U.S. Treasury Regulations, administrative interpretations or court decisions could significantly and negatively affect our ability to qualify as a REIT or the U.S. federal income tax consequences of such qualification.</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21951</Words>
  <Characters>111654</Characters>
  <CharactersWithSpaces>133237</CharactersWithSpaces>
  <Paragraphs>490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