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 xml:space="preserve">Filed Pursuant to Rule 424(b)(5) </w:t>
        <w:br/>
        <w:t>Registration No. 333-278327</w:t>
      </w: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240"/>
        <w:ind w:left="0" w:right="0" w:hanging="720"/>
        <w:jc w:val="both"/>
        <w:rPr>
          <w:rFonts w:ascii="Times New Roman;serif" w:hAnsi="Times New Roman;serif"/>
          <w:b/>
          <w:color w:val="000000"/>
          <w:sz w:val="20"/>
        </w:rPr>
      </w:pPr>
      <w:r>
        <w:rPr>
          <w:rFonts w:ascii="Times New Roman;serif" w:hAnsi="Times New Roman;serif"/>
          <w:b/>
          <w:color w:val="000000"/>
          <w:sz w:val="20"/>
        </w:rPr>
        <w:t>(To Prospectus dated March 28, 2024)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Up to 25,544,352 Shares</w:t>
      </w:r>
    </w:p>
    <w:p>
      <w:pPr>
        <w:pStyle w:val="TextBody"/>
        <w:bidi w:val="0"/>
        <w:spacing w:before="0" w:after="120"/>
        <w:jc w:val="center"/>
        <w:rPr/>
      </w:pPr>
      <w:r>
        <w:rPr/>
        <w:drawing>
          <wp:inline distT="0" distB="0" distL="0" distR="0">
            <wp:extent cx="25146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14600" cy="619125"/>
                    </a:xfrm>
                    <a:prstGeom prst="rect">
                      <a:avLst/>
                    </a:prstGeom>
                  </pic:spPr>
                </pic:pic>
              </a:graphicData>
            </a:graphic>
          </wp:inline>
        </w:drawing>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dated March 28, 2024 relate to the offer and sale from time to time of 25,544,352 shares of our common stock, par value $0.001 per share.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24, 2026, we entered into Amendment No. 8 (the “Sales Agreement Amendment,” and together with the Sales Agreement (as defined below), the “Amended Sales Agreement”) pursuant to which we increased by 25,000,000 the number of shares of common stock, par value $0.001 per share, that may be offered and sold under our equity sales agreement dated July 26, 2023, with BUCKLER Securities LLC (“BUCKLER”), B. Riley Securities, Inc. (“B. Riley Securities”), Citizens JMP Securities, LLC (“Citizens Capital Markets”), JonesTrading Institutional Services LLC (“Jones”) and Ladenburg Thalmann &amp; Co. Inc. (“Ladenburg Thalmann”) as sales agents, as amended by Amendment No. 1 dated October 25, 2023, pursuant to which StockBlock Securities LLC (“StockBlock”) was added as an agent, as further amended by Amendment No. 2 dated June 20, 2024 (“Amendment No. 2”), pursuant to which BTIG, LLC (“BTIG”) was added as an agent, as further amended by Amendment No. 3 dated August 23, 2024, pursuant to which the number of shares of our common stock that may be offered and sold under the agreement was increased by 25,000,000, as further amended by Amendment No. 4 dated September 20, 2024, pursuant to which Janney Montgomery Scott LLC (“Janney”) was added as an agent, as further amended by Amendment No. 5 dated February 13, 2025, pursuant to which the number of shares of our common stock that may be offered and sold under the agreement was increased by 15,000,000, as further amended by Amendment No. 6 dated July 25, 2025, pursuant to which the number of shares of our common stock that may be offered and sold under the agreement was increased by 9,500,000, as further amended by Amendment No. 7 dated January 28, 2026, pursuant to which the number of shares of our common stock that may be offered and sold under the agreement was increased by 15,000,000 under the Sales Agreement and Janney was removed and Huntington Securities, Inc. (“Huntington Capital Markets”) was added as a sales agent; each of BUCKLER, B. Riley Securities, BTIG, Citizens Capital Markets, Jones, Ladenburg Thalmann, StockBlock and Huntington Capital Markets, individually, an “Agent” and, collectively, the “Agents.” In accordance with the terms of the Amended Sales Agreement, we may, from time to time, issue and sell up to 25,544,352 shares of our common stock through or to the Agents, representing the number of shares that remained unsold under the Sales Agreement, in addition to the offer of an additional 25,000,000 shares. All references to “Agents” in this prospectus supplement refer initially to the Agents above, individually or collectively, as applicable, and thereafter to the Agents above and such other agents as may be designated by us from time to time in the future. All share numbers in this prospectus supplement and the accompanying prospectus reflect our one-for-five reverse stock split of our common stock, effective on September 29, 2023. This prospectus supplement amends and restates in its entirety the prospectus supplement dated January 28, 2026, filed in connection with Amendment No. 7 and the common stock to which this prospectus supplement relates is offered pursuant to the terms of the Amended Sales Agreement.</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common stock and 7.00% Series C Cumulative Redeemable Preferred Stock (“Series C Preferred Stock”) are listed on the New York Stock Exchange (the “NYSE”) under the symbols “ARR” and “ARR PRC,” respectively.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the common stock, if any, made by the Agents, as our sales agents, as contemplated by this prospectus supplement and the accompanying prospectus, may be made by means of transactions that are deemed to be “at the market offerings” as defined in Rule 415 under the Securities Act of 1933, as amended (the “Securities Act”). Accordingly, an indeterminate number of shares of our common stock may be sold, if any, but in no event will we issue and sell more than 25,544,352 shares of our common stock pursuant to the Amended Sales Agreement. We will pay each Agent, acting as sales agent, an aggregate commission of up to 2.0% of the gross sales price per share of our common stock sold through such Agent, under the Amended Sales Agreement. In connection with the sale of shares of our common stock on our behalf, the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1" w:before="0" w:after="20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both"/>
                        <w:rPr>
                          <w:color w:val="000000"/>
                        </w:rPr>
                      </w:pPr>
                      <w:r>
                        <w:rPr>
                          <w:color w:val="000000"/>
                        </w:rPr>
                        <w:t>    </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Agents will be deemed to be “underwriters” within the meaning of the Securities Act, and the compensation of the Agents will be deemed to be underwriting commissions or discounts.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Agents are not required to sell any specific number or dollar amount of our common stock but will use their commercially reasonable efforts, consistent with their normal sales and trading practice, as our sales agent, and on the terms and subject to the conditions of the Amended Sales Agreement, to sell the common stock offered on terms agreed by the Agents and us. We cannot predict the number of shares that we may sell hereby or if any shares will be sold. There is no arrangement for funds to be received in an escrow, trust or similar arrangement.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proceeds we receive from the sale of shares of our common stock to which this prospectus supplement relates will be the gross proceeds received from such sales less the commissions or discounts and any other expenses we may incur in issuing the shares of our common stock. See “Use of Proceeds” and “Plan of Distribution (Conflicts of Interest)” for further information.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last reported sales prices of our common stock and Series C Preferred Stock on the NYSE on July 22, 2026 was $16.38 and $20.77 per share, respectively.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elected to be taxed as a real estate investment trust (“REIT”) for U.S. federal income tax purposes. To assist us in qualifying as a REIT, among other purposes, stockholders are generally restricted under our charter from beneficially owning more than 9.8% by value or number of shares, whichever is more restrictive, of our outstanding shares of common stock. In addition, our charter contains various other restrictions on the ownership and transfer of our common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risks. You should carefully consider the risks described or referred to under “Risk Factors” on page S-3 of this prospectus supplement and on page 7 of the accompanying prospectus, in our most recent Annual Report on Form 10-K and any subsequent Quarterly Reports on Form 10-Q (which descriptions are incorporated by reference herein) and any amendment or update thereto reflected in subsequent filings with the SEC and incorporated by reference in this prospectus supplement and the accompanying prospectus, as well as in the other information contained or incorporated by reference in this prospectus supplement hereto and the accompanying prospectus, before making a decision to invest in our securities.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Neither the Securities and Exchange Commission nor any state securities commission has approved or disapproved of these securities or determined that this prospectus is truthful or complete. Any representation to the contrary is a criminal offense.</w:t>
      </w:r>
    </w:p>
    <w:tbl>
      <w:tblPr>
        <w:tblW w:w="10205" w:type="dxa"/>
        <w:jc w:val="center"/>
        <w:tblInd w:w="0" w:type="dxa"/>
        <w:tblLayout w:type="fixed"/>
        <w:tblCellMar>
          <w:top w:w="28" w:type="dxa"/>
          <w:left w:w="28" w:type="dxa"/>
          <w:bottom w:w="28" w:type="dxa"/>
          <w:right w:w="28" w:type="dxa"/>
        </w:tblCellMar>
      </w:tblPr>
      <w:tblGrid>
        <w:gridCol w:w="625"/>
        <w:gridCol w:w="548"/>
        <w:gridCol w:w="551"/>
        <w:gridCol w:w="235"/>
        <w:gridCol w:w="235"/>
        <w:gridCol w:w="236"/>
        <w:gridCol w:w="379"/>
        <w:gridCol w:w="379"/>
        <w:gridCol w:w="380"/>
        <w:gridCol w:w="681"/>
        <w:gridCol w:w="681"/>
        <w:gridCol w:w="682"/>
        <w:gridCol w:w="295"/>
        <w:gridCol w:w="295"/>
        <w:gridCol w:w="296"/>
        <w:gridCol w:w="613"/>
        <w:gridCol w:w="613"/>
        <w:gridCol w:w="614"/>
        <w:gridCol w:w="545"/>
        <w:gridCol w:w="545"/>
        <w:gridCol w:w="777"/>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BUCKLER SECURITIES LLC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 RILEY SECURITIES</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BTIG</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Citizens Capital Markets</w:t>
            </w:r>
          </w:p>
        </w:tc>
        <w:tc>
          <w:tcPr>
            <w:tcW w:w="20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HUNTINGTON CAPITAL MARKETS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JONES</w:t>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LADENBURG THALMANN</w:t>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STOCKBLOCK</w:t>
            </w:r>
          </w:p>
        </w:tc>
      </w:tr>
    </w:tbl>
    <w:p>
      <w:pPr>
        <w:pStyle w:val="TextBody"/>
        <w:bidi w:val="0"/>
        <w:spacing w:lineRule="auto" w:line="288" w:before="300" w:after="200"/>
        <w:jc w:val="center"/>
        <w:rPr>
          <w:rFonts w:ascii="Times New Roman;serif" w:hAnsi="Times New Roman;serif"/>
          <w:b w:val="false"/>
          <w:color w:val="000000"/>
          <w:sz w:val="20"/>
        </w:rPr>
      </w:pPr>
      <w:r>
        <w:rPr>
          <w:rFonts w:ascii="Times New Roman;serif" w:hAnsi="Times New Roman;serif"/>
          <w:b w:val="false"/>
          <w:color w:val="000000"/>
          <w:sz w:val="20"/>
        </w:rPr>
        <w:t xml:space="preserve">The date of this prospectus supplement is July 24,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1" w:before="0" w:after="200"/>
                              <w:jc w:val="both"/>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both"/>
                        <w:rPr>
                          <w:color w:val="000000"/>
                        </w:rPr>
                      </w:pPr>
                      <w:r>
                        <w:rPr>
                          <w:color w:val="000000"/>
                        </w:rPr>
                        <w:t>    </w:t>
                      </w:r>
                    </w:p>
                  </w:txbxContent>
                </v:textbox>
                <w10:wrap type="none"/>
              </v:rect>
            </w:pict>
          </mc:Fallback>
        </mc:AlternateContent>
      </w:r>
    </w:p>
    <w:p>
      <w:pPr>
        <w:pStyle w:val="TextBody"/>
        <w:bidi w:val="0"/>
        <w:spacing w:lineRule="auto" w:line="331"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331" w:before="0" w:after="120"/>
        <w:jc w:val="center"/>
        <w:rPr>
          <w:rFonts w:ascii="Times New Roman;serif" w:hAnsi="Times New Roman;serif"/>
          <w:b/>
          <w:color w:val="000000"/>
          <w:sz w:val="20"/>
        </w:rPr>
      </w:pPr>
      <w:r>
        <w:rPr>
          <w:rFonts w:ascii="Times New Roman;serif" w:hAnsi="Times New Roman;serif"/>
          <w:b/>
          <w:color w:val="000000"/>
          <w:sz w:val="20"/>
        </w:rPr>
        <w:t xml:space="preserve">PROSPECTUS SUPPLEMENT </w:t>
      </w:r>
    </w:p>
    <w:tbl>
      <w:tblPr>
        <w:tblW w:w="10205" w:type="dxa"/>
        <w:jc w:val="center"/>
        <w:tblInd w:w="0" w:type="dxa"/>
        <w:tblLayout w:type="fixed"/>
        <w:tblCellMar>
          <w:top w:w="28" w:type="dxa"/>
          <w:left w:w="28" w:type="dxa"/>
          <w:bottom w:w="28" w:type="dxa"/>
          <w:right w:w="28" w:type="dxa"/>
        </w:tblCellMar>
      </w:tblPr>
      <w:tblGrid>
        <w:gridCol w:w="3524"/>
        <w:gridCol w:w="3070"/>
        <w:gridCol w:w="3087"/>
        <w:gridCol w:w="151"/>
        <w:gridCol w:w="151"/>
        <w:gridCol w:w="222"/>
      </w:tblGrid>
      <w:tr>
        <w:trPr/>
        <w:tc>
          <w:tcPr>
            <w:tcW w:w="3524"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7">
              <w:r>
                <w:rPr>
                  <w:rStyle w:val="InternetLink"/>
                  <w:rFonts w:ascii="Times New Roman;serif" w:hAnsi="Times New Roman;serif"/>
                  <w:b w:val="false"/>
                  <w:strike w:val="false"/>
                  <w:dstrike w:val="false"/>
                  <w:color w:val="000000"/>
                  <w:sz w:val="20"/>
                  <w:u w:val="none"/>
                  <w:effect w:val="none"/>
                </w:rPr>
                <w:t>ABOUT THIS PROSPECTUS SUPPLEMENT</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7">
              <w:r>
                <w:rPr>
                  <w:rStyle w:val="InternetLink"/>
                  <w:rFonts w:ascii="Times New Roman;serif" w:hAnsi="Times New Roman;serif"/>
                  <w:b w:val="false"/>
                  <w:strike w:val="false"/>
                  <w:dstrike w:val="false"/>
                  <w:color w:val="000000"/>
                  <w:sz w:val="20"/>
                  <w:u w:val="none"/>
                  <w:effect w:val="none"/>
                </w:rPr>
                <w:t>S-ii</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10">
              <w:r>
                <w:rPr>
                  <w:rStyle w:val="InternetLink"/>
                  <w:rFonts w:ascii="Times New Roman;serif" w:hAnsi="Times New Roman;serif"/>
                  <w:b w:val="false"/>
                  <w:strike w:val="false"/>
                  <w:dstrike w:val="false"/>
                  <w:color w:val="000000"/>
                  <w:sz w:val="20"/>
                  <w:u w:val="none"/>
                  <w:effect w:val="none"/>
                </w:rPr>
                <w:t>SPECIAL NOTE REGARDING FORWARD-LOOKING STATEMENTS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10">
              <w:r>
                <w:rPr>
                  <w:rStyle w:val="InternetLink"/>
                  <w:rFonts w:ascii="Times New Roman;serif" w:hAnsi="Times New Roman;serif"/>
                  <w:b w:val="false"/>
                  <w:strike w:val="false"/>
                  <w:dstrike w:val="false"/>
                  <w:color w:val="000000"/>
                  <w:sz w:val="20"/>
                  <w:u w:val="none"/>
                  <w:effect w:val="none"/>
                </w:rPr>
                <w:t>S-iii</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13">
              <w:r>
                <w:rPr>
                  <w:rStyle w:val="InternetLink"/>
                  <w:rFonts w:ascii="Times New Roman;serif" w:hAnsi="Times New Roman;serif"/>
                  <w:b w:val="false"/>
                  <w:strike w:val="false"/>
                  <w:dstrike w:val="false"/>
                  <w:color w:val="000000"/>
                  <w:sz w:val="20"/>
                  <w:u w:val="none"/>
                  <w:effect w:val="none"/>
                </w:rPr>
                <w:t>PROSPECTUS SUPPLEMENT SUMMARY</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13">
              <w:r>
                <w:rPr>
                  <w:rStyle w:val="InternetLink"/>
                  <w:rFonts w:ascii="Times New Roman;serif" w:hAnsi="Times New Roman;serif"/>
                  <w:b w:val="false"/>
                  <w:strike w:val="false"/>
                  <w:dstrike w:val="false"/>
                  <w:color w:val="000000"/>
                  <w:sz w:val="20"/>
                  <w:u w:val="none"/>
                  <w:effect w:val="none"/>
                </w:rPr>
                <w:t>S-1</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16">
              <w:r>
                <w:rPr>
                  <w:rStyle w:val="InternetLink"/>
                  <w:rFonts w:ascii="Times New Roman;serif" w:hAnsi="Times New Roman;serif"/>
                  <w:b w:val="false"/>
                  <w:strike w:val="false"/>
                  <w:dstrike w:val="false"/>
                  <w:color w:val="000000"/>
                  <w:sz w:val="20"/>
                  <w:u w:val="none"/>
                  <w:effect w:val="none"/>
                </w:rPr>
                <w:t>THE OFFERING</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16">
              <w:r>
                <w:rPr>
                  <w:rStyle w:val="InternetLink"/>
                  <w:rFonts w:ascii="Times New Roman;serif" w:hAnsi="Times New Roman;serif"/>
                  <w:b w:val="false"/>
                  <w:strike w:val="false"/>
                  <w:dstrike w:val="false"/>
                  <w:color w:val="000000"/>
                  <w:sz w:val="20"/>
                  <w:u w:val="none"/>
                  <w:effect w:val="none"/>
                </w:rPr>
                <w:t>S-2</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19">
              <w:r>
                <w:rPr>
                  <w:rStyle w:val="InternetLink"/>
                  <w:rFonts w:ascii="Times New Roman;serif" w:hAnsi="Times New Roman;serif"/>
                  <w:b w:val="false"/>
                  <w:strike w:val="false"/>
                  <w:dstrike w:val="false"/>
                  <w:color w:val="000000"/>
                  <w:sz w:val="20"/>
                  <w:u w:val="none"/>
                  <w:effect w:val="none"/>
                </w:rPr>
                <w:t>RISK FACTORS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19">
              <w:r>
                <w:rPr>
                  <w:rStyle w:val="InternetLink"/>
                  <w:rFonts w:ascii="Times New Roman;serif" w:hAnsi="Times New Roman;serif"/>
                  <w:b w:val="false"/>
                  <w:strike w:val="false"/>
                  <w:dstrike w:val="false"/>
                  <w:color w:val="000000"/>
                  <w:sz w:val="20"/>
                  <w:u w:val="none"/>
                  <w:effect w:val="none"/>
                </w:rPr>
                <w:t>S-3</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22">
              <w:r>
                <w:rPr>
                  <w:rStyle w:val="InternetLink"/>
                  <w:rFonts w:ascii="Times New Roman;serif" w:hAnsi="Times New Roman;serif"/>
                  <w:b w:val="false"/>
                  <w:strike w:val="false"/>
                  <w:dstrike w:val="false"/>
                  <w:color w:val="000000"/>
                  <w:sz w:val="20"/>
                  <w:u w:val="none"/>
                  <w:effect w:val="none"/>
                </w:rPr>
                <w:t>USE OF PROCEEDS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22">
              <w:r>
                <w:rPr>
                  <w:rStyle w:val="InternetLink"/>
                  <w:rFonts w:ascii="Times New Roman;serif" w:hAnsi="Times New Roman;serif"/>
                  <w:b w:val="false"/>
                  <w:strike w:val="false"/>
                  <w:dstrike w:val="false"/>
                  <w:color w:val="000000"/>
                  <w:sz w:val="20"/>
                  <w:u w:val="none"/>
                  <w:effect w:val="none"/>
                </w:rPr>
                <w:t>S-5</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25">
              <w:r>
                <w:rPr>
                  <w:rStyle w:val="InternetLink"/>
                  <w:rFonts w:ascii="Times New Roman;serif" w:hAnsi="Times New Roman;serif"/>
                  <w:b w:val="false"/>
                  <w:strike w:val="false"/>
                  <w:dstrike w:val="false"/>
                  <w:color w:val="000000"/>
                  <w:sz w:val="20"/>
                  <w:u w:val="none"/>
                  <w:effect w:val="none"/>
                </w:rPr>
                <w:t>SUPPLEMENT TO MATERIAL U.S. FEDERAL INCOME TAX CONSIDERATIONS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25">
              <w:r>
                <w:rPr>
                  <w:rStyle w:val="InternetLink"/>
                  <w:rFonts w:ascii="Times New Roman;serif" w:hAnsi="Times New Roman;serif"/>
                  <w:b w:val="false"/>
                  <w:strike w:val="false"/>
                  <w:dstrike w:val="false"/>
                  <w:color w:val="000000"/>
                  <w:sz w:val="20"/>
                  <w:u w:val="none"/>
                  <w:effect w:val="none"/>
                </w:rPr>
                <w:t>S-6</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28">
              <w:r>
                <w:rPr>
                  <w:rStyle w:val="InternetLink"/>
                  <w:rFonts w:ascii="Times New Roman;serif" w:hAnsi="Times New Roman;serif"/>
                  <w:b w:val="false"/>
                  <w:strike w:val="false"/>
                  <w:dstrike w:val="false"/>
                  <w:color w:val="000000"/>
                  <w:sz w:val="20"/>
                  <w:u w:val="none"/>
                  <w:effect w:val="none"/>
                </w:rPr>
                <w:t>DIVIDEND POLICY</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28">
              <w:r>
                <w:rPr>
                  <w:rStyle w:val="InternetLink"/>
                  <w:rFonts w:ascii="Times New Roman;serif" w:hAnsi="Times New Roman;serif"/>
                  <w:b w:val="false"/>
                  <w:strike w:val="false"/>
                  <w:dstrike w:val="false"/>
                  <w:color w:val="000000"/>
                  <w:sz w:val="20"/>
                  <w:u w:val="none"/>
                  <w:effect w:val="none"/>
                </w:rPr>
                <w:t>S-7</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31">
              <w:r>
                <w:rPr>
                  <w:rStyle w:val="InternetLink"/>
                  <w:rFonts w:ascii="Times New Roman;serif" w:hAnsi="Times New Roman;serif"/>
                  <w:b w:val="false"/>
                  <w:strike w:val="false"/>
                  <w:dstrike w:val="false"/>
                  <w:color w:val="000000"/>
                  <w:sz w:val="20"/>
                  <w:u w:val="none"/>
                  <w:effect w:val="none"/>
                </w:rPr>
                <w:t>PLAN OF DISTRIBUTION</w:t>
              </w:r>
            </w:hyperlink>
            <w:r>
              <w:rPr>
                <w:rFonts w:ascii="Times New Roman;serif" w:hAnsi="Times New Roman;serif"/>
                <w:b w:val="false"/>
                <w:color w:val="000000"/>
                <w:sz w:val="20"/>
              </w:rPr>
              <w:t xml:space="preserve"> (CONFLICTS OF INTEREST)</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31">
              <w:r>
                <w:rPr>
                  <w:rStyle w:val="InternetLink"/>
                  <w:rFonts w:ascii="Times New Roman;serif" w:hAnsi="Times New Roman;serif"/>
                  <w:b w:val="false"/>
                  <w:strike w:val="false"/>
                  <w:dstrike w:val="false"/>
                  <w:color w:val="000000"/>
                  <w:sz w:val="20"/>
                  <w:u w:val="none"/>
                  <w:effect w:val="none"/>
                </w:rPr>
                <w:t>S-8</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34">
              <w:r>
                <w:rPr>
                  <w:rStyle w:val="InternetLink"/>
                  <w:rFonts w:ascii="Times New Roman;serif" w:hAnsi="Times New Roman;serif"/>
                  <w:b w:val="false"/>
                  <w:strike w:val="false"/>
                  <w:dstrike w:val="false"/>
                  <w:color w:val="000000"/>
                  <w:sz w:val="20"/>
                  <w:u w:val="none"/>
                  <w:effect w:val="none"/>
                </w:rPr>
                <w:t>LEGAL MATTERS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34">
              <w:r>
                <w:rPr>
                  <w:rStyle w:val="InternetLink"/>
                  <w:rFonts w:ascii="Times New Roman;serif" w:hAnsi="Times New Roman;serif"/>
                  <w:b w:val="false"/>
                  <w:strike w:val="false"/>
                  <w:dstrike w:val="false"/>
                  <w:color w:val="000000"/>
                  <w:sz w:val="20"/>
                  <w:u w:val="none"/>
                  <w:effect w:val="none"/>
                </w:rPr>
                <w:t>S-10</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37">
              <w:r>
                <w:rPr>
                  <w:rStyle w:val="InternetLink"/>
                  <w:rFonts w:ascii="Times New Roman;serif" w:hAnsi="Times New Roman;serif"/>
                  <w:b w:val="false"/>
                  <w:strike w:val="false"/>
                  <w:dstrike w:val="false"/>
                  <w:color w:val="000000"/>
                  <w:sz w:val="20"/>
                  <w:u w:val="none"/>
                  <w:effect w:val="none"/>
                </w:rPr>
                <w:t>EXPERTS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37">
              <w:r>
                <w:rPr>
                  <w:rStyle w:val="InternetLink"/>
                  <w:rFonts w:ascii="Times New Roman;serif" w:hAnsi="Times New Roman;serif"/>
                  <w:b w:val="false"/>
                  <w:strike w:val="false"/>
                  <w:dstrike w:val="false"/>
                  <w:color w:val="000000"/>
                  <w:sz w:val="20"/>
                  <w:u w:val="none"/>
                  <w:effect w:val="none"/>
                </w:rPr>
                <w:t>S-11</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40">
              <w:r>
                <w:rPr>
                  <w:rStyle w:val="InternetLink"/>
                  <w:rFonts w:ascii="Times New Roman;serif" w:hAnsi="Times New Roman;serif"/>
                  <w:b w:val="false"/>
                  <w:strike w:val="false"/>
                  <w:dstrike w:val="false"/>
                  <w:color w:val="000000"/>
                  <w:sz w:val="20"/>
                  <w:u w:val="none"/>
                  <w:effect w:val="none"/>
                </w:rPr>
                <w:t>WHERE YOU CAN FIND MORE INFORMATION</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40">
              <w:r>
                <w:rPr>
                  <w:rStyle w:val="InternetLink"/>
                  <w:rFonts w:ascii="Times New Roman;serif" w:hAnsi="Times New Roman;serif"/>
                  <w:b w:val="false"/>
                  <w:strike w:val="false"/>
                  <w:dstrike w:val="false"/>
                  <w:color w:val="000000"/>
                  <w:sz w:val="20"/>
                  <w:u w:val="none"/>
                  <w:effect w:val="none"/>
                </w:rPr>
                <w:t>S-12</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43">
              <w:r>
                <w:rPr>
                  <w:rStyle w:val="InternetLink"/>
                  <w:rFonts w:ascii="Times New Roman;serif" w:hAnsi="Times New Roman;serif"/>
                  <w:b w:val="false"/>
                  <w:strike w:val="false"/>
                  <w:dstrike w:val="false"/>
                  <w:color w:val="000000"/>
                  <w:sz w:val="20"/>
                  <w:u w:val="none"/>
                  <w:effect w:val="none"/>
                </w:rPr>
                <w:t>INCORPORATION OF CERTAIN DOCUMENTS BY REFERENCE</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43">
              <w:r>
                <w:rPr>
                  <w:rStyle w:val="InternetLink"/>
                  <w:rFonts w:ascii="Times New Roman;serif" w:hAnsi="Times New Roman;serif"/>
                  <w:b w:val="false"/>
                  <w:strike w:val="false"/>
                  <w:dstrike w:val="false"/>
                  <w:color w:val="000000"/>
                  <w:sz w:val="20"/>
                  <w:u w:val="none"/>
                  <w:effect w:val="none"/>
                </w:rPr>
                <w:t>S-13</w:t>
              </w:r>
            </w:hyperlink>
          </w:p>
        </w:tc>
      </w:tr>
      <w:tr>
        <w:trPr/>
        <w:tc>
          <w:tcPr>
            <w:tcW w:w="9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1" w:type="dxa"/>
            <w:gridSpan w:val="3"/>
            <w:tcBorders/>
            <w:tcMar>
              <w:top w:w="0" w:type="dxa"/>
              <w:left w:w="0" w:type="dxa"/>
              <w:bottom w:w="0" w:type="dxa"/>
              <w:right w:w="0" w:type="dxa"/>
            </w:tcMar>
            <w:vAlign w:val="center"/>
          </w:tcPr>
          <w:p>
            <w:pPr>
              <w:pStyle w:val="TableContents"/>
              <w:bidi w:val="0"/>
              <w:spacing w:lineRule="auto" w:line="331" w:before="0" w:after="120"/>
              <w:jc w:val="center"/>
              <w:rPr>
                <w:rFonts w:ascii="Times New Roman;serif" w:hAnsi="Times New Roman;serif"/>
                <w:b/>
                <w:color w:val="000000"/>
                <w:sz w:val="20"/>
              </w:rPr>
            </w:pPr>
            <w:r>
              <w:rPr>
                <w:rFonts w:ascii="Times New Roman;serif" w:hAnsi="Times New Roman;serif"/>
                <w:b/>
                <w:color w:val="000000"/>
                <w:sz w:val="20"/>
              </w:rPr>
              <w:t>PROSPECTUS</w:t>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52">
              <w:r>
                <w:rPr>
                  <w:rStyle w:val="InternetLink"/>
                  <w:rFonts w:ascii="Times New Roman;serif" w:hAnsi="Times New Roman;serif"/>
                  <w:b w:val="false"/>
                  <w:color w:val="000000"/>
                  <w:sz w:val="20"/>
                  <w:u w:val="single"/>
                </w:rPr>
                <w:t>GLOSSARY OF TERMS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52">
              <w:r>
                <w:rPr>
                  <w:rStyle w:val="InternetLink"/>
                  <w:rFonts w:ascii="Times New Roman;serif" w:hAnsi="Times New Roman;serif"/>
                  <w:b w:val="false"/>
                  <w:color w:val="000000"/>
                  <w:sz w:val="20"/>
                  <w:u w:val="single"/>
                </w:rPr>
                <w:t>ii</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55">
              <w:r>
                <w:rPr>
                  <w:rStyle w:val="InternetLink"/>
                  <w:rFonts w:ascii="Times New Roman;serif" w:hAnsi="Times New Roman;serif"/>
                  <w:b w:val="false"/>
                  <w:color w:val="000000"/>
                  <w:sz w:val="20"/>
                  <w:u w:val="single"/>
                </w:rPr>
                <w:t>ABOUT THIS PROSPECTUS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55">
              <w:r>
                <w:rPr>
                  <w:rStyle w:val="InternetLink"/>
                  <w:rFonts w:ascii="Times New Roman;serif" w:hAnsi="Times New Roman;serif"/>
                  <w:b w:val="false"/>
                  <w:color w:val="000000"/>
                  <w:sz w:val="20"/>
                  <w:u w:val="single"/>
                </w:rPr>
                <w:t>1</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58">
              <w:r>
                <w:rPr>
                  <w:rStyle w:val="InternetLink"/>
                  <w:rFonts w:ascii="Times New Roman;serif" w:hAnsi="Times New Roman;serif"/>
                  <w:b w:val="false"/>
                  <w:color w:val="000000"/>
                  <w:sz w:val="20"/>
                  <w:u w:val="single"/>
                </w:rPr>
                <w:t>SPECIAL NOTE REGARDING FORWARD-LOOKING STATEMENTS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58">
              <w:r>
                <w:rPr>
                  <w:rStyle w:val="InternetLink"/>
                  <w:rFonts w:ascii="Times New Roman;serif" w:hAnsi="Times New Roman;serif"/>
                  <w:b w:val="false"/>
                  <w:color w:val="000000"/>
                  <w:sz w:val="20"/>
                  <w:u w:val="single"/>
                </w:rPr>
                <w:t>2</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61">
              <w:r>
                <w:rPr>
                  <w:rStyle w:val="InternetLink"/>
                  <w:rFonts w:ascii="Times New Roman;serif" w:hAnsi="Times New Roman;serif"/>
                  <w:b w:val="false"/>
                  <w:color w:val="000000"/>
                  <w:sz w:val="20"/>
                  <w:u w:val="single"/>
                </w:rPr>
                <w:t>PROSPECTUS SUMMARY</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61">
              <w:r>
                <w:rPr>
                  <w:rStyle w:val="InternetLink"/>
                  <w:rFonts w:ascii="Times New Roman;serif" w:hAnsi="Times New Roman;serif"/>
                  <w:b w:val="false"/>
                  <w:color w:val="000000"/>
                  <w:sz w:val="20"/>
                  <w:u w:val="single"/>
                </w:rPr>
                <w:t>4</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64">
              <w:r>
                <w:rPr>
                  <w:rStyle w:val="InternetLink"/>
                  <w:rFonts w:ascii="Times New Roman;serif" w:hAnsi="Times New Roman;serif"/>
                  <w:b w:val="false"/>
                  <w:color w:val="000000"/>
                  <w:sz w:val="20"/>
                  <w:u w:val="single"/>
                </w:rPr>
                <w:t>RISK FACTORS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64">
              <w:r>
                <w:rPr>
                  <w:rStyle w:val="InternetLink"/>
                  <w:rFonts w:ascii="Times New Roman;serif" w:hAnsi="Times New Roman;serif"/>
                  <w:b w:val="false"/>
                  <w:color w:val="000000"/>
                  <w:sz w:val="20"/>
                  <w:u w:val="single"/>
                </w:rPr>
                <w:t>7</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67">
              <w:r>
                <w:rPr>
                  <w:rStyle w:val="InternetLink"/>
                  <w:rFonts w:ascii="Times New Roman;serif" w:hAnsi="Times New Roman;serif"/>
                  <w:b w:val="false"/>
                  <w:color w:val="000000"/>
                  <w:sz w:val="20"/>
                  <w:u w:val="single"/>
                </w:rPr>
                <w:t>USE OF PROCEEDS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67">
              <w:r>
                <w:rPr>
                  <w:rStyle w:val="InternetLink"/>
                  <w:rFonts w:ascii="Times New Roman;serif" w:hAnsi="Times New Roman;serif"/>
                  <w:b w:val="false"/>
                  <w:color w:val="000000"/>
                  <w:sz w:val="20"/>
                  <w:u w:val="single"/>
                </w:rPr>
                <w:t>7</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70">
              <w:r>
                <w:rPr>
                  <w:rStyle w:val="InternetLink"/>
                  <w:rFonts w:ascii="Times New Roman;serif" w:hAnsi="Times New Roman;serif"/>
                  <w:b w:val="false"/>
                  <w:color w:val="000000"/>
                  <w:sz w:val="20"/>
                  <w:u w:val="single"/>
                </w:rPr>
                <w:t>DESCRIPTION OF CAPITAL STOCK</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70">
              <w:r>
                <w:rPr>
                  <w:rStyle w:val="InternetLink"/>
                  <w:rFonts w:ascii="Times New Roman;serif" w:hAnsi="Times New Roman;serif"/>
                  <w:b w:val="false"/>
                  <w:color w:val="000000"/>
                  <w:sz w:val="20"/>
                  <w:u w:val="single"/>
                </w:rPr>
                <w:t>8</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73">
              <w:r>
                <w:rPr>
                  <w:rStyle w:val="InternetLink"/>
                  <w:rFonts w:ascii="Times New Roman;serif" w:hAnsi="Times New Roman;serif"/>
                  <w:b w:val="false"/>
                  <w:color w:val="000000"/>
                  <w:sz w:val="20"/>
                  <w:u w:val="single"/>
                </w:rPr>
                <w:t>DESCRIPTION OF DEPOSITARY SHARES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73">
              <w:r>
                <w:rPr>
                  <w:rStyle w:val="InternetLink"/>
                  <w:rFonts w:ascii="Times New Roman;serif" w:hAnsi="Times New Roman;serif"/>
                  <w:b w:val="false"/>
                  <w:color w:val="000000"/>
                  <w:sz w:val="20"/>
                  <w:u w:val="single"/>
                </w:rPr>
                <w:t>14</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76">
              <w:r>
                <w:rPr>
                  <w:rStyle w:val="InternetLink"/>
                  <w:rFonts w:ascii="Times New Roman;serif" w:hAnsi="Times New Roman;serif"/>
                  <w:b w:val="false"/>
                  <w:color w:val="000000"/>
                  <w:sz w:val="20"/>
                  <w:u w:val="single"/>
                </w:rPr>
                <w:t>DESCRIPTION OF DEBT SECURITIES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76">
              <w:r>
                <w:rPr>
                  <w:rStyle w:val="InternetLink"/>
                  <w:rFonts w:ascii="Times New Roman;serif" w:hAnsi="Times New Roman;serif"/>
                  <w:b w:val="false"/>
                  <w:color w:val="000000"/>
                  <w:sz w:val="20"/>
                  <w:u w:val="single"/>
                </w:rPr>
                <w:t>17</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79">
              <w:r>
                <w:rPr>
                  <w:rStyle w:val="InternetLink"/>
                  <w:rFonts w:ascii="Times New Roman;serif" w:hAnsi="Times New Roman;serif"/>
                  <w:b w:val="false"/>
                  <w:color w:val="000000"/>
                  <w:sz w:val="20"/>
                  <w:u w:val="single"/>
                </w:rPr>
                <w:t>CERTAIN PROVISIONS OF THE MARYLAND GENERAL CORPORATION LAW AND OUR CHARTER AND BYLAWS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79">
              <w:r>
                <w:rPr>
                  <w:rStyle w:val="InternetLink"/>
                  <w:rFonts w:ascii="Times New Roman;serif" w:hAnsi="Times New Roman;serif"/>
                  <w:b w:val="false"/>
                  <w:color w:val="000000"/>
                  <w:sz w:val="20"/>
                  <w:u w:val="single"/>
                </w:rPr>
                <w:t>26</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25">
              <w:r>
                <w:rPr>
                  <w:rStyle w:val="InternetLink"/>
                  <w:rFonts w:ascii="Times New Roman;serif" w:hAnsi="Times New Roman;serif"/>
                  <w:b w:val="false"/>
                  <w:color w:val="000000"/>
                  <w:sz w:val="20"/>
                  <w:u w:val="single"/>
                </w:rPr>
                <w:t>MATERIAL U.S. FEDERAL INCOME TAX CONSIDERATIONS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82">
              <w:r>
                <w:rPr>
                  <w:rStyle w:val="InternetLink"/>
                  <w:rFonts w:ascii="Times New Roman;serif" w:hAnsi="Times New Roman;serif"/>
                  <w:b w:val="false"/>
                  <w:color w:val="000000"/>
                  <w:sz w:val="20"/>
                  <w:u w:val="single"/>
                </w:rPr>
                <w:t>31</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85">
              <w:r>
                <w:rPr>
                  <w:rStyle w:val="InternetLink"/>
                  <w:rFonts w:ascii="Times New Roman;serif" w:hAnsi="Times New Roman;serif"/>
                  <w:b w:val="false"/>
                  <w:color w:val="000000"/>
                  <w:sz w:val="20"/>
                  <w:u w:val="single"/>
                </w:rPr>
                <w:t>PLAN OF DISTRIBUTION</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85">
              <w:r>
                <w:rPr>
                  <w:rStyle w:val="InternetLink"/>
                  <w:rFonts w:ascii="Times New Roman;serif" w:hAnsi="Times New Roman;serif"/>
                  <w:b w:val="false"/>
                  <w:color w:val="000000"/>
                  <w:sz w:val="20"/>
                  <w:u w:val="single"/>
                </w:rPr>
                <w:t>52</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88">
              <w:r>
                <w:rPr>
                  <w:rStyle w:val="InternetLink"/>
                  <w:rFonts w:ascii="Times New Roman;serif" w:hAnsi="Times New Roman;serif"/>
                  <w:b w:val="false"/>
                  <w:color w:val="000000"/>
                  <w:sz w:val="20"/>
                  <w:u w:val="single"/>
                </w:rPr>
                <w:t>LEGAL MATTERS</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88">
              <w:r>
                <w:rPr>
                  <w:rStyle w:val="InternetLink"/>
                  <w:rFonts w:ascii="Times New Roman;serif" w:hAnsi="Times New Roman;serif"/>
                  <w:b w:val="false"/>
                  <w:color w:val="000000"/>
                  <w:sz w:val="20"/>
                  <w:u w:val="single"/>
                </w:rPr>
                <w:t>56</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91">
              <w:r>
                <w:rPr>
                  <w:rStyle w:val="InternetLink"/>
                  <w:rFonts w:ascii="Times New Roman;serif" w:hAnsi="Times New Roman;serif"/>
                  <w:b w:val="false"/>
                  <w:color w:val="000000"/>
                  <w:sz w:val="20"/>
                  <w:u w:val="single"/>
                </w:rPr>
                <w:t>EXPERTS</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91">
              <w:r>
                <w:rPr>
                  <w:rStyle w:val="InternetLink"/>
                  <w:rFonts w:ascii="Times New Roman;serif" w:hAnsi="Times New Roman;serif"/>
                  <w:b w:val="false"/>
                  <w:color w:val="000000"/>
                  <w:sz w:val="20"/>
                  <w:u w:val="single"/>
                </w:rPr>
                <w:t>56</w:t>
              </w:r>
            </w:hyperlink>
          </w:p>
        </w:tc>
      </w:tr>
      <w:tr>
        <w:trPr/>
        <w:tc>
          <w:tcPr>
            <w:tcW w:w="968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94">
              <w:r>
                <w:rPr>
                  <w:rStyle w:val="InternetLink"/>
                  <w:rFonts w:ascii="Times New Roman;serif" w:hAnsi="Times New Roman;serif"/>
                  <w:b w:val="false"/>
                  <w:color w:val="000000"/>
                  <w:sz w:val="20"/>
                  <w:u w:val="single"/>
                </w:rPr>
                <w:t>WHERE YOU CAN FIND MORE INFORMATION</w:t>
              </w:r>
            </w:hyperlink>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94">
              <w:r>
                <w:rPr>
                  <w:rStyle w:val="InternetLink"/>
                  <w:rFonts w:ascii="Times New Roman;serif" w:hAnsi="Times New Roman;serif"/>
                  <w:b w:val="false"/>
                  <w:color w:val="000000"/>
                  <w:sz w:val="20"/>
                  <w:u w:val="single"/>
                </w:rPr>
                <w:t>56</w:t>
              </w:r>
            </w:hyperlink>
          </w:p>
        </w:tc>
      </w:tr>
      <w:tr>
        <w:trPr/>
        <w:tc>
          <w:tcPr>
            <w:tcW w:w="968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97">
              <w:r>
                <w:rPr>
                  <w:rStyle w:val="InternetLink"/>
                  <w:rFonts w:ascii="Times New Roman;serif" w:hAnsi="Times New Roman;serif"/>
                  <w:b w:val="false"/>
                  <w:color w:val="000000"/>
                  <w:sz w:val="20"/>
                  <w:u w:val="single"/>
                </w:rPr>
                <w:t>INCORPORATION OF CERTAIN DOCUMENTS BY REFERENCE</w:t>
              </w:r>
            </w:hyperlink>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eb5355293894739a978628036f649bd_97">
              <w:r>
                <w:rPr>
                  <w:rStyle w:val="InternetLink"/>
                  <w:rFonts w:ascii="Times New Roman;serif" w:hAnsi="Times New Roman;serif"/>
                  <w:b w:val="false"/>
                  <w:color w:val="000000"/>
                  <w:sz w:val="20"/>
                  <w:u w:val="single"/>
                </w:rPr>
                <w:t>56</w:t>
              </w:r>
            </w:hyperlink>
          </w:p>
        </w:tc>
      </w:tr>
    </w:tbl>
    <w:p>
      <w:pPr>
        <w:pStyle w:val="TextBody"/>
        <w:bidi w:val="0"/>
        <w:spacing w:lineRule="auto" w:line="331" w:before="100" w:after="120"/>
        <w:jc w:val="left"/>
        <w:rPr>
          <w:color w:val="000000"/>
        </w:rPr>
      </w:pPr>
      <w:r>
        <w:rPr>
          <w:color w:val="000000"/>
        </w:rPr>
        <w:t>    </w:t>
      </w:r>
    </w:p>
    <w:p>
      <w:pPr>
        <w:pStyle w:val="TextBody"/>
        <w:bidi w:val="0"/>
        <w:spacing w:lineRule="auto" w:line="331" w:before="100" w:after="120"/>
        <w:ind w:left="0" w:right="0" w:firstLine="720"/>
        <w:jc w:val="left"/>
        <w:rPr>
          <w:rFonts w:ascii="Times New Roman;serif" w:hAnsi="Times New Roman;serif"/>
          <w:b/>
          <w:color w:val="000000"/>
          <w:sz w:val="20"/>
        </w:rPr>
      </w:pPr>
      <w:r>
        <w:rPr>
          <w:rFonts w:ascii="Times New Roman;serif" w:hAnsi="Times New Roman;serif"/>
          <w:b/>
          <w:color w:val="000000"/>
          <w:sz w:val="20"/>
        </w:rPr>
        <w:t>You should rely only on the information contained in or incorporated by reference in this prospectus supplement and the accompanying prospectus. We have not authorized anyone to provide you with different information. We are not making an offer of these securities in any state where the offer is not permitted. You should not assume that the information contained in this prospectus supplement and the accompanying prospectus is accurate as of any date other than the date on the front of this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before="0" w:after="0"/>
        <w:jc w:val="center"/>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a supplement to the accompanying prospectus that is also a part of this document. This prospectus supplement and the accompanying prospectus are part of a registration statement on Form S-3 that we filed with the Securities and Exchange Commission, or SEC or Commission, using a "shelf" registration process. This prospectus supplement and the accompanying prospectus contain specific information about us and the terms on which we are offering and selling shares of our common stock. To the extent that any statement made in this prospectus supplement is inconsistent with statements made in the prospectus, the statements made in the prospectus will be deemed modified or superseded by those made in this prospectus supplement. Before you purchase shares of our common stock, you should carefully read this prospectus supplement, the accompanying prospectus and the registration statement, together with the documents incorporated by reference in this prospectus supplement and the accompanying prospectus.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incorporated by reference or set forth in this prospectus supplement and the accompanying prospectus.  We have not authorized anyone else to provide you with additional or different information.  You should not assume that the information in this prospectus supplement, the accompanying prospectus or any other offering material is accurate as of any date other than the dates on the front of those documents.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in this prospectus supplement to “we,” “us,” “our,” “ARMOUR” or the “Company” are to ARMOUR Residential REIT, Inc. References to “ACM” or “Manager” are to ARMOUR Capital Management LP, a Delaware limited partnership and investment advisor registered with the SEC. Unless otherwise defined herein, certain capitalized terms used in this prospectus supplement have the meaning ascribed to them in the “Glossary of Terms” section in the accompanying prospectus.</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This prospectus supplement contains various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“believes,” “expects,” “may,” “will,” “would,” “could,” “should,” “seeks,” “approximately,” “intends,” “plans,” “projects,” “estimates” or “anticipates” or the negative of these words and phrases or similar words or phrases. All forward-looking statements may be impacted by a number of risks and uncertainties, including statements regarding the following subjects: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business and investment strategy;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anticipated results of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statements about future dividends;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obtain financing arrangements;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understanding of our competition and ability to compete effectively;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market, industry and economic trends; and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interest rates.</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forward-looking statements in this prospectus supplement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 along with the following factors that could cause actual results to vary from our forward-looking statements: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factors referenced or incorporated by reference in this prospectus supplement and the accompanying prospectus, including those set forth under the sections captioned “Risk Factors” and “Management’s Discussion and Analysis of Financial Condition and Results of Operations,” which are incorporated herein by reference to our most recent Annual Report on Form 10-K and our subsequent Quarterly Reports on Form 10-Q;</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risks related to governmental regulation, including uncertainties from the U.S. federal administration, including the impact of sanctions, tariffs and other trade policies of the U.S. and its global trading partners;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changes in interest rates, interest rate spreads and the yield curve or prepayment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political, regulatory or market uncertainty, including economic downturns and heightened geopolitical tensions and conflicts, may continue to adversely affect the U.S. economy, which may lead the Fed to take actions that may impact our business;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impact of the federal conservatorship of Fannie Mae and Freddie Mac and related efforts, along with any changes in laws and regulations affecting the relationship between Fannie Mae and Freddie Mac and the federal government and the Fed system;</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possible material adverse effect on our business if the U.S. Congress passed legislation reforming or winding down Fannie Mae or Freddie Mac;</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mortgage loan modification programs and future legislative action;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actions by the Fed which could cause a change of the yield curve, which could materially adversely affect our business, financial condition and results of operations and our ability to pay distributions to our stockholders;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availability, terms and deployment of capital;</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changes in economic conditions generally;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impact of a new pandemic on our operations;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general volatility of the financial markets, including markets for mortgage securities;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 downgrade of the U.S. Government's or certain European countries' credit ratings and future downgrades of the U.S. Government's or certain European countries' credit ratings may materially adversely affect our business, financial condition and results of operations;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S-iii</w:t>
                      </w:r>
                    </w:p>
                  </w:txbxContent>
                </v:textbox>
                <w10:wrap type="none"/>
              </v:rect>
            </w:pict>
          </mc:Fallback>
        </mc:AlternateConten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inability to maintain the level of non-taxable returns of capital through the payment of dividends to our stockholders or to pay dividends to our stockholders at all;</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inflation or deflation;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impact of a shutdown of the U.S. Government;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availability of suitable investment opportunities;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degree and nature of our competition, including competition for MBS;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changes in our business and investment strategy;</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failure to maintain our qualification as a REIT;</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failure to maintain an exemption from being regulated as a commodity pool operator;</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our dependence on ACM and ability to find a suitable replacement if ACM was to terminate its management relationship with us;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existence of conflicts of interest in our relationship with ACM, BUCKLER, certain of our directors and our officers, which could result in decisions that are not in the best interest of our stockholders;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potential for BUCKLER's inability to access attractive repurchase financing on our behalf or secure profitable third-party business;</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 xml:space="preserve">our management's and certain directors' competing duties to other affiliated entities, which could result in decisions that are not in the best interest of our stockholders; </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changes in personnel at ACM or the availability of qualified personnel at ACM;</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limitations imposed on our business by our status as a REIT under the Code;</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the potential burdens on our business of maintaining our exclusion from the 1940 Act and possible consequences of losing that exclusion;</w:t>
      </w:r>
    </w:p>
    <w:p>
      <w:pPr>
        <w:pStyle w:val="TextBody"/>
        <w:bidi w:val="0"/>
        <w:spacing w:lineRule="auto" w:line="288" w:before="60" w:after="60"/>
        <w:ind w:left="0" w:right="0" w:hanging="360"/>
        <w:jc w:val="left"/>
        <w:rPr/>
      </w:pPr>
      <w:r>
        <w:rPr>
          <w:color w:val="000000"/>
        </w:rPr>
        <w:t>•</w:t>
      </w:r>
      <w:r>
        <w:rPr>
          <w:rFonts w:ascii="Times New Roman;serif" w:hAnsi="Times New Roman;serif"/>
          <w:b w:val="false"/>
          <w:color w:val="000000"/>
          <w:sz w:val="20"/>
        </w:rPr>
        <w:t>changes in GAAP, including interpretations thereof;</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changes in applicable laws and regulations, including to federal tax law and other regulatory provisions as a result of the One Big Beautiful Bill Act being signed into law;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changes in effectiveness of our controls.</w:t>
      </w:r>
    </w:p>
    <w:p>
      <w:pPr>
        <w:pStyle w:val="TextBody"/>
        <w:bidi w:val="0"/>
        <w:spacing w:before="0" w:after="0"/>
        <w:ind w:left="0" w:right="0" w:hanging="720"/>
        <w:jc w:val="left"/>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cannot guarantee future results, levels of activity, performance or achievements. You should not place undue reliance on forward-looking statements, which apply only as of the date of this prospectus supplement. We do not intend and disclaim any duty or obligation to update or revise any industry information or forward-looking statements set forth in this prospectus supplement to reflect new information, future events or otherwise, except as required under the U.S. federal securities laws.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S-iv</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PROSPECTUS SUPPLEMENT SUMMARY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This summary highlights selected information contained in this prospectus supplement. It does not contain all of the information that you should consider before investing in our common stock. You should read carefully the more detailed information in our Registration Statement on Form S-3 of which this prospectus supplement and the accompanying prospectus form a part, our most recent Annual Report on Form 10-K and any subsequent Quarterly Reports on Form 10-Q (which descriptions are incorporated by reference herein), as well as the other information contained or incorporated by reference in this prospectus supplement before making a decision to invest in our common stock.</w:t>
      </w:r>
    </w:p>
    <w:p>
      <w:pPr>
        <w:pStyle w:val="TextBody"/>
        <w:bidi w:val="0"/>
        <w:spacing w:lineRule="auto" w:line="288" w:before="0" w:after="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are a Maryland corporation and managed by ACM, an investment advisor registered with the SEC. We have elected to be taxed as a REIT under the Code and we believe that we are organized in conformity with the requirements for qualification as a REIT under the Code and our manner of operations enables us to meet the requirements for taxation as a REIT for federal income tax purposes.</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ARMOUR brings private capital into the mortgage markets to support home ownership for a broad and diverse spectrum of Americans. We seek to create stockholder value through thoughtful investment and risk management of a leveraged and diversified portfolio of MBS. We rely on the decades of experience of our management team for (i) MBS securities portfolio analysis and selection, (ii) access to equity capital and repurchase financing on potentially attractive rates and terms, and (iii) hedging and liquidity strategies to moderate interest rate and MBS price risk. We prioritize maintaining common share dividends appropriate for the intermediate term rather than focusing on short-term market fluctuations.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deeply committed to implementing sustainable environmental, responsible social, and prudent governance practices that improve our work and our world. We strive to contribute to a healthy, sustainable environment by utilizing resources efficiently. As an organization, we create a relatively small environmental footprint. Still, we are focused on minimizing the environmental impact of our business where possible.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our investments in securities included MBS, issued or guaranteed by a U.S. GSE, such as Fannie Mae, Freddie Mac, or a government agency such as Ginnie Mae and U.S. Treasury Securities. Our investment in securities consist primarily of fixed rate loans. From time to time, we have also invested in money market instruments.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earn returns on the spread between the yield on our assets and our costs, including the interest cost of the funds we borrow, after giving effect to our hedges. We identify and acquire MBS, finance our acquisitions with borrowings under a series of short-term repurchase agreements and then hedge certain risks based on our entire portfolio of assets and liabilities and our management’s view of the market.</w:t>
      </w:r>
    </w:p>
    <w:p>
      <w:pPr>
        <w:pStyle w:val="TextBody"/>
        <w:bidi w:val="0"/>
        <w:spacing w:before="0" w:after="0"/>
        <w:jc w:val="left"/>
        <w:rPr/>
      </w:pPr>
      <w:r>
        <w:rPr/>
      </w:r>
    </w:p>
    <w:p>
      <w:pPr>
        <w:pStyle w:val="TextBody"/>
        <w:bidi w:val="0"/>
        <w:spacing w:lineRule="auto" w:line="288" w:before="0" w:after="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80"/>
        <w:jc w:val="left"/>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a cash dividend of $0.24 per outstanding share of common stock on July 30, 2026 to holders of record on July 15, 2026. We have announced that we will also pay a cash dividend of $0.24 per outstanding share of common stock on August 28, 2026 to holders of record on August 17,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a cash dividend of $0.14583 per outstanding share of Series C Preferred Stock on July 27, 2026 to holders of record on July 15, 2026. We have announced that we will also pay a cash dividend of $0.14583 per outstanding share of Series C Preferred Stock on August 27, 2026 and September 28, 2026 to holders of record on August 15, 2026 and September 15, 2026, respectively.</w:t>
      </w:r>
    </w:p>
    <w:p>
      <w:pPr>
        <w:pStyle w:val="TextBody"/>
        <w:bidi w:val="0"/>
        <w:spacing w:before="40" w:after="283"/>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Our principal offices are located at 3001 Ocean Drive, Suite 201, Vero Beach, Florida 32963. Our phone number is (772) 617-4340. Our website is www.armourreit.com. Our investor relations website can be found under the “Investor Relations” tab at </w:t>
      </w:r>
      <w:r>
        <w:rPr>
          <w:rFonts w:ascii="Times New Roman;serif" w:hAnsi="Times New Roman;serif"/>
          <w:b w:val="false"/>
          <w:color w:val="000000"/>
          <w:sz w:val="20"/>
          <w:u w:val="single"/>
        </w:rPr>
        <w:t>www.armourreit.com</w:t>
      </w:r>
      <w:r>
        <w:rPr>
          <w:rFonts w:ascii="Times New Roman;serif" w:hAnsi="Times New Roman;serif"/>
          <w:b w:val="false"/>
          <w:color w:val="000000"/>
          <w:sz w:val="20"/>
        </w:rPr>
        <w:t>. We make available on our website under “SEC Filings,” free of charge, our Annual Reports on Form 10-K, Quarterly Reports on Form 10-Q, Current Reports on Form 8-K and amendments to those reports as soon as reasonably practicable after we electronically file or furnish such materials to the SEC. We also make available on our website our corporate governance documents. Information provided on our website is not a part of this prospectus supplement or the accompanying prospectus and is not incorporated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THE OFFERING</w:t>
      </w:r>
    </w:p>
    <w:tbl>
      <w:tblPr>
        <w:tblW w:w="10205" w:type="dxa"/>
        <w:jc w:val="center"/>
        <w:tblInd w:w="0" w:type="dxa"/>
        <w:tblLayout w:type="fixed"/>
        <w:tblCellMar>
          <w:top w:w="28" w:type="dxa"/>
          <w:left w:w="28" w:type="dxa"/>
          <w:bottom w:w="28" w:type="dxa"/>
          <w:right w:w="28" w:type="dxa"/>
        </w:tblCellMar>
      </w:tblPr>
      <w:tblGrid>
        <w:gridCol w:w="873"/>
        <w:gridCol w:w="385"/>
        <w:gridCol w:w="391"/>
        <w:gridCol w:w="2787"/>
        <w:gridCol w:w="2382"/>
        <w:gridCol w:w="3387"/>
      </w:tblGrid>
      <w:tr>
        <w:trPr/>
        <w:tc>
          <w:tcPr>
            <w:tcW w:w="87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382" w:type="dxa"/>
            <w:tcBorders/>
            <w:vAlign w:val="center"/>
          </w:tcPr>
          <w:p>
            <w:pPr>
              <w:pStyle w:val="TableContents"/>
              <w:bidi w:val="0"/>
              <w:spacing w:before="0" w:after="283"/>
              <w:jc w:val="left"/>
              <w:rPr>
                <w:sz w:val="4"/>
                <w:szCs w:val="4"/>
              </w:rPr>
            </w:pPr>
            <w:r>
              <w:rPr>
                <w:sz w:val="4"/>
                <w:szCs w:val="4"/>
              </w:rPr>
            </w:r>
          </w:p>
        </w:tc>
        <w:tc>
          <w:tcPr>
            <w:tcW w:w="3387"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8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ARMOUR Residential REIT, Inc.</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Offered by Us</w:t>
            </w:r>
          </w:p>
        </w:tc>
        <w:tc>
          <w:tcPr>
            <w:tcW w:w="8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 to 25,544,352 shares of our common stock.</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to be Outstanding After this Offering</w:t>
            </w:r>
          </w:p>
        </w:tc>
        <w:tc>
          <w:tcPr>
            <w:tcW w:w="8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167,097,398 (assuming all of the shares of common stock offered hereunder are issued).</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Manner of Offering</w:t>
            </w:r>
          </w:p>
        </w:tc>
        <w:tc>
          <w:tcPr>
            <w:tcW w:w="8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r>
              <w:rPr>
                <w:rFonts w:ascii="Times New Roman;serif" w:hAnsi="Times New Roman;serif"/>
                <w:b w:val="false"/>
                <w:color w:val="000000"/>
                <w:sz w:val="20"/>
              </w:rPr>
              <w:t>At the market offering,” as defined in Rule 415 promulgated under the Securities Act, that may be made from time to time through or to BUCKLER, B. Riley Securities, BTIG, Citizens Capital Markets, Jones, Ladenburg Thalmann, StockBlock and/or Huntington Capital Markets as sales agent or principal using commercially reasonable efforts. See “Plan of Distribution (Conflicts of Interest).”</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 plan to use the net proceeds from this offering to acquire additional MBS and other mortgage-related assets, in accordance with our objectives and strategies described in the most recent Annual Report on Form 10-K and other filings with the SEC. Please see the section entitled “Use of Proceeds” in this prospectus supplement.</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Policy</w:t>
            </w:r>
          </w:p>
        </w:tc>
        <w:tc>
          <w:tcPr>
            <w:tcW w:w="8556" w:type="dxa"/>
            <w:gridSpan w:val="3"/>
            <w:tcBorders/>
            <w:shd w:fill="FFFFFF" w:val="clear"/>
            <w:tcMar>
              <w:top w:w="0" w:type="dxa"/>
              <w:left w:w="0" w:type="dxa"/>
              <w:bottom w:w="0" w:type="dxa"/>
              <w:right w:w="0" w:type="dxa"/>
            </w:tcMar>
            <w:vAlign w:val="center"/>
          </w:tcPr>
          <w:p>
            <w:pPr>
              <w:pStyle w:val="TableContents"/>
              <w:bidi w:val="0"/>
              <w:spacing w:lineRule="auto" w:line="276" w:before="40" w:after="40"/>
              <w:jc w:val="both"/>
              <w:rPr>
                <w:rFonts w:ascii="Times New Roman;serif" w:hAnsi="Times New Roman;serif"/>
                <w:b w:val="false"/>
                <w:color w:val="000000"/>
                <w:sz w:val="20"/>
              </w:rPr>
            </w:pPr>
            <w:r>
              <w:rPr>
                <w:rFonts w:ascii="Times New Roman;serif" w:hAnsi="Times New Roman;serif"/>
                <w:b w:val="false"/>
                <w:color w:val="000000"/>
                <w:sz w:val="20"/>
              </w:rPr>
              <w:t>We will pay a cash dividend of $0.24 per outstanding share of common stock on July 30, 2026 to holders of record on July 15, 2026. We have announced that we will also pay a cash dividend of $0.24 per outstanding share of common stock on August 28, 2026 to holders of record on August 17, 2026. We will pay a cash dividend of $0.14583 per outstanding share of Series C Preferred Stock on July 27, 2026 to holders of record on July 15, 2026. We have announced that we will also pay a cash dividend of $0.14583 per outstanding share of Series C Preferred Stock on August 27, 2026 and September 28, 2026 to holders of record on August 15, 2026 and September 15, 2026, respectively. For more information, see “Dividend Policy.”</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Listing</w:t>
            </w:r>
          </w:p>
        </w:tc>
        <w:tc>
          <w:tcPr>
            <w:tcW w:w="8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currently traded on the NYSE under the symbol “ARR.”</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Ownership Restrictions</w:t>
            </w:r>
          </w:p>
        </w:tc>
        <w:tc>
          <w:tcPr>
            <w:tcW w:w="8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 assist us in qualifying as a REIT, ownership of shares of our common stock by any person is limited, with certain exceptions, to 9.8% by value or by number of shares, whichever is more restrictive, of our outstanding shares of common stock and our outstanding shares of all classes of capital stock. Our charter also provides for certain other ownership restrictions. We may grant waivers from the 9.8% charter restriction for certain equity holders where, based on representations, covenants and agreements received from such holders, we determine that such waivers would not jeopardize our status as a REIT. See “Description of Capital Stock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Restrictions on Ownership and Transfer” in the accompanying prospectus.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 U.S. Federal Income Tax Considerations</w:t>
            </w:r>
          </w:p>
        </w:tc>
        <w:tc>
          <w:tcPr>
            <w:tcW w:w="8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a discussion of the material U.S. federal income tax considerations of purchasing, owning and disposing of our common stock, see “Material U.S. Federal Income Tax Considerations” in this prospectus supplement and “Material U.S. Federal Income Tax Considerations” in the accompanying prospectus.</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in our common stock involves risks. You should carefully read and consider the risks described or referred to under “Risk Factors” on page S-3 of this prospectus supplement and on page 7 of the accompanying prospectus, in our most recent Annual Report on Form 10-K and any subsequent Quarterly Reports on Form 10-Q (which descriptions are incorporated by reference herein), as well as in the other information contained or incorporated by reference in this prospectus supplement, before making a decision to invest in our common stock.</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Conflicts of Interest</w:t>
            </w:r>
          </w:p>
        </w:tc>
        <w:tc>
          <w:tcPr>
            <w:tcW w:w="85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BUCKLER, an affiliate of ours, is a broker-dealer and member of the Financial Industry Regulatory Authority (“FINRA”) and will participate in the sales of shares of our common stock under the Amended Sales Agreement. We own approximately 10.8% of the outstanding equity interests of BUCKLER and BUCKLER is controlled by our Manager. Because we are a REIT, we are not subject to FINRA Rule 5121. Nevertheless, we have elected to comply with FINRA Rule 5121, and BUCKLER will not confirm sales of the securities to any account over which it exercises discretionary authority without the specific prior written approval of the account holder. No “qualified independent underwriter” would be required because the securities offered have a “bona fide public market” within the meaning of FINRA Rule 5121(f)(3). See “Plan of Distribution (Conflicts of Interest) </w:t>
            </w:r>
            <w:r>
              <w:rPr>
                <w:rFonts w:ascii="Times New Roman;serif" w:hAnsi="Times New Roman;serif"/>
                <w:b/>
                <w:color w:val="000000"/>
                <w:sz w:val="20"/>
              </w:rPr>
              <w:t xml:space="preserve">- </w:t>
            </w:r>
            <w:r>
              <w:rPr>
                <w:rFonts w:ascii="Times New Roman;serif" w:hAnsi="Times New Roman;serif"/>
                <w:b w:val="false"/>
                <w:color w:val="000000"/>
                <w:sz w:val="20"/>
              </w:rPr>
              <w:t>Conflicts of Interest.”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erif" w:hAnsi="Times New Roman;serif"/>
          <w:b w:val="false"/>
          <w:i/>
          <w:color w:val="000000"/>
          <w:sz w:val="20"/>
        </w:rPr>
        <w:t>In evaluating an investment in our common stock, you should carefully consider the following risk factors and the risk factors described under the caption “Risk Factors” in the accompanying prospectus, our most recent Annual Report on Form 10-K and any subsequent Quarterly Reports on Form 10-Q (which descriptions are incorporated by reference herein), and any amendment or update thereto reflected in subsequent filings with the SEC and incorporated by reference in this prospectus supplement and the accompanying prospectus, as well as in the other information contained or incorporated by reference in this prospectus supplement and the accompanying prospectus and any amendment or update to our risk factors reflected in subsequent filings with the SEC, before making a decision to invest in our securities.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i/>
          <w:color w:val="000000"/>
          <w:sz w:val="20"/>
        </w:rPr>
        <w:t>You may experience immediate dilution in the book value per share of the common stock you purchase in this offering.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If the price per share of our common stock being offered is higher than the book value per share of our common stock, you will suffer immediate dilution in the book value of the common stock you purchase in this offering.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The common stock offered under this prospectus supplement and the accompanying prospectus may be sold in “at the market offerings,” and investors who buy shares at different times will likely pay different prices.</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Investors who purchase shares under this prospectus supplement and the accompanying prospectus at different times will likely pay different prices, and so may experience different outcomes in their investment results. We will have discretion, subject to market demand, to vary the timing, prices, and numbers of shares sold. Investors may experience declines in the value of their shares as a result of share sales made at prices lower than the prices they paid.</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i/>
          <w:color w:val="000000"/>
          <w:sz w:val="20"/>
        </w:rPr>
        <w:t>We will have broad discretion in the use of the net proceeds to us from this offering; we may not use the offering proceeds that we receive effectively.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ACM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The failure by ACM to apply these funds effectively could harm our business. Pending their use, ACM may invest the net proceeds to us from this offering in interest-bearing short-term investments, including funds that are consistent with our qualification as a REIT. These investments may not yield a favorable return to our stockholders. We may also use a portion of the net proceeds for general corporate purposes. Prior to the time we have fully used the net proceeds of this offering, we may fund our monthly cash distributions out of such net proceeds.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common stock has experienced and may continue to experience price fluctuations, which could cause you to lose a significant portion of your investment and interfere with our efforts to grow our business.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Stock markets are subject to significant price fluctuations that may be unrelated to the operating performance of particular companies, and accordingly the market price of our common stock may frequently and meaningfully change. In addition, the market price of our common stock has fluctuated and may continue to fluctuate substantially due to a variety of other factors. Possible exogenous incidents and trends may also impact the capital markets generally and our common stock prices specifically. For example, changes to tariffs, the ongoing war between Russia and Ukraine and resulting economic sanctions imposed by many countries on Russia, as well as the ongoing hostilities in the Middle East, have led to disruption, instability and volatility in the U.S. and global markets and industries and are expected to have a negative impact on the U.S. and broader global economies. The timing of your purchase and sale of our common stock relative to fluctuations in its trading price may result in you losing a significant portion of your investment.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Our common stock may become the target of a “short squeeze.”</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securities of several companies have increasingly experienced significant and extreme volatility in share price due to short sellers of common stock and buy-and-hold decisions of longer investors, resulting in what is sometimes described as a “short squeeze.” Short squeezes have caused extreme volatility in those companies and in the market and have led to the price per share of those companies to trade at a significantly inflated rate that is disconnected from the underlying value of the company. Sharp rises in a company’s stock price may force traders in a short position to buy the shares to avoid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even greater losses. Many investors who have purchased shares in those companies at an inflated rate face the risk of losing a significant portion of their original investment as the price per share has declined steadily as interest in those shares have abated. We may be a target of a short squeeze, and investors may lose a significant portion or all of their investment if they purchase our shares at a rate that is significantly disconnected from our underlying value.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It is not possible to predict the actual number of shares we will sell under the Amended Sales Agreement, or the gross proceeds resulting from those sales.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certain limitations in the Amended Sales Agreement and compliance with applicable law, we have the discretion to deliver a placement notice to the sales agent at any time throughout the term of the Amended Sales Agreement. The number of shares that are sold through the sales agent after delivering a placement notice will fluctuate based on a number of factors, including the market price of the common stock during the sales period, the limits we set with the sales agent in any applicable placement notice, and the demand for our common stock during the sales period. Because the price per share of each share sold will fluctuate during the sales period, it is not currently possible to predict the number of shares that will be sold or the gross proceeds to be raised in connection with those sales, if 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If securities or industry analysts fail to continue publishing research about our business, if they change their recommendations adversely or if our results of operations do not meet their expectations, our share price and trading volume could decline.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0" w:after="167"/>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plan to use the net proceeds from this offering to acquire additional MBS and other mortgage-related assets in accordance with our objectives and strategies described in our most recent Annual Report on Form 10-K and other filings with the SEC, subject to our investment guidelines and REIT qualification requirements. Our management team, through ACM, will make determinations as to the percentage of our assets that will be invested in each of our target assets on our behalf. Its decisions will depend on prevailing market conditions and may change over time in response to opportunities available in different interest rate, economic and credit environments. Until appropriate assets can be identified, ACM may invest the net proceeds from this offering in unsecured notes and bonds issued by GSEs, U.S. Treasuries and money market instruments, including funds that are consistent with our qualification as a REIT. These investments are expected to provide a lower net return than we will seek to achieve from our target assets. We may also use a portion of the net proceeds for general corporate purposes. Prior to the time we have fully used the net proceeds of this offering to acquire our target assets, we may fund our monthly cash dividends out of such net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0" w:after="167"/>
        <w:jc w:val="center"/>
        <w:rPr>
          <w:rFonts w:ascii="Times New Roman;serif" w:hAnsi="Times New Roman;serif"/>
          <w:b/>
          <w:color w:val="000000"/>
          <w:sz w:val="20"/>
        </w:rPr>
      </w:pPr>
      <w:r>
        <w:rPr>
          <w:rFonts w:ascii="Times New Roman;serif" w:hAnsi="Times New Roman;serif"/>
          <w:b/>
          <w:color w:val="000000"/>
          <w:sz w:val="20"/>
        </w:rPr>
        <w:t>SUPPLEMENT TO MATERIAL U.S. FEDERAL INCOME TAX CONSIDERATIONS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supplements the disclosure set forth in the section titled “Material U.S. Federal Income Tax Considerations” of the accompanying prospectus, and is subject to the assumptions and qualifications set forth therein:</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We have received a private letter ruling from the IRS to allow us to treat income from hedging transactions that counteract hedging transactions as hedging transactions for federal income tax purposes.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Ordinary dividends (not including dividends eligible for the reduced rates applicable to “qualified dividend income,” or capital gain dividends) paid by us after December 31, 2025 will be treated as qualified business income, and be eligible for the 20% deduction applicable to such income, as a result the enactment of the One Big Beautiful Bill Act (the “OBBBA”) being signed into law on July 4, 2025.</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Under the OBBBA, the 20% limitation on the value of a REIT’s assets with respect to stock or securities of one or more TRSs will increase to 25% for tax years beginning after December 31, 2025. </w:t>
      </w:r>
    </w:p>
    <w:p>
      <w:pPr>
        <w:pStyle w:val="TextBody"/>
        <w:bidi w:val="0"/>
        <w:spacing w:before="0" w:after="0"/>
        <w:jc w:val="left"/>
        <w:rPr/>
      </w:pPr>
      <w:r>
        <w:rPr/>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elected to be taxed as a REIT for U.S. federal income tax purposes. U.S. federal income tax law requires that a REIT distribute with respect to each year at least 90% of its REIT taxable income, determined without regard to the deduction for dividends paid and excluding any net capital gain.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our cash available for distribution is less than 90% of our REIT taxable income, we could be required to sell assets or borrow funds to pay cash dividends or we may make a portion of the required dividend in the form of a taxable stock dividend or dividend of debt securities. In addition, prior to the time we have fully used the net proceeds of this offering, we may fund our monthly cash distributions out of such net proceeds. In addition, some of our distributions may include a return of capital. In the event that we fund distributions to our stockholders from sources other than our earnings, the amount of capital available to us to purchase our target assets would decrease. Reducing our capital base will increase our expense ratio and could potentially reduce the availability of our repurchase financing and interest rate swap hedges. We will be more likely to consider future returns of capital to stockholders when the market trading price for our common stock represents a significant discount to our book value. We will generally not be required to pay dividends with respect to activities conducted through any domestic taxable REIT subsidiary, or TRS.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a cash dividend of $0.24 per outstanding share of common stock on July 30, 2026 to holders of record on July 15, 2026. We have announced that we will also pay a cash dividend of $0.24 per outstanding share of common stock on August 28, 2026 to holders of record on August 17,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a cash dividend of $0.14583 per outstanding share of Series C Preferred Stock on July 27, 2026 to holders of record on July 15, 2026. We have announced that we will pay a cash dividend of $0.14583 per outstanding share of Series C Preferred Stock on August 27, 2026 and September 28, 2026 to holders of record on August 15, 2026 and September 15, 2026, respectively.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Holders of shares of our common stock are entitled to receive, when, as and if declared by our board of directors, out of funds legally available for the payment of dividends, cash dividends. Dividends will be payable to holders of record as they appear in our stock records for our common stock at the close of business on the applicable record date. Dividends cannot be paid on our common stock unless we have paid full cumulative dividends on our Series C Preferred Stock. For the year ended December 31, 2025, we paid full cumulative dividends on our Series C Preferred Stock.</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dividends on shares of our common stock shall be authorized by our board of directors or paid or set apart for payment by us at any time when the terms and provisions of any agreement of ours, including any agreement relating to our indebtedness, prohibit the authorization, payment or setting apart for payment thereof or provide that the authorization, payment or setting apart for payment thereof would constitute a breach of the agreement or a default under the agreement, or if the authorization, payment or setting apart for payment shall be restricted or prohibited by law. You should review the information described or referred to under “Risk Factors” in this prospectus supplement, the accompanying prospectus, our most recent Annual Report on Form 10-K and our subsequent Quarterly Reports on Form 10-Q, which are incorporated by reference herein, for information as to, among other things, other circumstances under which we may be unable to pay dividends on our common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Future distributions on our common stock, including our common stock offered pursuant to this prospectus supplement, will be at the discretion of our board of directors and will depend on, among other things, our results of operations, cash flow from operations, financial condition and capital requirements, the annual distribution requirements under the REIT provisions of the Code, any debt service requirements, restrictions on making distributions under the Maryland General Corporation Law and any other factors our board of directors deems relevant. Accordingly, we cannot guarantee that we will be able to continue to make cash distributions on our common stock or what the actual distributions will be for any future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PLAN OF DISTRIBUTION (CONFLICTS OF INTEREST)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entered into the Amended Sales Agreement with the Agents as sales agents. Under the terms of the Amended Sales Agreement, we may, from time to time, propose to issue and sell up to 25,544,352 shares of our common stock through or to the Agents, as agents or principal. Pursuant to the Amended Sales Agreement, we may add new Agents as parties to the Amended Sales Agreement in the future with the consent of such new Agents, but without the consent of the other Agents.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Sales, if any, of our common stock made through or to the Agents, as our sales agent or principal, as contemplated by this prospectus supplement and the accompanying prospectus, may be made by means of transactions that are deemed to be “at the market offerings” as defined in Rule 415 under the Securities Act.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Agents are not required to sell any specific number or dollar amount of our common stock but have agreed to use their commercially reasonable efforts, consistent with their normal trading and sales practices, on the terms and subject to the conditions of the Amended Sales Agreement, to sell the common stock offered on terms agreed upon by the Agents and us. If we choose to offer our common stock, we will instruct the Agent as to the number of shares to be sold by them, the minimum or average minimum price per share and the date or dates on which such shares are to be sold. We may instruct the Agents not to sell our common stock if the sales cannot be effected at or above a price designated by us. The Agents may decline to accept any such instructions that we may provide to them from time to time. We or the Agents may suspend the offering of common stock by the Agents upon notice to the other party.</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If shares of our common stock are sold by the Agents in an at the market offering, the Agents have agreed to confirm to us in writing the number of shares sold on the applicable trading day and the related gross sales price and net sales price of those shares on the immediately following trading day. We will report at least quarterly the number of shares of our common stock sold through the Agents under the Amended Sales Agreement, information concerning the net proceeds from those sales and the aggregate compensation paid to the Agents with respect to such sales.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Agents will not engage in any transactions that stabilize or maintain the market price of our common stock in connection with any offers or sales of our common stock as our sales agent pursuant to the Amended Sales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will pay each Agent acting as our sales agent an aggregate commission of up to 2.0% of the gross sales price per share of common stock sold through such Agent, under the Amended Sales Agreement. The remaining sales proceeds, after deducting any transaction fees, transfer taxes or similar taxes or fees imposed by any governmental, regulatory or self-regulatory organization in respect of the sale of the common stock, will be our net proceeds (before the expenses referred to in the next paragraph) from the sale of the common stock in the offering. We have also agreed to reimburse the Agents for certain specified expenses, including the fees and disbursements of its legal counsel in an amount not to exceed $75,000, as provided in the Amended Sales Agreement.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estimate that the total expenses payable by us in connection with the establishment of the program to offer our common stock described in this prospectus supplement, excluding commissions and any discounts payable to the Agents and any other deductions described in the paragraph above, will be approximately $250,000.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will not issue more than 25,544,352 shares of our common stock pursuant to the Amended Sales Agreement. We cannot predict the number of shares that we may sell hereby or if any shares will be sold.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Settlement for sales of shares in return for payment of the net proceeds to us is expected to occur on the first business day that is also a trading day following the trade date on which such sales were made, in either case unless another date shall be agreed to in writing by us and the Agents. There is no arrangement for funds to be received in an escrow, trust or similar arrangement.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offering of common stock pursuant to the Amended Sales Agreement will terminate upon the earlier of (1) the sale of all of the common stock subject to the Amended Sales Agreement and (2) the termination of the Amended Sales Agreement by us or the Agents. The Amended Sales Agreement may be terminated either by us or the Agents upon the giving of three (3) days prior written notice to the other party and in the sole discretion of us or the Agents, as the case may be.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have agreed to provide indemnification and contribution to the Agents against certain liabilities, including liabilities under the Securities Act.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The Agents shall be under no obligation to purchase our shares on a principal basis pursuant to the Amended Sales Agreement.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In connection with the sale of common stock on our behalf, the Agents will be deemed to be “underwriters” within the meaning of the Securities Act, and the compensation paid to the Agents will be deemed to be underwriting commissions or discounts. The Agents shall have no obligation to offer or sell any of our shares in the event such an offer or sale of the shares as agents on our behalf may, in the reasonable judgment of the Agents, constitute a “distribution” within the meaning of Rule 100 of Regulation M or the Agents reasonably believe they may be deemed an “underwriter” within the meaning of the Securities Act in a transaction that is other than by means of ordinary brokers’ transactions on the NYSE that qualify for delivery of a prospectus to the NYSE in accordance with Rule 153 of the Securities 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Conflicts of Interest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BUCKLER, an affiliate of ours, is a broker-dealer and member of FINRA and will participate in the sales of shares of our common stock under the Amended Sales Agreement. We own approximately 10.8% of the outstanding equity interests of BUCKLER and BUCKLER and our Manager are under common control. Because we are a REIT, we are not subject to FINRA Rule 5121. Nevertheless, we have elected to comply with FINRA Rule 5121, and BUCKLER will not confirm sales of the securities to any account over which it exercises discretionary authority without the specific prior written approval of the account holder. No “qualified independent underwriter” would be required because the securities offered have a “bona fide public market” within the meaning of FINRA Rule 5121(f)(3).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Additional Relationships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entered into an equity sales agreement, dated as of January 29, 2020, as amended on June 20, 2024, with B. Riley Securities, BUCKLER and BTIG, pursuant to which we may offer and sell up to 6,550,000 shares of our Series C Preferred Stock from time to time through one or more agents in an “at the market offering” as defined under Rule 415(a)(4) of the Securities Act. The sales agreement provides that the agent designated to sell our shares is entitled to an aggregate commission of up to 2.0% of the gross sales price per share for any of the stock sold through the designated agent in agency transactions. We have sold no shares of preferred stock available under the preferred stock sales agreement through BUCKLER.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Sales Agreement, we agreed to pay the agent designated to sell our shares an aggregate commission of up to 2.0% of the gross sales price per share of our common stock sold through the designated agent in agency transactions. We have sold 62,640,347 shares of common stock available under the Sales Agreement with BUCKLER and paid an aggregate of $8,815,449 in compensation to BUCKLER for those shares.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our filings with the SEC, we have entered into subordinated loan agreements with BUCKLER as borrower and have outstanding borrowings under repurchase agreements with BUCKLER.</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Agents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The Agents and their respective affiliates have provided, and may in the future provide, a variety of these services to us and to persons and entities with relationships with us, for which they received or will receive customary fees and expenses.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the ordinary course of their various business activities, the Agents and their respective affiliates, officers, directors and employees may purchase, sell or hold a broad array of investments and actively traded securities, derivatives, loans, commodities, currencies, credit default swaps and other financial instruments for their own accounts and for the accounts of their customers, and such investment and trading activities may involve or relate to our assets, securities and/or instruments (directly, as collateral securing other obligations or otherwise) and/or persons and entities with relationships with us. The Agents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0" w:after="167"/>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Certain legal matters will be passed upon for us by Holland &amp; Knight LLP, Miami, Florida. The description of U.S. federal income tax consequences contained in the section of the prospectus which accompanies this prospectus supplement titled “</w:t>
      </w:r>
      <w:r>
        <w:rPr>
          <w:rFonts w:ascii="Times New Roman;serif" w:hAnsi="Times New Roman;serif"/>
          <w:b w:val="false"/>
          <w:i/>
          <w:color w:val="000000"/>
          <w:sz w:val="20"/>
        </w:rPr>
        <w:t>Material U.S. Federal Income Tax Considerations</w:t>
      </w:r>
      <w:r>
        <w:rPr>
          <w:color w:val="000000"/>
        </w:rPr>
        <w:t xml:space="preserve">” </w:t>
      </w:r>
      <w:r>
        <w:rPr>
          <w:rFonts w:ascii="Times New Roman;serif" w:hAnsi="Times New Roman;serif"/>
          <w:b w:val="false"/>
          <w:color w:val="000000"/>
          <w:sz w:val="20"/>
        </w:rPr>
        <w:t xml:space="preserve">is based on the opinion of Pillsbury Winthrop Shaw Pittman LLP, New York, New York. Duane Morris LLP, New York, New York, will act as legal counsel to the Agents.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0" w:after="167"/>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consolidated financial statements of ARMOUR Residential REIT, Inc. incorporated by reference in this prospectus supplement, and the effectiveness of ARMOUR Residential REIT, Inc.’s internal control over financial reporting have been audited by Deloitte &amp; Touche LLP, an independent registered public accounting firm, as stated in their reports, which are incorporated herein by reference. Such consolidated financial statements are incorporated by reference in reliance upon the reports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have filed a registration statement, of which this prospectus supplement is a part, covering the securities offered hereby. As allowed by SEC rules, this prospectus supplement does not contain all of the information set forth in the registration statement and the exhibits thereto. We refer you to the registration statement and the exhibits thereto for further information. This prospectus supplement is qualified in its entirety by such other information.</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 xml:space="preserve">Our SEC filings, including our registration statement, are also available to you on the SEC’s website at </w:t>
      </w:r>
      <w:r>
        <w:rPr>
          <w:rFonts w:ascii="Times New Roman;serif" w:hAnsi="Times New Roman;serif"/>
          <w:b w:val="false"/>
          <w:color w:val="000000"/>
          <w:sz w:val="20"/>
          <w:u w:val="single"/>
        </w:rPr>
        <w:t>www.sec.gov</w:t>
      </w:r>
      <w:r>
        <w:rPr>
          <w:rFonts w:ascii="Times New Roman;serif" w:hAnsi="Times New Roman;serif"/>
          <w:b w:val="false"/>
          <w:i/>
          <w:color w:val="000000"/>
          <w:sz w:val="20"/>
        </w:rPr>
        <w:t>.</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file reports, proxy statements and other information with the SEC as required by the Exchange Act. Those reports, proxy statements and other information are available on the SEC’s website referred to above.</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 xml:space="preserve">We maintain a website on the Internet with the address of </w:t>
      </w:r>
      <w:r>
        <w:rPr>
          <w:rFonts w:ascii="Times New Roman;serif" w:hAnsi="Times New Roman;serif"/>
          <w:b w:val="false"/>
          <w:color w:val="000000"/>
          <w:sz w:val="20"/>
          <w:u w:val="single"/>
        </w:rPr>
        <w:t>www.armourreit.com</w:t>
      </w:r>
      <w:r>
        <w:rPr>
          <w:rFonts w:ascii="Times New Roman;serif" w:hAnsi="Times New Roman;serif"/>
          <w:b w:val="false"/>
          <w:i/>
          <w:color w:val="000000"/>
          <w:sz w:val="20"/>
        </w:rPr>
        <w:t xml:space="preserve">. </w:t>
      </w:r>
      <w:r>
        <w:rPr>
          <w:rFonts w:ascii="Times New Roman;serif" w:hAnsi="Times New Roman;serif"/>
          <w:b w:val="false"/>
          <w:color w:val="000000"/>
          <w:sz w:val="20"/>
        </w:rPr>
        <w:t>We are not incorporating by reference into this prospectus supplement the information on our website, and you should not consider our website to be a part of this prospectus supplement.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INCORPORATION OF CERTAIN DOCUMENTS BY REFERENCE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from the date of filing those documents. Any reports filed by us with the SEC on or after the date of this prospectus supplement will automatically update and, where applicable, supersede any information contained in this prospectus supplement or incorporated by reference in this prospectus supplement. We have filed the documents listed below with the SEC under the Exchange Act, and these documents are incorporated herein by reference (other than information in such documents that is furnished and not deemed to be filed):</w:t>
      </w:r>
    </w:p>
    <w:p>
      <w:pPr>
        <w:pStyle w:val="TextBody"/>
        <w:bidi w:val="0"/>
        <w:spacing w:lineRule="auto" w:line="288" w:before="0" w:after="60"/>
        <w:ind w:left="0" w:right="0" w:hanging="360"/>
        <w:jc w:val="left"/>
        <w:rPr/>
      </w:pPr>
      <w:r>
        <w:rPr>
          <w:color w:val="000000"/>
        </w:rPr>
        <w:t>•</w:t>
      </w:r>
      <w:hyperlink r:id="rId3">
        <w:r>
          <w:rPr>
            <w:rStyle w:val="InternetLink"/>
            <w:rFonts w:ascii="Times New Roman;serif" w:hAnsi="Times New Roman;serif"/>
            <w:b w:val="false"/>
            <w:color w:val="000000"/>
            <w:sz w:val="20"/>
            <w:u w:val="single"/>
          </w:rPr>
          <w:t>Our Annual Report on Form 10-K as of and for the year ended December 31, 2025, filed with the SEC on February 18, 2026</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Quarterly Report on Form 10-Q for</w:t>
      </w:r>
      <w:hyperlink r:id="rId4">
        <w:r>
          <w:rPr>
            <w:rStyle w:val="InternetLink"/>
            <w:color w:val="000000"/>
            <w:u w:val="single"/>
          </w:rPr>
          <w:t xml:space="preserve"> </w:t>
        </w:r>
      </w:hyperlink>
      <w:hyperlink r:id="rId5">
        <w:r>
          <w:rPr>
            <w:rStyle w:val="InternetLink"/>
            <w:rFonts w:ascii="Times New Roman;serif" w:hAnsi="Times New Roman;serif"/>
            <w:b w:val="false"/>
            <w:color w:val="000000"/>
            <w:sz w:val="20"/>
            <w:u w:val="single"/>
          </w:rPr>
          <w:t>the quarter ended March 31, 2026, filed with the SEC on April 22, 2026</w:t>
        </w:r>
      </w:hyperlink>
      <w:r>
        <w:rPr>
          <w:color w:val="000000"/>
        </w:rPr>
        <w:t xml:space="preserve"> </w:t>
      </w:r>
      <w:r>
        <w:rPr>
          <w:rFonts w:ascii="Times New Roman;serif" w:hAnsi="Times New Roman;serif"/>
          <w:b w:val="false"/>
          <w:color w:val="000000"/>
          <w:sz w:val="20"/>
        </w:rPr>
        <w:t xml:space="preserve">and our </w:t>
      </w:r>
      <w:hyperlink r:id="rId6">
        <w:r>
          <w:rPr>
            <w:rStyle w:val="InternetLink"/>
          </w:rPr>
          <w:t xml:space="preserve">Quarterly Report on Form </w:t>
        </w:r>
      </w:hyperlink>
      <w:hyperlink r:id="rId7">
        <w:r>
          <w:rPr>
            <w:rStyle w:val="InternetLink"/>
          </w:rPr>
          <w:t xml:space="preserve">10-Q </w:t>
        </w:r>
      </w:hyperlink>
      <w:hyperlink r:id="rId8">
        <w:r>
          <w:rPr>
            <w:rStyle w:val="InternetLink"/>
          </w:rPr>
          <w:t xml:space="preserve">for the </w:t>
        </w:r>
      </w:hyperlink>
      <w:hyperlink r:id="rId9">
        <w:r>
          <w:rPr>
            <w:rStyle w:val="InternetLink"/>
          </w:rPr>
          <w:t>qua</w:t>
        </w:r>
      </w:hyperlink>
      <w:hyperlink r:id="rId10">
        <w:r>
          <w:rPr>
            <w:rStyle w:val="InternetLink"/>
          </w:rPr>
          <w:t>rte</w:t>
        </w:r>
      </w:hyperlink>
      <w:hyperlink r:id="rId11">
        <w:r>
          <w:rPr>
            <w:rStyle w:val="InternetLink"/>
          </w:rPr>
          <w:t>r ended June 30, 2026, filed with the SEC on Jul</w:t>
        </w:r>
      </w:hyperlink>
      <w:hyperlink r:id="rId12">
        <w:r>
          <w:rPr>
            <w:rStyle w:val="InternetLink"/>
          </w:rPr>
          <w:t>y 22, 2026</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hyperlink r:id="rId13">
        <w:r>
          <w:rPr>
            <w:rStyle w:val="InternetLink"/>
            <w:rFonts w:ascii="Times New Roman;serif" w:hAnsi="Times New Roman;serif"/>
            <w:b w:val="false"/>
            <w:color w:val="000000"/>
            <w:sz w:val="20"/>
            <w:u w:val="single"/>
          </w:rPr>
          <w:t>The portions of our Definitive Proxy Statement on Schedule 14A, for our 2026 Annual Meeting of Stockholders, filed with the SEC on March 19, 2026, that are incorporated by reference into our Annual Report on Form 10-K for the fiscal year ended December 31, 2025</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Our Current Reports on Form 8-K, filed on </w:t>
      </w:r>
      <w:hyperlink r:id="rId14">
        <w:r>
          <w:rPr>
            <w:rStyle w:val="InternetLink"/>
            <w:rFonts w:ascii="Times New Roman;serif" w:hAnsi="Times New Roman;serif"/>
            <w:b w:val="false"/>
            <w:color w:val="000000"/>
            <w:sz w:val="20"/>
            <w:u w:val="single"/>
          </w:rPr>
          <w:t>January 2, 2026</w:t>
        </w:r>
      </w:hyperlink>
      <w:r>
        <w:rPr>
          <w:rFonts w:ascii="Times New Roman;serif" w:hAnsi="Times New Roman;serif"/>
          <w:b w:val="false"/>
          <w:color w:val="000000"/>
          <w:sz w:val="20"/>
        </w:rPr>
        <w:t xml:space="preserve">, </w:t>
      </w:r>
      <w:hyperlink r:id="rId15">
        <w:r>
          <w:rPr>
            <w:rStyle w:val="InternetLink"/>
            <w:rFonts w:ascii="Times New Roman;serif" w:hAnsi="Times New Roman;serif"/>
            <w:b w:val="false"/>
            <w:color w:val="000000"/>
            <w:sz w:val="20"/>
            <w:u w:val="single"/>
          </w:rPr>
          <w:t>January 28, 2026</w:t>
        </w:r>
      </w:hyperlink>
      <w:r>
        <w:rPr>
          <w:rFonts w:ascii="Times New Roman;serif" w:hAnsi="Times New Roman;serif"/>
          <w:b w:val="false"/>
          <w:color w:val="000000"/>
          <w:sz w:val="20"/>
        </w:rPr>
        <w:t xml:space="preserve">, </w:t>
      </w:r>
      <w:hyperlink r:id="rId16">
        <w:r>
          <w:rPr>
            <w:rStyle w:val="InternetLink"/>
            <w:rFonts w:ascii="Times New Roman;serif" w:hAnsi="Times New Roman;serif"/>
            <w:b w:val="false"/>
            <w:color w:val="000000"/>
            <w:sz w:val="20"/>
            <w:u w:val="single"/>
          </w:rPr>
          <w:t>January 29, 2026</w:t>
        </w:r>
      </w:hyperlink>
      <w:r>
        <w:rPr>
          <w:rFonts w:ascii="Times New Roman;serif" w:hAnsi="Times New Roman;serif"/>
          <w:b w:val="false"/>
          <w:color w:val="000000"/>
          <w:sz w:val="20"/>
        </w:rPr>
        <w:t xml:space="preserve">, </w:t>
      </w:r>
      <w:hyperlink r:id="rId17">
        <w:r>
          <w:rPr>
            <w:rStyle w:val="InternetLink"/>
            <w:rFonts w:ascii="Times New Roman;serif" w:hAnsi="Times New Roman;serif"/>
            <w:b w:val="false"/>
            <w:color w:val="000000"/>
            <w:sz w:val="20"/>
            <w:u w:val="single"/>
          </w:rPr>
          <w:t>February 17, 2026</w:t>
        </w:r>
      </w:hyperlink>
      <w:r>
        <w:rPr>
          <w:rFonts w:ascii="Times New Roman;serif" w:hAnsi="Times New Roman;serif"/>
          <w:b w:val="false"/>
          <w:color w:val="000000"/>
          <w:sz w:val="20"/>
        </w:rPr>
        <w:t xml:space="preserve">, </w:t>
      </w:r>
      <w:hyperlink r:id="rId18">
        <w:r>
          <w:rPr>
            <w:rStyle w:val="InternetLink"/>
            <w:rFonts w:ascii="Times New Roman;serif" w:hAnsi="Times New Roman;serif"/>
            <w:b w:val="false"/>
            <w:color w:val="000000"/>
            <w:sz w:val="20"/>
            <w:u w:val="single"/>
          </w:rPr>
          <w:t>March 25, 2026</w:t>
        </w:r>
      </w:hyperlink>
      <w:r>
        <w:rPr>
          <w:rFonts w:ascii="Times New Roman;serif" w:hAnsi="Times New Roman;serif"/>
          <w:b w:val="false"/>
          <w:color w:val="000000"/>
          <w:sz w:val="20"/>
        </w:rPr>
        <w:t xml:space="preserve">, </w:t>
      </w:r>
      <w:hyperlink r:id="rId19">
        <w:r>
          <w:rPr>
            <w:rStyle w:val="InternetLink"/>
            <w:rFonts w:ascii="Times New Roman;serif" w:hAnsi="Times New Roman;serif"/>
            <w:b w:val="false"/>
            <w:color w:val="000000"/>
            <w:sz w:val="20"/>
            <w:u w:val="single"/>
          </w:rPr>
          <w:t>April 1, 2026</w:t>
        </w:r>
      </w:hyperlink>
      <w:r>
        <w:rPr>
          <w:rFonts w:ascii="Times New Roman;serif" w:hAnsi="Times New Roman;serif"/>
          <w:b w:val="false"/>
          <w:color w:val="000000"/>
          <w:sz w:val="20"/>
        </w:rPr>
        <w:t xml:space="preserve">, </w:t>
      </w:r>
      <w:hyperlink r:id="rId20">
        <w:r>
          <w:rPr>
            <w:rStyle w:val="InternetLink"/>
            <w:rFonts w:ascii="Times New Roman;serif" w:hAnsi="Times New Roman;serif"/>
            <w:b w:val="false"/>
            <w:color w:val="000000"/>
            <w:sz w:val="20"/>
            <w:u w:val="single"/>
          </w:rPr>
          <w:t>April 21, 2026</w:t>
        </w:r>
      </w:hyperlink>
      <w:r>
        <w:rPr>
          <w:rFonts w:ascii="Times New Roman;serif" w:hAnsi="Times New Roman;serif"/>
          <w:b w:val="false"/>
          <w:color w:val="000000"/>
          <w:sz w:val="20"/>
        </w:rPr>
        <w:t xml:space="preserve">, </w:t>
      </w:r>
      <w:hyperlink r:id="rId21">
        <w:r>
          <w:rPr>
            <w:rStyle w:val="InternetLink"/>
            <w:rFonts w:ascii="Times New Roman;serif" w:hAnsi="Times New Roman;serif"/>
            <w:b w:val="false"/>
            <w:color w:val="000000"/>
            <w:sz w:val="20"/>
            <w:u w:val="single"/>
          </w:rPr>
          <w:t>April 30, 2026</w:t>
        </w:r>
      </w:hyperlink>
      <w:r>
        <w:rPr>
          <w:rFonts w:ascii="Times New Roman;serif" w:hAnsi="Times New Roman;serif"/>
          <w:b w:val="false"/>
          <w:color w:val="000000"/>
          <w:sz w:val="20"/>
        </w:rPr>
        <w:t xml:space="preserve">, </w:t>
      </w:r>
      <w:hyperlink r:id="rId22">
        <w:r>
          <w:rPr>
            <w:rStyle w:val="InternetLink"/>
            <w:rFonts w:ascii="Times New Roman;serif" w:hAnsi="Times New Roman;serif"/>
            <w:b w:val="false"/>
            <w:color w:val="000000"/>
            <w:sz w:val="20"/>
            <w:u w:val="single"/>
          </w:rPr>
          <w:t>May 28, 2026</w:t>
        </w:r>
      </w:hyperlink>
      <w:r>
        <w:rPr>
          <w:rFonts w:ascii="Times New Roman;serif" w:hAnsi="Times New Roman;serif"/>
          <w:b w:val="false"/>
          <w:color w:val="000000"/>
          <w:sz w:val="20"/>
        </w:rPr>
        <w:t xml:space="preserve">, </w:t>
      </w:r>
      <w:hyperlink r:id="rId23">
        <w:r>
          <w:rPr>
            <w:rStyle w:val="InternetLink"/>
            <w:rFonts w:ascii="Times New Roman;serif" w:hAnsi="Times New Roman;serif"/>
            <w:b w:val="false"/>
            <w:color w:val="000000"/>
            <w:sz w:val="20"/>
            <w:u w:val="single"/>
          </w:rPr>
          <w:t>June 24, 2026</w:t>
        </w:r>
      </w:hyperlink>
      <w:r>
        <w:rPr>
          <w:rFonts w:ascii="Times New Roman;serif" w:hAnsi="Times New Roman;serif"/>
          <w:b w:val="false"/>
          <w:color w:val="000000"/>
          <w:sz w:val="20"/>
        </w:rPr>
        <w:t xml:space="preserve">, </w:t>
      </w:r>
      <w:hyperlink r:id="rId24">
        <w:r>
          <w:rPr>
            <w:rStyle w:val="InternetLink"/>
            <w:rFonts w:ascii="Times New Roman;serif" w:hAnsi="Times New Roman;serif"/>
            <w:b w:val="false"/>
            <w:color w:val="000000"/>
            <w:sz w:val="20"/>
            <w:u w:val="single"/>
          </w:rPr>
          <w:t>July 1, 2026</w:t>
        </w:r>
      </w:hyperlink>
      <w:r>
        <w:rPr>
          <w:color w:val="000000"/>
        </w:rPr>
        <w:t xml:space="preserve"> </w:t>
      </w:r>
      <w:r>
        <w:rPr>
          <w:rFonts w:ascii="Times New Roman;serif" w:hAnsi="Times New Roman;serif"/>
          <w:b w:val="false"/>
          <w:color w:val="000000"/>
          <w:sz w:val="20"/>
        </w:rPr>
        <w:t xml:space="preserve">and </w:t>
      </w:r>
      <w:hyperlink r:id="rId25">
        <w:r>
          <w:rPr>
            <w:rStyle w:val="InternetLink"/>
            <w:rFonts w:ascii="Times New Roman;serif" w:hAnsi="Times New Roman;serif"/>
            <w:b w:val="false"/>
            <w:color w:val="000000"/>
            <w:sz w:val="20"/>
            <w:u w:val="single"/>
          </w:rPr>
          <w:t>July 21, 2026</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hyperlink r:id="rId26">
        <w:r>
          <w:rPr>
            <w:rStyle w:val="InternetLink"/>
            <w:rFonts w:ascii="Times New Roman;serif" w:hAnsi="Times New Roman;serif"/>
            <w:b w:val="false"/>
            <w:color w:val="000000"/>
            <w:sz w:val="20"/>
            <w:u w:val="single"/>
          </w:rPr>
          <w:t>The description of our common stock included in our Registration Statement on Form 8-A, filed on March 31, 2011</w:t>
        </w:r>
      </w:hyperlink>
      <w:r>
        <w:rPr>
          <w:color w:val="000000"/>
        </w:rPr>
        <w:t xml:space="preserve"> </w:t>
      </w:r>
      <w:hyperlink r:id="rId27">
        <w:r>
          <w:rPr>
            <w:rStyle w:val="InternetLink"/>
            <w:rFonts w:ascii="Times New Roman;serif" w:hAnsi="Times New Roman;serif"/>
            <w:b w:val="false"/>
            <w:color w:val="000000"/>
            <w:sz w:val="20"/>
            <w:u w:val="single"/>
          </w:rPr>
          <w:t>(as updated by Exhibit 4.1 to our Annual Report on Form 10-K for the fiscal year ended December 31, 2025</w:t>
        </w:r>
      </w:hyperlink>
      <w:r>
        <w:rPr>
          <w:rFonts w:ascii="Times New Roman;serif" w:hAnsi="Times New Roman;serif"/>
          <w:b w:val="false"/>
          <w:color w:val="000000"/>
          <w:sz w:val="20"/>
        </w:rPr>
        <w:t xml:space="preserve">); </w:t>
      </w:r>
    </w:p>
    <w:p>
      <w:pPr>
        <w:pStyle w:val="TextBody"/>
        <w:bidi w:val="0"/>
        <w:spacing w:lineRule="auto" w:line="288" w:before="0" w:after="60"/>
        <w:ind w:left="0" w:right="0" w:hanging="360"/>
        <w:jc w:val="left"/>
        <w:rPr/>
      </w:pPr>
      <w:r>
        <w:rPr>
          <w:color w:val="000000"/>
        </w:rPr>
        <w:t>•</w:t>
      </w:r>
      <w:hyperlink r:id="rId28">
        <w:r>
          <w:rPr>
            <w:rStyle w:val="InternetLink"/>
            <w:rFonts w:ascii="Times New Roman;serif" w:hAnsi="Times New Roman;serif"/>
            <w:b w:val="false"/>
            <w:color w:val="000000"/>
            <w:sz w:val="20"/>
            <w:u w:val="single"/>
          </w:rPr>
          <w:t>The description of our 7.00% Series C Cumulative Redeemable Preferred Stock included in our Registration Statement on Form 8-A, filed on January 28, 2020</w:t>
        </w:r>
      </w:hyperlink>
      <w:r>
        <w:rPr>
          <w:color w:val="000000"/>
        </w:rPr>
        <w:t xml:space="preserve"> </w:t>
      </w:r>
      <w:hyperlink r:id="rId29">
        <w:r>
          <w:rPr>
            <w:rStyle w:val="InternetLink"/>
            <w:rFonts w:ascii="Times New Roman;serif" w:hAnsi="Times New Roman;serif"/>
            <w:b w:val="false"/>
            <w:color w:val="000000"/>
            <w:sz w:val="20"/>
            <w:u w:val="single"/>
          </w:rPr>
          <w:t>(as updated by Exhibit 4.1 to our Annual Report on Form 10-K for the fiscal year ended December 31, 2025</w:t>
        </w:r>
      </w:hyperlink>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All documents we file pursuant to Sections 13(a), 13(c), 14 or 15(d) of the Exchange Act on or after the date of this prospectus supplement and prior to the termination of the offering of the securities to which this prospectus supplement relates (other than information in such documents that is furnished and not deemed to be filed) shall be deemed to be incorporated by reference into this prospectus supplement and to be a part hereof from the date of filing of those documents. All documents we file pursuant to Sections 13(a), 13(c), 14 or 15(d) of the Exchange Act after the date of the initial registration statement that contains the accompanying prospectus and prior to the effectiveness of the registration statement shall be deemed to be incorporated by reference into the prospectus and to be a part hereof from the date of filing those documents.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therein); we will provide this information at no cost to the requester upon written or oral request to: Chief Financial Officer, ARMOUR Residential REIT, Inc., 3001 Ocean Drive, Suite 201, Vero Beach, Florida 32963, or (772) 617-4340.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PROSPECTUS</w:t>
      </w:r>
    </w:p>
    <w:p>
      <w:pPr>
        <w:pStyle w:val="TextBody"/>
        <w:bidi w:val="0"/>
        <w:spacing w:before="0" w:after="0"/>
        <w:jc w:val="both"/>
        <w:rPr/>
      </w:pPr>
      <w:r>
        <w:rPr/>
      </w:r>
    </w:p>
    <w:p>
      <w:pPr>
        <w:pStyle w:val="TextBody"/>
        <w:bidi w:val="0"/>
        <w:spacing w:before="0" w:after="0"/>
        <w:jc w:val="center"/>
        <w:rPr/>
      </w:pPr>
      <w:r>
        <w:rPr/>
        <w:drawing>
          <wp:inline distT="0" distB="0" distL="0" distR="0">
            <wp:extent cx="2495550" cy="61912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30"/>
                    <a:stretch>
                      <a:fillRect/>
                    </a:stretch>
                  </pic:blipFill>
                  <pic:spPr bwMode="auto">
                    <a:xfrm>
                      <a:off x="0" y="0"/>
                      <a:ext cx="2495550" cy="619125"/>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ARMOUR Residential REIT, Inc.</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Preferred Stock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Warrants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Depositary Shares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Debt Securities </w:t>
      </w:r>
    </w:p>
    <w:p>
      <w:pPr>
        <w:pStyle w:val="TextBody"/>
        <w:bidi w:val="0"/>
        <w:spacing w:before="0" w:after="0"/>
        <w:jc w:val="center"/>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offer, issue and sell, from time to time, shares of our common stock, preferred stock, warrants, depositary shares and debt securities, which may consist of debentures, notes, or other types of debt, in one or more offerings. We will provide specific terms of each offering and issuance of these securities, such as when we sell the securities, the amounts of securities we will sell and the prices and other terms on which we will sell them, in supplements to this prospectus. We may offer and sell these securities to or through one or more underwriters, dealers and agents, or directly to purchasers, on a continuous or delayed basis. You should read this prospectus and any supplement carefully before you decide to invest. This prospectus may not be used to consummate sales of these securities unless it is accompanied by a prospectus supplement.</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Our common stock and 7.00% Series C Cumulative Redeemable Preferred Stock (“Series C Preferred Stock”) are listed on the New York Stock Exchange under the symbols “ARR” and “ARR PRC,” respectively.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have elected to be taxed as a real estate investment trust, or REIT, for U.S. federal income tax purposes. To assist us in qualifying as a REIT, among other purposes, stockholders are generally restricted under our charter from beneficially owning more than 9.8% by value or number, whichever is more restrictive, of our outstanding shares of common stock and capital stock in the aggregate. In addition, our charter contains various other restrictions on the ownership and transfer of our capital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Our principal office is located at 3001 Ocean Drive, Suite 201, Vero Beach, Florida 32963. Our telephone number is (772) 617-4340.</w:t>
      </w:r>
    </w:p>
    <w:p>
      <w:pPr>
        <w:pStyle w:val="TextBody"/>
        <w:bidi w:val="0"/>
        <w:spacing w:lineRule="auto" w:line="288" w:before="0" w:after="200"/>
        <w:jc w:val="left"/>
        <w:rPr/>
      </w:pPr>
      <w:r>
        <w:rPr>
          <w:color w:val="000000"/>
        </w:rPr>
        <w:t>    </w:t>
      </w:r>
      <w:r>
        <w:rPr>
          <w:rFonts w:ascii="Times New Roman;serif" w:hAnsi="Times New Roman;serif"/>
          <w:b/>
          <w:i/>
          <w:color w:val="000000"/>
          <w:sz w:val="20"/>
        </w:rPr>
        <w:t>Investing in our securities involves risks. You should carefully consider the information referred to under the heading “</w:t>
      </w:r>
      <w:r>
        <w:rPr>
          <w:rFonts w:ascii="Times New Roman;serif" w:hAnsi="Times New Roman;serif"/>
          <w:b/>
          <w:i/>
          <w:color w:val="000000"/>
          <w:sz w:val="20"/>
          <w:u w:val="single"/>
        </w:rPr>
        <w:t>Risk Factors</w:t>
      </w:r>
      <w:r>
        <w:rPr>
          <w:color w:val="000000"/>
        </w:rPr>
        <w:t xml:space="preserve">” </w:t>
      </w:r>
      <w:r>
        <w:rPr>
          <w:rFonts w:ascii="Times New Roman;serif" w:hAnsi="Times New Roman;serif"/>
          <w:b/>
          <w:i/>
          <w:color w:val="000000"/>
          <w:sz w:val="20"/>
        </w:rPr>
        <w:t>on page 7 of this prospectus before you invest.</w:t>
      </w:r>
    </w:p>
    <w:p>
      <w:pPr>
        <w:pStyle w:val="TextBody"/>
        <w:bidi w:val="0"/>
        <w:spacing w:lineRule="auto" w:line="288" w:before="0" w:after="200"/>
        <w:jc w:val="left"/>
        <w:rPr>
          <w:color w:val="000000"/>
        </w:rPr>
      </w:pPr>
      <w:r>
        <w:rPr>
          <w:color w:val="000000"/>
        </w:rPr>
        <w:t>    </w:t>
      </w:r>
      <w:r>
        <w:rPr>
          <w:rFonts w:ascii="Times New Roman;serif" w:hAnsi="Times New Roman;serif"/>
          <w:b/>
          <w:color w:val="000000"/>
          <w:sz w:val="20"/>
        </w:rPr>
        <w:t>Neither the Securities and Exchange Commission nor any state securities commission has approved or disapproved of these securities or determined that this prospectus is truthful or complete. Any representation to the contrary is a criminal offense.</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The date of this prospectus is March 28, 2024</w:t>
      </w:r>
    </w:p>
    <w:p>
      <w:pPr>
        <w:pStyle w:val="TextBody"/>
        <w:bidi w:val="0"/>
        <w:spacing w:before="0" w:after="20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3567"/>
        <w:gridCol w:w="3124"/>
        <w:gridCol w:w="3140"/>
        <w:gridCol w:w="109"/>
        <w:gridCol w:w="109"/>
        <w:gridCol w:w="156"/>
      </w:tblGrid>
      <w:tr>
        <w:trPr/>
        <w:tc>
          <w:tcPr>
            <w:tcW w:w="3567" w:type="dxa"/>
            <w:tcBorders/>
            <w:vAlign w:val="center"/>
          </w:tcPr>
          <w:p>
            <w:pPr>
              <w:pStyle w:val="TableContents"/>
              <w:bidi w:val="0"/>
              <w:spacing w:before="0" w:after="283"/>
              <w:jc w:val="left"/>
              <w:rPr>
                <w:sz w:val="4"/>
                <w:szCs w:val="4"/>
              </w:rPr>
            </w:pPr>
            <w:r>
              <w:rPr>
                <w:sz w:val="4"/>
                <w:szCs w:val="4"/>
              </w:rPr>
            </w:r>
          </w:p>
        </w:tc>
        <w:tc>
          <w:tcPr>
            <w:tcW w:w="3124" w:type="dxa"/>
            <w:tcBorders/>
            <w:vAlign w:val="center"/>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52">
              <w:r>
                <w:rPr>
                  <w:rStyle w:val="InternetLink"/>
                  <w:rFonts w:ascii="Times New Roman;serif" w:hAnsi="Times New Roman;serif"/>
                  <w:b w:val="false"/>
                  <w:strike w:val="false"/>
                  <w:dstrike w:val="false"/>
                  <w:color w:val="000000"/>
                  <w:sz w:val="20"/>
                  <w:u w:val="none"/>
                  <w:effect w:val="none"/>
                </w:rPr>
                <w:t>GLOSSARY OF TERMS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52">
              <w:r>
                <w:rPr>
                  <w:rStyle w:val="InternetLink"/>
                  <w:rFonts w:ascii="Times New Roman;serif" w:hAnsi="Times New Roman;serif"/>
                  <w:b w:val="false"/>
                  <w:strike w:val="false"/>
                  <w:dstrike w:val="false"/>
                  <w:color w:val="000000"/>
                  <w:sz w:val="20"/>
                  <w:u w:val="none"/>
                  <w:effect w:val="none"/>
                </w:rPr>
                <w:t>ii</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55">
              <w:r>
                <w:rPr>
                  <w:rStyle w:val="InternetLink"/>
                  <w:rFonts w:ascii="Times New Roman;serif" w:hAnsi="Times New Roman;serif"/>
                  <w:b w:val="false"/>
                  <w:strike w:val="false"/>
                  <w:dstrike w:val="false"/>
                  <w:color w:val="000000"/>
                  <w:sz w:val="20"/>
                  <w:u w:val="none"/>
                  <w:effect w:val="none"/>
                </w:rPr>
                <w:t>ABOUT THIS PROSPECTUS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55">
              <w:r>
                <w:rPr>
                  <w:rStyle w:val="InternetLink"/>
                  <w:rFonts w:ascii="Times New Roman;serif" w:hAnsi="Times New Roman;serif"/>
                  <w:b w:val="false"/>
                  <w:strike w:val="false"/>
                  <w:dstrike w:val="false"/>
                  <w:color w:val="000000"/>
                  <w:sz w:val="20"/>
                  <w:u w:val="none"/>
                  <w:effect w:val="none"/>
                </w:rPr>
                <w:t>1</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58">
              <w:r>
                <w:rPr>
                  <w:rStyle w:val="InternetLink"/>
                  <w:rFonts w:ascii="Times New Roman;serif" w:hAnsi="Times New Roman;serif"/>
                  <w:b w:val="false"/>
                  <w:strike w:val="false"/>
                  <w:dstrike w:val="false"/>
                  <w:color w:val="000000"/>
                  <w:sz w:val="20"/>
                  <w:u w:val="none"/>
                  <w:effect w:val="none"/>
                </w:rPr>
                <w:t>SPECIAL NOTE REGARDING FORWARD-LOOKING STATEMENTS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58">
              <w:r>
                <w:rPr>
                  <w:rStyle w:val="InternetLink"/>
                  <w:rFonts w:ascii="Times New Roman;serif" w:hAnsi="Times New Roman;serif"/>
                  <w:b w:val="false"/>
                  <w:strike w:val="false"/>
                  <w:dstrike w:val="false"/>
                  <w:color w:val="000000"/>
                  <w:sz w:val="20"/>
                  <w:u w:val="none"/>
                  <w:effect w:val="none"/>
                </w:rPr>
                <w:t>2</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61">
              <w:r>
                <w:rPr>
                  <w:rStyle w:val="InternetLink"/>
                  <w:rFonts w:ascii="Times New Roman;serif" w:hAnsi="Times New Roman;serif"/>
                  <w:b w:val="false"/>
                  <w:strike w:val="false"/>
                  <w:dstrike w:val="false"/>
                  <w:color w:val="000000"/>
                  <w:sz w:val="20"/>
                  <w:u w:val="none"/>
                  <w:effect w:val="none"/>
                </w:rPr>
                <w:t>PROSPECTUS SUMMARY</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61">
              <w:r>
                <w:rPr>
                  <w:rStyle w:val="InternetLink"/>
                  <w:rFonts w:ascii="Times New Roman;serif" w:hAnsi="Times New Roman;serif"/>
                  <w:b w:val="false"/>
                  <w:strike w:val="false"/>
                  <w:dstrike w:val="false"/>
                  <w:color w:val="000000"/>
                  <w:sz w:val="20"/>
                  <w:u w:val="none"/>
                  <w:effect w:val="none"/>
                </w:rPr>
                <w:t>4</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64">
              <w:r>
                <w:rPr>
                  <w:rStyle w:val="InternetLink"/>
                  <w:rFonts w:ascii="Times New Roman;serif" w:hAnsi="Times New Roman;serif"/>
                  <w:b w:val="false"/>
                  <w:strike w:val="false"/>
                  <w:dstrike w:val="false"/>
                  <w:color w:val="000000"/>
                  <w:sz w:val="20"/>
                  <w:u w:val="none"/>
                  <w:effect w:val="none"/>
                </w:rPr>
                <w:t>RISK FACTORS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64">
              <w:r>
                <w:rPr>
                  <w:rStyle w:val="InternetLink"/>
                  <w:rFonts w:ascii="Times New Roman;serif" w:hAnsi="Times New Roman;serif"/>
                  <w:b w:val="false"/>
                  <w:strike w:val="false"/>
                  <w:dstrike w:val="false"/>
                  <w:color w:val="000000"/>
                  <w:sz w:val="20"/>
                  <w:u w:val="none"/>
                  <w:effect w:val="none"/>
                </w:rPr>
                <w:t>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67">
              <w:r>
                <w:rPr>
                  <w:rStyle w:val="InternetLink"/>
                  <w:rFonts w:ascii="Times New Roman;serif" w:hAnsi="Times New Roman;serif"/>
                  <w:b w:val="false"/>
                  <w:strike w:val="false"/>
                  <w:dstrike w:val="false"/>
                  <w:color w:val="000000"/>
                  <w:sz w:val="20"/>
                  <w:u w:val="none"/>
                  <w:effect w:val="none"/>
                </w:rPr>
                <w:t>USE OF PROCEEDS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67">
              <w:r>
                <w:rPr>
                  <w:rStyle w:val="InternetLink"/>
                  <w:rFonts w:ascii="Times New Roman;serif" w:hAnsi="Times New Roman;serif"/>
                  <w:b w:val="false"/>
                  <w:strike w:val="false"/>
                  <w:dstrike w:val="false"/>
                  <w:color w:val="000000"/>
                  <w:sz w:val="20"/>
                  <w:u w:val="none"/>
                  <w:effect w:val="none"/>
                </w:rPr>
                <w:t>7</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70">
              <w:r>
                <w:rPr>
                  <w:rStyle w:val="InternetLink"/>
                  <w:rFonts w:ascii="Times New Roman;serif" w:hAnsi="Times New Roman;serif"/>
                  <w:b w:val="false"/>
                  <w:strike w:val="false"/>
                  <w:dstrike w:val="false"/>
                  <w:color w:val="000000"/>
                  <w:sz w:val="20"/>
                  <w:u w:val="none"/>
                  <w:effect w:val="none"/>
                </w:rPr>
                <w:t>DESCRIPTION OF CAPITAL STOCK</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70">
              <w:r>
                <w:rPr>
                  <w:rStyle w:val="InternetLink"/>
                  <w:rFonts w:ascii="Times New Roman;serif" w:hAnsi="Times New Roman;serif"/>
                  <w:b w:val="false"/>
                  <w:strike w:val="false"/>
                  <w:dstrike w:val="false"/>
                  <w:color w:val="000000"/>
                  <w:sz w:val="20"/>
                  <w:u w:val="none"/>
                  <w:effect w:val="none"/>
                </w:rPr>
                <w:t>8</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73">
              <w:r>
                <w:rPr>
                  <w:rStyle w:val="InternetLink"/>
                  <w:rFonts w:ascii="Times New Roman;serif" w:hAnsi="Times New Roman;serif"/>
                  <w:b w:val="false"/>
                  <w:strike w:val="false"/>
                  <w:dstrike w:val="false"/>
                  <w:color w:val="000000"/>
                  <w:sz w:val="20"/>
                  <w:u w:val="none"/>
                  <w:effect w:val="none"/>
                </w:rPr>
                <w:t>DESCRIPTION OF DEPOSITARY SHARES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73">
              <w:r>
                <w:rPr>
                  <w:rStyle w:val="InternetLink"/>
                  <w:rFonts w:ascii="Times New Roman;serif" w:hAnsi="Times New Roman;serif"/>
                  <w:b w:val="false"/>
                  <w:strike w:val="false"/>
                  <w:dstrike w:val="false"/>
                  <w:color w:val="000000"/>
                  <w:sz w:val="20"/>
                  <w:u w:val="none"/>
                  <w:effect w:val="none"/>
                </w:rPr>
                <w:t>14</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76">
              <w:r>
                <w:rPr>
                  <w:rStyle w:val="InternetLink"/>
                  <w:rFonts w:ascii="Times New Roman;serif" w:hAnsi="Times New Roman;serif"/>
                  <w:b w:val="false"/>
                  <w:strike w:val="false"/>
                  <w:dstrike w:val="false"/>
                  <w:color w:val="000000"/>
                  <w:sz w:val="20"/>
                  <w:u w:val="none"/>
                  <w:effect w:val="none"/>
                </w:rPr>
                <w:t>DESCRIPTION OF DEBT SECURITIES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76">
              <w:r>
                <w:rPr>
                  <w:rStyle w:val="InternetLink"/>
                  <w:rFonts w:ascii="Times New Roman;serif" w:hAnsi="Times New Roman;serif"/>
                  <w:b w:val="false"/>
                  <w:strike w:val="false"/>
                  <w:dstrike w:val="false"/>
                  <w:color w:val="000000"/>
                  <w:sz w:val="20"/>
                  <w:u w:val="none"/>
                  <w:effect w:val="none"/>
                </w:rPr>
                <w:t>17</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79">
              <w:r>
                <w:rPr>
                  <w:rStyle w:val="InternetLink"/>
                  <w:rFonts w:ascii="Times New Roman;serif" w:hAnsi="Times New Roman;serif"/>
                  <w:b w:val="false"/>
                  <w:strike w:val="false"/>
                  <w:dstrike w:val="false"/>
                  <w:color w:val="000000"/>
                  <w:sz w:val="20"/>
                  <w:u w:val="none"/>
                  <w:effect w:val="none"/>
                </w:rPr>
                <w:t>CERTAIN PROVISIONS OF THE MARYLAND GENERAL CORPORATION LAW AND OUR CHARTER AND BYLAWS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79">
              <w:r>
                <w:rPr>
                  <w:rStyle w:val="InternetLink"/>
                  <w:rFonts w:ascii="Times New Roman;serif" w:hAnsi="Times New Roman;serif"/>
                  <w:b w:val="false"/>
                  <w:strike w:val="false"/>
                  <w:dstrike w:val="false"/>
                  <w:color w:val="000000"/>
                  <w:sz w:val="20"/>
                  <w:u w:val="none"/>
                  <w:effect w:val="none"/>
                </w:rPr>
                <w:t>26</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82">
              <w:r>
                <w:rPr>
                  <w:rStyle w:val="InternetLink"/>
                  <w:rFonts w:ascii="Times New Roman;serif" w:hAnsi="Times New Roman;serif"/>
                  <w:b w:val="false"/>
                  <w:strike w:val="false"/>
                  <w:dstrike w:val="false"/>
                  <w:color w:val="000000"/>
                  <w:sz w:val="20"/>
                  <w:u w:val="none"/>
                  <w:effect w:val="none"/>
                </w:rPr>
                <w:t>MATERIAL U.S. FEDERAL INCOME TAX CONSIDERATIONS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82">
              <w:r>
                <w:rPr>
                  <w:rStyle w:val="InternetLink"/>
                  <w:rFonts w:ascii="Times New Roman;serif" w:hAnsi="Times New Roman;serif"/>
                  <w:b w:val="false"/>
                  <w:strike w:val="false"/>
                  <w:dstrike w:val="false"/>
                  <w:color w:val="000000"/>
                  <w:sz w:val="20"/>
                  <w:u w:val="none"/>
                  <w:effect w:val="none"/>
                </w:rPr>
                <w:t>31</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85">
              <w:r>
                <w:rPr>
                  <w:rStyle w:val="InternetLink"/>
                  <w:rFonts w:ascii="Times New Roman;serif" w:hAnsi="Times New Roman;serif"/>
                  <w:b w:val="false"/>
                  <w:strike w:val="false"/>
                  <w:dstrike w:val="false"/>
                  <w:color w:val="000000"/>
                  <w:sz w:val="20"/>
                  <w:u w:val="none"/>
                  <w:effect w:val="none"/>
                </w:rPr>
                <w:t>PLAN OF DISTRIBUTION</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85">
              <w:r>
                <w:rPr>
                  <w:rStyle w:val="InternetLink"/>
                  <w:rFonts w:ascii="Times New Roman;serif" w:hAnsi="Times New Roman;serif"/>
                  <w:b w:val="false"/>
                  <w:strike w:val="false"/>
                  <w:dstrike w:val="false"/>
                  <w:color w:val="000000"/>
                  <w:sz w:val="20"/>
                  <w:u w:val="none"/>
                  <w:effect w:val="none"/>
                </w:rPr>
                <w:t>52</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88">
              <w:r>
                <w:rPr>
                  <w:rStyle w:val="InternetLink"/>
                  <w:rFonts w:ascii="Times New Roman;serif" w:hAnsi="Times New Roman;serif"/>
                  <w:b w:val="false"/>
                  <w:strike w:val="false"/>
                  <w:dstrike w:val="false"/>
                  <w:color w:val="000000"/>
                  <w:sz w:val="20"/>
                  <w:u w:val="none"/>
                  <w:effect w:val="none"/>
                </w:rPr>
                <w:t>LEGAL MATTERS</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88">
              <w:r>
                <w:rPr>
                  <w:rStyle w:val="InternetLink"/>
                  <w:rFonts w:ascii="Times New Roman;serif" w:hAnsi="Times New Roman;serif"/>
                  <w:b w:val="false"/>
                  <w:strike w:val="false"/>
                  <w:dstrike w:val="false"/>
                  <w:color w:val="000000"/>
                  <w:sz w:val="20"/>
                  <w:u w:val="none"/>
                  <w:effect w:val="none"/>
                </w:rPr>
                <w:t>56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91">
              <w:r>
                <w:rPr>
                  <w:rStyle w:val="InternetLink"/>
                  <w:rFonts w:ascii="Times New Roman;serif" w:hAnsi="Times New Roman;serif"/>
                  <w:b w:val="false"/>
                  <w:strike w:val="false"/>
                  <w:dstrike w:val="false"/>
                  <w:color w:val="000000"/>
                  <w:sz w:val="20"/>
                  <w:u w:val="none"/>
                  <w:effect w:val="none"/>
                </w:rPr>
                <w:t>EXPERTS</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91">
              <w:r>
                <w:rPr>
                  <w:rStyle w:val="InternetLink"/>
                  <w:rFonts w:ascii="Times New Roman;serif" w:hAnsi="Times New Roman;serif"/>
                  <w:b w:val="false"/>
                  <w:strike w:val="false"/>
                  <w:dstrike w:val="false"/>
                  <w:color w:val="000000"/>
                  <w:sz w:val="20"/>
                  <w:u w:val="none"/>
                  <w:effect w:val="none"/>
                </w:rPr>
                <w:t>56</w:t>
              </w:r>
            </w:hyperlink>
          </w:p>
        </w:tc>
      </w:tr>
      <w:tr>
        <w:trPr/>
        <w:tc>
          <w:tcPr>
            <w:tcW w:w="9831" w:type="dxa"/>
            <w:gridSpan w:val="3"/>
            <w:tcBorders/>
            <w:shd w:fill="CCEE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94">
              <w:r>
                <w:rPr>
                  <w:rStyle w:val="InternetLink"/>
                  <w:rFonts w:ascii="Times New Roman;serif" w:hAnsi="Times New Roman;serif"/>
                  <w:b w:val="false"/>
                  <w:strike w:val="false"/>
                  <w:dstrike w:val="false"/>
                  <w:color w:val="000000"/>
                  <w:sz w:val="20"/>
                  <w:u w:val="none"/>
                  <w:effect w:val="none"/>
                </w:rPr>
                <w:t>WHERE YOU CAN FIND MORE INFORMATION</w:t>
              </w:r>
            </w:hyperlink>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94">
              <w:r>
                <w:rPr>
                  <w:rStyle w:val="InternetLink"/>
                  <w:rFonts w:ascii="Times New Roman;serif" w:hAnsi="Times New Roman;serif"/>
                  <w:b w:val="false"/>
                  <w:strike w:val="false"/>
                  <w:dstrike w:val="false"/>
                  <w:color w:val="000000"/>
                  <w:sz w:val="20"/>
                  <w:u w:val="none"/>
                  <w:effect w:val="none"/>
                </w:rPr>
                <w:t>56</w:t>
              </w:r>
            </w:hyperlink>
          </w:p>
        </w:tc>
      </w:tr>
      <w:tr>
        <w:trPr/>
        <w:tc>
          <w:tcPr>
            <w:tcW w:w="9831" w:type="dxa"/>
            <w:gridSpan w:val="3"/>
            <w:tcBorders/>
            <w:shd w:fill="FFFFFF" w:val="clear"/>
            <w:tcMar>
              <w:top w:w="0" w:type="dxa"/>
              <w:left w:w="0" w:type="dxa"/>
              <w:bottom w:w="0" w:type="dxa"/>
              <w:right w:w="0" w:type="dxa"/>
            </w:tcMar>
            <w:vAlign w:val="center"/>
          </w:tcPr>
          <w:p>
            <w:pPr>
              <w:pStyle w:val="TableContents"/>
              <w:bidi w:val="0"/>
              <w:spacing w:lineRule="auto" w:line="331" w:before="0" w:after="200"/>
              <w:ind w:left="0" w:right="0" w:hanging="180"/>
              <w:jc w:val="left"/>
              <w:rPr/>
            </w:pPr>
            <w:hyperlink w:anchor="i9eb5355293894739a978628036f649bd_97">
              <w:r>
                <w:rPr>
                  <w:rStyle w:val="InternetLink"/>
                  <w:rFonts w:ascii="Times New Roman;serif" w:hAnsi="Times New Roman;serif"/>
                  <w:b w:val="false"/>
                  <w:strike w:val="false"/>
                  <w:dstrike w:val="false"/>
                  <w:color w:val="000000"/>
                  <w:sz w:val="20"/>
                  <w:u w:val="none"/>
                  <w:effect w:val="none"/>
                </w:rPr>
                <w:t>INCORPORATION OF CERTAIN DOCUMENTS BY REFERENCE</w:t>
              </w:r>
            </w:hyperlink>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eb5355293894739a978628036f649bd_97">
              <w:r>
                <w:rPr>
                  <w:rStyle w:val="InternetLink"/>
                  <w:rFonts w:ascii="Times New Roman;serif" w:hAnsi="Times New Roman;serif"/>
                  <w:b w:val="false"/>
                  <w:strike w:val="false"/>
                  <w:dstrike w:val="false"/>
                  <w:color w:val="000000"/>
                  <w:sz w:val="20"/>
                  <w:u w:val="none"/>
                  <w:effect w:val="none"/>
                </w:rPr>
                <w:t>56</w:t>
              </w:r>
            </w:hyperlink>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1" w:before="0" w:after="20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GLOSSARY OF TERMS</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Agency CMBS” means commercial mortgage backed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Agency Securities” means securities issued or guaranteed by Fannie Mae, Freddie Mac and Ginnie Mae; interests in or obligations backed by pools of fixed rate, hybrid adjustable rate and adjustable rate mortgage loans.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ARMOUR Management Agreement” means the management agreement, as amended and restated from time to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between ARMOUR Residential REIT, Inc. and ARMOUR Capital Management LP, whereby ARMOUR Capital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LP performs certain services for ARMOUR Residential REIT, Inc. in exchange for a specified fee.</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Board” means our board of directors.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BUCKLER” means a Delaware limited liability company, and a FINRA-regulated broker-dealer. The primary purpose of our investment in BUCKLER is to facilitate our access to repurchase financing, on potentially more attractive terms (considering rate, term, size, haircut, relationship and funding commitment) compared to other suitable repurchase financing counterparties.</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Code” means the Internal Revenue Code of 1986, as amended.</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Exchange Act” means the Securities Exchange Act of 1934, as amended.</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Fannie Mae” means the Federal National Mortgage Association.</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Fed” means the U.S. Federal Reserve.</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Freddie Mac” means the Federal Home Loan Mortgage Corporation.</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GAAP” means accounting principles generally accepted in the United States of America.</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Ginnie Mae” means the Government National Mortgage Administration.</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GSE” means U.S. Government Sponsored Entity. Obligations of agencies originally established or chartered by the U.S. government to serve public purposes as specified by the U.S. Congress; these obligations are not explicitly guaranteed as to the timely payment of principal and interest by the full faith and credit of the U.S. government.</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IRS” means Internal Revenue Service.</w:t>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MBS” means mortgage backed securities, a security representing a direct interest in a pool of mortgage loans.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pass-through issuer or servicer collects the payments on the loans in the pool and “passes through” the principal and interest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security holders on a pro rata basis.</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MGCL” means Maryland General Corporation Law.</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NYSE” means New York Stock Exchange.</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REIT” means Real Estate Investment Trust. A special purpose investment vehicle that provides investors with the ability to participate directly in the ownership or financing of real-estate related assets by pooling their capital to purchase and manage mortgage loans and/or income property.</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SEC” means The Securities and Exchange Commission.</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Securities Act” means the Securities Act of 1933, as amended.</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U.S.” means United States.</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1940 Act” means the Investment Company Act of 1940,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1" w:before="0" w:after="20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331" w:before="0" w:after="20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 xml:space="preserve">This prospectus is part of a registration statement that we filed with the Securities and Exchange Commission, or SEC or Commission, using a “shelf” registration process. Under this shelf registration process, we may sell the securities described in this prospectus in one or more offerings. This prospectus provides you with a general description of the securities we may offer. Each time we offer to sell securities, we will provide a supplement to this prospectus that will contain specific information about the terms of that offering. The prospectus supplement may also add, update or change information contained in this prospectus. It is important for you to consider the information contained in this prospectus and any prospectus supplement together with additional information described under the headings, </w:t>
      </w:r>
      <w:r>
        <w:rPr>
          <w:color w:val="000000"/>
        </w:rPr>
        <w:t>“</w:t>
      </w:r>
      <w:r>
        <w:rPr>
          <w:rFonts w:ascii="Times New Roman;serif" w:hAnsi="Times New Roman;serif"/>
          <w:b w:val="false"/>
          <w:i/>
          <w:color w:val="000000"/>
          <w:sz w:val="20"/>
        </w:rPr>
        <w:t xml:space="preserve">Where You Can Find More Information”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Incorporation of Certain Documents by Reference.”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You should rely only on the information incorporated by reference or set forth in this prospectus or the applicable prospectus supplement. We have not authorized anyone else to provide you with additional or different information. You should not assume that the information in this prospectus, the applicable prospectus supplement or any other offering material is accurate as of any date other than the dates on the front of those documents.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References in this prospectus to “we,” “us,” “our,” “ARMOUR” or the “Company” are to ARMOUR Residential REIT, Inc. References to “ACM” are to ARMOUR Capital Management LP, a Delaware limited partnership and investment advisor that is registered with the SEC. ACM serves as our external manager.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1" w:before="0" w:after="20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This prospectus contains various “forward-looking statements.” Forward-looking statements relate to expectations, beliefs, projections, future plans and strategies, anticipated events or trends and similar expressions concerning matters that are not historical facts. In some cases, you can identify forward-looking statements by the use of forward-looking terminology such as “believes,” “expects,” “may,” “will,” “would,” “could,” “should,” “seeks,” “approximately,” “intends,” “plans,” “projects,” “estimates” or “anticipates” or the negative of these words and phrases or similar words or phrases. All forward-looking statements may be impacted by a number of risks and uncertainties, including statements regarding the following subjects: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business and investment strategy;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anticipated results of operations;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statements about future dividends;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ability to obtain financing arrangements;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our understanding of our competition and ability to compete effectively;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market, industry and economic trends;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interest rates.</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forward-looking statements in this prospectus are based on our beliefs, assumptions and expectations of our future performance, taking into account all information currently available to us. These beliefs, assumptions and expectations are subject to risks and uncertainties and can change as a result of many possible events or factors, not all of which are known to us. If a change occurs, our business, financial condition, liquidity and results of operations may vary materially from those expressed in our forward-looking statements. You should carefully consider these risks before you make an investment decision with respect to our securities, along with the following factors that could cause actual results to vary from our forward-looking statements: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factors referenced in this prospectus, including those set forth under the sections captioned, “Risk Factors” and “Management’s Discussion and Analysis of Financial Condition and Results of Operations,” which are incorporated herein by reference to our most recent Annual Report on Form 10-K and our subsequent Quarterly Reports on Form 10-Q;</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the coronavirus and its variants ("COVID-19") or a new pandemic on our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geopolitical situation as a result of the war between Russia and Ukraine, as well as the recent outbreak of hostilities in the Middle East, may continue to adversely affect the U.S. economy, which may lead the Fed to take actions that may impact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the federal conservatorship of Fannie Mae and Freddie Mac and related efforts, along with any changes in laws and regulations affecting the relationship between Fannie Mae and Freddie Mac and the federal government and the Fed;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possible material adverse effect on our business if the U.S. Congress passed legislation reforming or winding down Fannie Mae or Freddie Mac;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by the Fed which could cause a change of the yield curve, which could materially adversely affect our business, financial condition and results of operations and our ability to pay distributions to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mortgage loan modification programs and future legislative action;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a delay or failure of the U.S. Government in reaching an agreement on the national debt ceiling;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terms and deployment of capital;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extended trade disputes with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changes in economic conditions generally;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interest rates, interest rate spreads and the yield curve or prepayment rates;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volatility of the financial markets, including markets for mortgage securities;</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a downgrade of the U.S. Government's or certain European countries' credit ratings and future downgrades of the U.S. Government's or certain European countries' credit ratings may materially adversely affect our business, financial condition and results of operations;</w:t>
      </w:r>
    </w:p>
    <w:p>
      <w:pPr>
        <w:pStyle w:val="TextBody"/>
        <w:bidi w:val="0"/>
        <w:spacing w:before="0" w:after="20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maintain the level of non-taxable returns of capital through the payment of dividends to our stockholders or to pay dividends to our stockholders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inflation or deflation;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impact of a shutdown of the U.S. Government;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availability of suitable investment opportunities;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 including competition for MBS;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business and investment strategy;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maintain our qualification as a REIT;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maintain an exemption from being regulated as a commodity pool operator;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dependence on ACM and ability to find a suitable replacement if ACM were to terminate its management relationship with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existence of conflicts of interest in our relationship with ACM, BUCKLER, and certain of our directors and our officers, which could result in decisions that are not in the best interest of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for BUCKLER's inability to access attractive repurchase financing on our behalf or secure profitable third party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management's and certain directors’ competing duties to other affiliated entities, which could result in decisions that are not in the best interest of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personnel at ACM, or BUCKLER, or the availability of qualified personnel at ACM or BUCKLER;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limitations imposed on our business by our status as a REIT under the Code;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potential burdens on our business of maintaining our exclusion from the 1940 Act and possible consequences of losing that exclusion;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GAAP, including interpretations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applicable laws and regulations ;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effectiveness of our controls.</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cannot guarantee future results, levels of activity, performance or achievements. You should not place undue reliance on forward-looking statements, which apply only as of the date of this prospectus. We do not intend and disclaim any duty or obligation to update or revise any industry information or forward-looking statements set forth in this prospectus to reflect new information, future events or otherwise, except as required under the U.S. federal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PROSPECTUS SUMMARY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We are an externally managed Maryland corporation incorporated in 2008, managed by ACM, an investment advisor registered with the SEC. We invest in MBS issued or guaranteed by a GSE, such as Fannie Mae, Freddie Mac or a government agency such as Ginnie Mae. Our MBS portfolio consists primarily of Agency Securities backed by fixed rate home loans. From time to time we may also invest in Agency CMBS, Interest-Only Securities, U.S. Treasury Securities and money market instruments. </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Strategy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ARMOUR brings private capital into the mortgage markets to support home ownership for a broad and diverse spectrum of Americans. We seek to create stockholder value through thoughtful investment and risk management of a leveraged and diversified portfolio of MBS.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on the decades of experience of our management team for (i) MBS securities portfolio analysis and selection, (ii) access to equity capital and repurchase financing on potentially attractive rates and terms, and (iii) hedging and liquidity strategies to moderate interest rate and MBS price risk. We prioritize maintaining common share dividends appropriate for the intermediate term rather than focusing on short-term market fluctuations.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deeply committed to implementing sustainable environmental, responsible social, and prudent governance practices that improve our work and our world. We strive to contribute to a healthy, sustainable environment by utilizing resources efficiently. As an organization, we create a relatively small environmental footprint. Still, we are focused on minimizing the environmental impact of our business where possible.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Our Manager</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are managed by ACM, pursuant to a management agreement. ACM manages our day-to-day operations, subject to the direction and oversight of the Board. The management agreement runs through December 31, 2029 and is thereafter automatically renewed for an additional five-year term unless terminated under certain circumstances. Either party must provide 180 days prior written notice of any such termination. We do not have any employees whom we compensate directly with salaries or other compensation. All of our executive officers are also employees of ACM.</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The management agreement entitles ACM to receive management fees payable monthly in arrears. Currently, the monthly management fee is 1/12th of the sum of (a) 1.5% of gross equity raised up to $1.0 billion plus (b) 0.75% of gross equity raised in excess of $1.0 billion. Gross equity raised includes the total amounts of paid in capital relating to both our common and preferred stock, before deduction of brokerage commissions and other costs of capital raising. Amounts paid to stockholders to repurchase stock, before deduction of brokerage commissions and costs, reduces gross equity raised. Dividends specifically designated by the Board as liquidation dividends will reduce the amount of gross equity raised. To date, the Board has not so designated any of the dividends paid by the Company. Realized and unrealized gains and losses do not affect the amount of gross equity raised. The ACM monthly management fees are not calculated based on the performance of our assets. Accordingly, the payment of our monthly management fees may not decline in the event of a decline in our earnings and may cause us to incur losses.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also responsible for any costs and expenses that ACM incurred solely on our behalf other than the various overhead expenses specified in the terms of the management agreement. We cannot voluntarily terminate the management agreement without cause before the expiration of its contractual term. If the management agreement is terminated in connection with a liquidation of the Company or certain business combination transactions, the Company is obliged to pay ACM a termination fee equal to four (4) times the contractual management fee (before any waiver) for the preceding 12 months. We are required to take actions as may be reasonably required to permit and enable ACM to carry out its duties and obligations.</w:t>
      </w:r>
    </w:p>
    <w:p>
      <w:pPr>
        <w:pStyle w:val="TextBody"/>
        <w:bidi w:val="0"/>
        <w:spacing w:before="0" w:after="200"/>
        <w:ind w:left="0" w:right="0" w:firstLine="720"/>
        <w:jc w:val="left"/>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Operating and Regulatory Structure</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REIT Qualification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have elected to qualify and be taxed as a REIT under the Code. We believe that we are organized in conformity with the requirements for qualification as a REIT under the Code relating to, among other things, the sources of our gross income, the composition and values of our assets, our distribution levels and the concentration of ownership of our capital stock, and that our manner of operations and corporate structure and stockholder ownership enables us to meet on a continuing basis the requirements for taxation as a REIT for federal income tax purposes.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As a REIT, we are generally not subject to federal income tax on the REIT taxable income that we distribute to our stockholders currently. If we fail to qualify as a REIT in any taxable year and do not qualify for certain statutory relief provisions, we will be subject to federal income tax at the regular corporate rate. Even if we qualify as a REIT for federal income tax purposes, we may still be subject to some federal, state and local taxes on our income.</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Investment Company Act of 1940 Exclusion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conduct our business so as not to become regulated as an investment company under the 1940 Act. We rely on the exclusion provided by Section 3(c)(5)(C) of the 1940 Act as interpreted by the staff of the SEC. To qualify for this exclusion, we must invest at least 55% of our assets in “mortgages and other liens on and interest in real estate” or “qualifying real estate interests” and at least 80% of our assets in qualifying real estate interests and “real estate related assets.” In satisfying this 55% requirement, we treat MBS issued with respect to an underlying pool of mortgage loans in which we hold all of the certificates issued by the pool (“whole pool” securities) as qualifying real estate interests. We currently treat MBS in which we hold less than all of the certificates issued by the pool (“partial pool” securities) as real estate related assets and not qualifying real estate interests.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There can be no assurance that the laws and regulations governing the 1940 Act status of REITs, including guidance and interpretations from the SEC staff regarding the Section 3(c)(5)(C) exclusion, will not change in a manner that adversely affects our operations or business. For example, such changes might require us to employ less leverage in financing certain of our mortgage related investments and we may be precluded from acquiring certain types of higher yielding securities. The net effect of these factors would be to lower our net interest income. If we fail to qualify for an exclusion from registration as an investment company or an exclusion from the definition of an investment company, we may be required to register as an investment company under the 1940 Act and our ability to use leverage would be substantially reduced and we would be unable to conduct our business as planned. Our business will be materially and adversely affected if we fail to qualify for an exclusion from regulation under the 1940 Act.</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Restrictions on Ownership of our Capital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To assist us in complying with the REIT limitations on the concentration of ownership imposed by the Code, among other purposes, our charter prohibits, with certain exceptions, any stockholder from beneficially or constructively owning, applying certain attribution rules under the Code (including deemed ownership of shares underlying warrants or options to purchase stock), more than 9.8% by value or number, whichever is more restrictive, of our outstanding shares of common stock and capital stock in the aggregate. Our board of directors may, in its sole discretion, waive the 9.8% ownership limit in certain circumstances. We have in the past granted waivers from the 9.8% charter restriction for holders in limited circumstances where, based on representations, covenants and agreements received from such holders, we determined that such waivers would not jeopardize our status as a REIT.</w: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Policy With Respect to Dividends and Distributions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As required in order to maintain our qualification as a REIT for U.S. federal income tax purposes, we intend to distribute with respect to each year at least 90% of our REIT taxable income, determined without regard to the deduction for dividends paid and excluding any net capital gain. To satisfy the requirements to qualify as a REIT and generally not be subject to U.S. federal income and excise tax, we intend to continue to make regular cash distributions of all or substantially all of our taxable income to holders of our capital stock out of assets legally available for such purposes. We are not restricted from using the proceeds of equity or debt offerings to pay dividends. The timing and amount of any dividends we pay to holders of our capital stock will be at the discretion of our board of directors and will depend upon various factors, including our earnings and financial condition, maintenance of REIT status, applicable provisions of the MGCL and such other factors as our board of directors deems relevant.</w:t>
      </w:r>
    </w:p>
    <w:p>
      <w:pPr>
        <w:pStyle w:val="TextBody"/>
        <w:bidi w:val="0"/>
        <w:spacing w:before="0" w:after="20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 xml:space="preserve">Our principal office is located at 3001 Ocean Drive, Suite 201, Vero Beach, Florida 32963. Our phone number is (772) 617- 4340. Our website is </w:t>
      </w:r>
      <w:r>
        <w:rPr>
          <w:rFonts w:ascii="Times New Roman;serif" w:hAnsi="Times New Roman;serif"/>
          <w:b w:val="false"/>
          <w:color w:val="000000"/>
          <w:sz w:val="20"/>
          <w:u w:val="single"/>
        </w:rPr>
        <w:t>www.armourreit.com</w:t>
      </w:r>
      <w:r>
        <w:rPr>
          <w:rFonts w:ascii="Times New Roman;serif" w:hAnsi="Times New Roman;serif"/>
          <w:b w:val="false"/>
          <w:color w:val="000000"/>
          <w:sz w:val="20"/>
        </w:rPr>
        <w:t xml:space="preserve">. Our investor relations website can be found under the “Investor Relations” tab at </w:t>
      </w:r>
      <w:r>
        <w:rPr>
          <w:rFonts w:ascii="Times New Roman;serif" w:hAnsi="Times New Roman;serif"/>
          <w:b w:val="false"/>
          <w:color w:val="000000"/>
          <w:sz w:val="20"/>
          <w:u w:val="single"/>
        </w:rPr>
        <w:t>www.armourreit.com</w:t>
      </w:r>
      <w:r>
        <w:rPr>
          <w:rFonts w:ascii="Times New Roman;serif" w:hAnsi="Times New Roman;serif"/>
          <w:b w:val="false"/>
          <w:color w:val="000000"/>
          <w:sz w:val="20"/>
        </w:rPr>
        <w:t>. We make available on our website under “SEC Filings,” free of charge, our Annual Reports on Form 10-K, Quarterly Reports on Form 10-Q, Current Reports on Form 8-K and amendments to those reports as soon as reasonably practicable after we electronically file or furnish such materials to the SEC. We also make available on our website our corporate governance documents. Information provided on our website is not part of this prospectus and not incorporated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Investing in our securities involves risks. You should carefully consider the risks described under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most recent Annual Report on Form 10-K and any subsequent Quarterly Reports on Form 10-Q (which descriptions are incorporated by reference herein), as well as the other information contained or incorporated by reference in this prospectus or in any prospectus supplement hereto before making a decision to invest in our securities. See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Incorporation of Certain Documents by Reference</w:t>
      </w:r>
      <w:r>
        <w:rPr>
          <w:color w:val="000000"/>
        </w:rPr>
        <w:t xml:space="preserve">” </w:t>
      </w:r>
      <w:r>
        <w:rPr>
          <w:rFonts w:ascii="Times New Roman;serif" w:hAnsi="Times New Roman;serif"/>
          <w:b w:val="false"/>
          <w:color w:val="000000"/>
          <w:sz w:val="20"/>
        </w:rPr>
        <w:t>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Unless otherwise indicated in an accompanying prospectus supplement, we intend to use all the net proceeds from the sale of the securities offered by this prospectus and the related accompanying prospectus supplement to acquire additional MBS and other mortgage-related assets in accordance with our objectives and strategies described in our most recent Annual Report on Form 10-K and other filings with the SEC, subject to our investment strategies and REIT qualification requirements. Our management team, through ACM, will make determinations as to the percentage of our assets that will be invested in each of our target assets on our behalf. Its decisions will depend on prevailing market conditions and may change over time in response to opportunities available in different interest rate, economic and credit environments. Until appropriate assets can be identified, ACM may invest the net proceeds from offerings in unsecured notes and bonds issued by GSEs, U.S. Treasuries and money market instruments, including funds that are consistent with our qualification as a REIT. These investments are expected to provide a lower net return than we will seek to achieve from our target assets. We may also use a portion of the net proceeds for general corporate purposes. Prior to the time we have fully used the net proceeds of offerings to acquire our target assets, we may fund our monthly dividends out of such net proceeds.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200"/>
        <w:jc w:val="left"/>
        <w:rPr>
          <w:color w:val="000000"/>
        </w:rPr>
      </w:pPr>
      <w:r>
        <w:rPr>
          <w:color w:val="000000"/>
        </w:rPr>
        <w:t>    </w:t>
      </w:r>
      <w:r>
        <w:rPr>
          <w:rFonts w:ascii="Times New Roman;serif" w:hAnsi="Times New Roman;serif"/>
          <w:b w:val="false"/>
          <w:i/>
          <w:color w:val="000000"/>
          <w:sz w:val="20"/>
        </w:rPr>
        <w:t>The following is a summary of the rights and preferences of our capital stock. While we believe that the following description covers the material terms of our capital stock, the description may not contain all of the information that is important to you. We encourage you to read carefully this entire prospectus, any future related prospectus supplement and articles supplementary relating to the securities, as applicable, our amended and restated articles of incorporation, (the “charter”) and amended and restated bylaws (the “bylaws”) and the other documents we refer to for a more complete understanding of our capital stock. Copies of our charter and bylaws are incorporated by reference as exhibits to the registration statement of which this prospectus is a part. See “Where You Can Find More Information” and “Incorporation of Certain Documents by Reference.”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Our charter provides that we may issue up to 90,000,000 shares of common stock, $0.001 par value per share, and 50,000,000 shares of preferred stock, $0.001 par value per share. Our charter authorizes our board of directors, with the approval of a majority of the entire board of directors, to amend our charter to increase or decrease the aggregate number of authorized shares of stock or the number of shares of stock of any class or series without stockholder approval. As of March 28, 2024, 48,749,975 shares of common stock and 6,846,978 shares of Series C Preferred Stock were issued and outstanding. Under Maryland law, stockholders are not generally liable for our debts or obligations.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Shares of Common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All of the outstanding shares of common stock have been duly authorized, validly issued, fully paid and non-assessable. Subject to the preferential rights of any other class or series of shares of stock and to the provisions of our charter regarding the restrictions on ownership and transfer of shares of stock, holders of shares of common stock are entitled to receive dividends on such shares of common stock out of assets legally available for such purposes if, as and when authorized by our board of directors and declared by us, and the holders of shares of our common stock are entitled to share ratably in our assets legally available for distribution to our stockholders in the event of our liquidation, dissolution or winding up after payment of or adequate provision for all our known debts and liabilities and outstanding preferential capital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shares of common stock do not represent any interest in or obligation of ACM. Further, the shares are not a deposit or other obligation of any bank, are not an insurance policy of any insurance company and are not insured or guaranteed by the Federal Deposit Insurance Company, any other governmental agency or any insurance company. The shares of common stock do not benefit from any insurance guaranty association coverage or any similar protection.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Subject to the provisions of our charter regarding the restrictions on transfer of shares of stock and except as may otherwise be specified in the terms of any class or series of shares of common stock, each outstanding share of common stock entitles the holder to one vote on all matters submitted to a vote of stockholders, including the election of directors, and, except as provided with respect to any other class or series of shares of stock, the holders of such shares of common stock will possess exclusive voting power. There is no cumulative voting in the election of our board of directors, which means that the holders of a majority of the outstanding shares of common stock can elect all of the directors then standing for election, and the holders of the remaining shares will not be able to elect any directors.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Holders of shares of common stock have no preference, conversion, exchange, sinking fund, redemption, repurchase, or appraisal rights, and have no preemptive rights to subscribe for any of our securities. Subject to the provisions of our charter regarding the restrictions on ownership and transfer of shares of stock, shares of common stock have equal dividend, liquidation and other rights. The shares of common stock rank junior to our existing and future preferred stock and indebtedness.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Under the MGCL, a Maryland corporation generally cannot dissolve, amend its charter, merge with another entity, transfer all or substantially all of its assets, engage in a share exchange or engage in similar transactions outside the ordinary course of business unless approved by the affirmative vote of stockholders holding at least two-thirds of the votes entitled to be cast on the matter unless a lesser percentage (but not less than a majority of all of the votes entitled to be cast on the matter) is set forth in the corporation’s charter. Our charter provides that these matters (other than certain amendments to the provisions of our charter related to the removal of directors, the restrictions on ownership and transfer of shares of our stock and the requirement of a two-thirds vote for amendment to these provisions) may be approved by a majority of all of the votes entitled to be cast on the matter. Our by-laws provide that directors shall be elected by a majority of all votes entitled to be cast on the matter; provided, however, that directors shall be elected by a plurality of all the votes entitled to be cast on the </w:t>
      </w:r>
    </w:p>
    <w:p>
      <w:pPr>
        <w:pStyle w:val="TextBody"/>
        <w:bidi w:val="0"/>
        <w:spacing w:before="0" w:after="20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matter for which we determine that the number of nominees exceeds the number of directors to be elected. A majority of the votes entitled to be cast on any other matter which may properly come before the stockholders shall be sufficient to approve it.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Shares of Preferred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following description sets forth general terms and provisions of the preferred stock to which any prospectus supplement may relate. The statements below describing the preferred stock are in all respects subject to and qualified in their entirety by reference to our charter, bylaws, and articles supplementary to our charter, designating terms of a series of preferred stock. The outstanding shares of our preferred stock have been validly issued, fully paid, and non-assessable. Because our board of directors has the power to establish the preferences, powers and rights of each series of preferred stock, our board of directors may afford the holders of any series of preferred stock preferences, powers and rights, voting or otherwise, senior to the rights of our common stockholders.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rights, preferences, privileges and restrictions of our outstanding series of preferred stock are, and of each additional series of preferred stock, when and if issued in the future will be, fixed by the articles supplementary to our charter relating to the series. A prospectus supplement, relating to each series, will specify the terms of the preferred stock, as follows: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title and stated value of the preferred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voting rights of the preferred stock, if applicable;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preemptive rights of the preferred stock, if applicable;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restrictions on alienability of the preferred stock, if applicable;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number of shares offered, the liquidation preference per share and the offering price of the shares;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liability to further calls or assessment of the preferred stock, if applicable;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dividend rate(s), period(s) and payment date(s) or method(s) of calculation applicable to the preferred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date from which dividends on the preferred stock will accumulate, if applicable;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procedures for any auction and remarketing for the preferred stock, if any;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provision for a sinking fund, if any, for the preferred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provision for and any restriction on redemption, if applicable, of the preferred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provision for and any restriction on repurchase, if applicable, of the preferred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listing of the preferred stock on any securities exchange;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terms and provisions, if any, upon which the preferred stock will be convertible into common stock, including the conversion price (or manner of calculation) and conversion period;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terms under which the rights of the preferred stock may be modified, if applicable;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other specific terms, preferences, rights, limitations or restrictions of the preferred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discussion of certain material U.S. federal income tax considerations applicable to the preferred stock;</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relative ranking and preferences of the preferred stock as to dividend rights and rights upon the liquidation, dissolution or winding-up of our affairs;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limitation on issuance of any series of preferred stock ranking senior to or on a parity with the series of preferred stock as to dividend rights and rights upon the liquidation, dissolution or winding-up of our affairs;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limitations on direct or beneficial ownership and restrictions on transfer of the preferred stock, in each case as may be appropriate to preserve our qualification as a REIT.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transfer agent and registrar for our common stock and preferred stock is Continental Stock Transfer &amp; Trust Company.</w:t>
      </w:r>
    </w:p>
    <w:p>
      <w:pPr>
        <w:pStyle w:val="TextBody"/>
        <w:bidi w:val="0"/>
        <w:spacing w:before="0" w:after="20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issue warrants for the purchase of common stock, preferred stock or debt securities in one or more series, from time to time. We may issue warrants independently or together with common stock, preferred stock and/or debt securities, and the warrants may be attached to or separate from those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warrants issued, if any, will be evidenced by warrant certificates issued under one or more warrant agreements, which are contracts between us and an agent for the holders of the warrants. The prospectus supplements relating to any warrants being offered pursuant to this prospectus and any applicable prospectus supplements will contain the specific terms of the warrants, as well as the complete warrant agreements and warrant certificates that contain the terms of the warrants. Forms of warrant agreements and warrant certificates containing the terms of the warrants being offered will be incorporated by reference into the registration statement of which this prospectus is a part from reports we file with the SEC.</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Power to Reclassify Our Unissued Shares of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Our charter authorizes our board of directors to classify and reclassify any unissued shares of common or preferred stock into other classes or series of shares of stock. Prior to issuance of shares of each class or series, our board of directors is required by Maryland law and by our charter to set, subject to our charter restrictions on transfer of shares of stock, the terms, preferences, conversion or other rights, voting powers, restrictions, limitations as to dividends or other distributions, qualifications and terms or conditions of redemption for each class or series. Therefore, among other things, our board of directors could authorize the issuance of shares of common or preferred stock with terms and conditions that could have the effect of delaying, deferring or preventing a change in control or other transaction that might involve a premium price for shares of our common stock or otherwise be in the best interest of our stockholders.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Power to Increase or Decrease Authorized Shares of Stock and Issue Additional Shares of Common and Preferred Stock</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believe that the power of our board of directors to amend our charter to increase or decrease the number of authorized shares of stock, to issue additional authorized but unissued shares of common or preferred stock and to classify or reclassify unissued shares of common or preferred stock and thereafter to issue such classified or reclassified shares of stock provides us with increased flexibility in structuring possible future financings and acquisitions and in meeting other needs that might arise. The additional classes or series, as well as the shares of common stock or preferred stock, will be available for issuance without further action by our stockholders, unless such action is required by applicable law or the rules of any stock exchange or automated quotation system on which our securities may be listed or traded. Although our board of directors does not intend to do so, the board of directors could authorize us to issue a class or series that could, depending upon the terms of the particular class or series, delay, defer, or prevent a change in control or other transaction that might involve a premium price for shares of our common stock or otherwise be in the best interests of our stockholders.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 xml:space="preserve">Restrictions on Transfer and Ownership of our Capital Stock </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order for us to qualify as a REIT under the Code, shares of our stock must be owned by 100 or more persons during at least 335 days of a taxable year of 12 months (other than the first year for which an election to be a REIT has been made) or during a proportionate part of a shorter taxable year. Also, after the first year for which an election to be a REIT has been made, not more than 50% of the value of the outstanding shares of stock may be owned, directly, indirectly, or constructively, by five or fewer individuals (as defined in the Code to include certain entities) during the last half of a taxable year (which we have referred to as the 5/50 test).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charter contains restrictions limiting the ownership and transfer of shares of our common stock and other outstanding shares of stock, warrants, and options. The relevant sections of our charter provide that, subject to the exceptions described below, no person or entity may own, or be deemed to own, by virtue of the applicable constructive ownership provisions of the Code, more than 9.8% by value or number, whichever is more restrictive, of our outstanding shares of common stock (the common share ownership limit), or 9.8% by value or number of shares, whichever is more restrictive, of our outstanding capital stock (the aggregate share ownership limit). The common share ownership limit and the aggregate share ownership limit are collectively referred to herein as the “ownership limits.” For the purposes of determining the percentage ownership of our capital stock by any person, shares of capital stock that may be acquired upon conversion, exchange or exercise of any of our securities directly or constructively held by such person, but not capital stock issuable with respect to the conversion, exchange or exercise of our securities held by other persons, shall be deemed to be outstanding prior to conversion, exchange or exercise. Therefore, our outstanding series of cumulative redeemable preferred </w:t>
      </w:r>
    </w:p>
    <w:p>
      <w:pPr>
        <w:pStyle w:val="TextBody"/>
        <w:bidi w:val="0"/>
        <w:spacing w:before="0" w:after="20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stock owned directly or indirectly by each holder (but not such preferred stock held by the other holders) will be counted as common stock (on an as-converted basis) for purposes of the 9.8% ownership limitation applicable to our common stock with respect to such holder. All outstanding series of cumulative redeemable preferred stock will be counted as capital stock for purposes of the 9.8% ownership limitation applicable to our capital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person or entity that becomes subject to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shares of our stock, or is referred to as a “purported record transferee” if, had the violative transfer been effective, the person or entity would have been solely a record owner of shares of our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constructive ownership rules under the Code are complex and may cause shares of stock owned actually or constructively by a group of related individuals and/or entities to be owned constructively by one individual or entity. They also cause shares underlying warrants or options to purchase our stock if any, to be treated as if they were owned by the holder or beneficial owner of such warrants or options. As a result, the acquisition of less than 9.8% by value or number, whichever is more restrictive, of our outstanding shares of common stock (or the acquisition of an interest in an entity that owns, actually or constructively, shares of our stock) by an individual or entity, could, nevertheless, cause that individual or entity, or another individual or entity, to own constructively in excess of 9.8% by value or number, whichever is more restrictive, of our outstanding shares of common stock, and thereby subject the shares of common stock, total shares of stock or warrants to the applicable ownership limit.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may, in its sole discretion, exempt a person from the above-referenced ownership limits. However, the board of directors may not exempt any person whose ownership of our outstanding stock would result in our being “closely held” within the meaning of Section 856-(h) of the Code or otherwise would result in our failing to qualify as a REIT. In order to be considered by the board of directors for exemption, a person also must not own, directly or indirectly, an interest in a tenant (or a tenant of any entity which we own or control) that would cause us to own, directly or indirectly, more than a 9.9% interest in the tenant. The person seeking an exemption must represent to the satisfaction of our board of directors that such person will not violate these two restrictions. The person also must agree that any violation or attempted violation of these restrictions will result in the automatic transfer of the shares of stock causing the violation to a trust for the benefit of a charitable beneficiary. As a condition of its waiver, our board of directors may require an opinion of counsel or Internal Revenue Service ruling satisfactory to the board of directors with respect to our qualification as a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have been holders of our capital stock whose ownership exceeds the ownership limits set forth in our charter. We have granted waivers from the ownership limits for such holders where, based on representations, covenants and agreements received from such holders, we determined that such waivers would not jeopardize our status as a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an exemption from the ownership limits or at any other time, our board of directors may from time to time increase or decrease the ownership limits for one or more persons and entities; provided, however, that any decrease may be made only prospectively as to existing holders; and provided further that the ownership limit may not be increased if, after giving effect to such increase, five or fewer individuals could own or constructively own in the aggregate, more than 49.9% in value of the shares then outstanding. Prior to the modification of the ownership limit, our board of directors may require such opinions of counsel, affidavits, undertakings or agreements as the board of directors may deem necessary or advisable in order to determine or ensure our qualification as a REIT. A reduced ownership limit will not apply to any person or entity whose percentage ownership in shares of our common stock or total shares of stock, as applicable, is in excess of such decreased ownership limit until such time as such person’s or entity’s percentage of shares of our common stock or total shares of stock, as applicable, equals or falls below the decreased ownership limit, but any further acquisition of shares of our common stock or total shares of stock, as applicable, in excess of such percentage ownership of shares of our common stock or total shares of stock will be in violation of such ownership limit. Additionally, the new ownership limit may not allow five or fewer individuals to own more than 49.9% in value of our outstanding shares of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provisions further prohibit: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person from beneficially or constructively owning, applying certain attribution rules of the Code,     shares of our stock, which includes ownership of warrants, if any, that would result in our being “closely held” under Section 856(h) of the Code or otherwise cause us to fail to qualify as a REIT;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person from transferring shares of our stock if such transfer would result in shares of our stock being owned by fewer than 100 persons (determined without reference to any rules of attribution).</w:t>
      </w:r>
    </w:p>
    <w:p>
      <w:pPr>
        <w:pStyle w:val="TextBody"/>
        <w:bidi w:val="0"/>
        <w:spacing w:before="0" w:after="20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person who acquires or attempts or intends to acquire beneficial or constructive ownership of shares of our stock that will or may violate any of the foregoing restrictions on transferability and ownership will be required to give written notice immediately of such event to us or, in the case of a proposed or attempted transaction, at least 15 days prior written notice to us, and provide us with such other information as we may request in order to determine the effect of such transfer on our qualification as a REIT. The foregoing provisions on transferability and ownership will not apply if our board of directors determines that it is no longer in our best interests to attempt to qualify, or to continue to qualify, as a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charter, if any transfer of shares of our stock would result in shares of our stock being owned by fewer than 100 persons, such transfer will be null and void and the intended transferee will acquire no rights in such shares. In addition, if any purported transfer of shares of our stock or any other event would otherwise result in any person violating the ownership limits or such other limit established by our board of directors or in our being “closely held” under Section 856(h) of the Code or otherwise failing to qualify as a REIT, then that number of shares (rounded up to the nearest whole share) that would cause such person to violate such restrictions will be automatically transferred to, and held by, a trust for the exclusive benefit of one or more charitable organizations selected by us and the intended transferee will acquire no rights in such shares. The automatic transfer will be effective as of the close of business on the business day prior to the date of the purported transfer or other event that results in a transfer to the trust. Any dividend or other distribution paid to the purported record transferee, prior to our discovery that the shares had been automatically transferred to a trust as described above, must be repaid to the trustee upon demand for distribution to the beneficiary by the trust. If the transfer to the trust as described above is not automatically effective, for any reason, to prevent violation of the applicable ownership limit or our being “closely held” under Section 856 (h) of the Code or otherwise failing to qualify as a REIT, then our charter provides that the transfer of the shares will be null and void and the intended transferee will acquire no rights in such shares.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Shares of stock transferred to the trustee are deemed offered for sale to us, or our designee, at a price per share equal to the lesser of (1) the price paid by the purported record transferee for the shares (or, if the event that resulted in the transfer to the trust did not involve a purchase of such shares of stock at market price, the last reported sales price reported on the NYSE (or other applicable exchange) on the day of the event which resulted in the transfer of such shares of stock to the trust) and (2) the market price on the date we or our designee, accept such offer. We have the right to accept such offer until the trustee has sold the shares of stock held in the trust pursuant to the clauses discussed below. Upon a sale to us, the interest of the charitable beneficiary in the shares sold terminates, the trustee must distribute the net proceeds of the sale to the purported record transferee and any dividends or other distributions held by the trustee with respect to such shares of stock will be paid to the charitable beneficiary.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do not buy the shares, the trustee must, within 20 days of receiving notice from us of the transfer of shares to the trust, sell the shares to a person or entity designated by the trustee who could own the shares without violating the ownership limits or such other limit as established by our board of directors. After that, the trustee must distribute to the purported record transferee an amount equal to the lesser of (1) the price paid by the purported record transferee for the shares (or, if the event which resulted in the transfer to the trust did not involve a purchase of such shares at market price, the last reported sales price reported on the NYSE (or other applicable exchange) on the day of the event which resulted in the transfer of such shares of stock to the trust) and (2) the sales proceeds (net of commissions and other expenses of the sale) received by the trust for the shares. Any net sales proceeds in excess of the amount payable to the purported record transferee will be immediately paid to the charitable beneficiary, together with any dividends or other distributions thereon. In addition, if prior to discovery by us that shares of stock have been transferred to a trust, such shares of stock are sold by a purported record transferee, then such shares will be deemed to have been sold on behalf of the trust and to the extent that the purported record transferee received an amount for or in respect of such shares that exceeds the amount that such purported record transferee was entitled to receive, such excess amount must be paid to the trustee upon demand. The purported beneficial transferee or purported record transferee shall have no rights in the shares held by the trustee.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trustee will be designated by us and will be unaffiliated with us and with any purported record transferee or purported beneficial transferee. Prior to the sale of any shares by the trust, the trustee will receive, in trust for the beneficiary, all dividends and other distributions paid by us with respect to the shares held in trust and may also exercise all voting rights with respect to the shares held in trust. These rights will be exercised for the exclusive benefit of the charitable beneficiary. Any dividend or other distribution paid prior to our discovery that shares of stock have been transferred to the trust will be paid by the recipient to the trustee upon demand. Any dividend or other distribution authorized but unpaid will be paid when due to the trustee.</w:t>
      </w:r>
    </w:p>
    <w:p>
      <w:pPr>
        <w:pStyle w:val="TextBody"/>
        <w:bidi w:val="0"/>
        <w:spacing w:before="0" w:after="200"/>
        <w:jc w:val="left"/>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Maryland law, effective as of the date that the shares have been transferred to the trust, the trustee will have the authority, at the trustee’s sole discretion: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to rescind as void any vote cast by a purported record transferee prior to our discovery that the shares have been transferred to the trust;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to recast the vote in accordance with the desires of the trustee acting for the benefit of the beneficiary of the trust.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if we have already taken irreversible action, then the trustee may not rescind and recast the vote. If our board of directors determines in good faith that a proposed transfer would violate the restrictions on ownership and transfer of shares of our stock set forth in the charter, the board of directors will take such action as it deems advisable to refuse to give effect to or to prevent such transfer, including, but not limited to, causing us to redeem the shares of stock, refusing to give effect to the transfer on our books or instituting proceedings to enjoin the transfer.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Every owner of more than 5% (or such lower percentage as required by the Code or the regulations promulgated thereunder) of our stock, within 30 days after the end of each taxable year, is required to give us written notice, stating the name and address of such owner, the number of shares of our stock which he, she or it beneficially owns and a description of the manner in which the shares are held. Each such owner shall provide ARMOUR with such additional information as we may request in order to determine the effect, if any, of his, her or its beneficial ownership on our status as a REIT and to ensure compliance with the ownership limits. In addition, each stockholder shall upon demand be required to provide us with such information as we may request in good faith in order to determine our status as a REIT and to comply with the requirements of any taxing authority or governmental authority or to determine such compliance.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ownership limits could delay, defer or prevent a transaction or a change in control that might involve a premium price for the common stock or otherwise be in the best interests of the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DESCRIPTION OF DEPOSITARY SHARES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issue depositary shares, each of which would represent a fractional interest of a share of a particular series of preferred stock. We will deposit shares of preferred stock represented by depositary shares under a separate deposit agreement among the Company, a preferred stock depositary and the holders of the depositary shares. Subject to the terms of the deposit agreement, each owner of a depositary share will possess, in proportion to the fractional interest of a share of preferred stock represented by the depositary share, all the rights and preferences of the preferred stock represented by the depositary shares. Depositary receipts will evidence the depositary shares issued pursuant to the deposit agreement. Immediately after the Company issues and delivers preferred stock to a preferred stock depositary, the preferred stock depositary will issue the depositary receipts.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depositary will distribute all cash dividends on the preferred stock to the record holders of the depositary shares. Holders of depositary shares generally must file proofs, certificates and other information and pay charges and expenses of the depositary in connection with distributions. If a distribution on the preferred stock is other than in cash and it is feasible for the depositary to distribute the property it receives, the depositary will distribute the property to the record holders of the depositary shares. If such a distribution is not feasible, the depositary, with our approval, may sell the property and distribute the net proceeds from the sale to the holders of the depositary shares.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Withdrawal of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Unless we have previously called the underlying preferred stock for redemption or the holder of the depositary shares has converted such shares, a holder of depositary shares may surrender them at the corporate trust office of the depositary in exchange for whole or fractional shares of the underlying preferred stock together with any money or other property represented by the depositary shares. Once a holder has exchanged the depositary shares, the holder may not redeposit the preferred stock and receive depositary shares again. If a depositary receipt presented for exchange into preferred stock represents more shares of preferred stock than the number to be withdrawn, the depositary will deliver a new depositary receipt for the excess number of depositary shares.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Whenever we redeem shares of preferred stock held by a depositary, the depositary will redeem the corresponding amount of depositary shares with funds it receives from us for the preferred stock. The depositary will notify the record holders of the depositary shares to be redeemed not less than 30 days nor more than 60 days before the date fixed for redemption at the holders’ addresses appearing in the depositary’s books. The redemption price per depositary share will be equal to the applicable fraction of the redemption price and any other amounts payable with respect to the preferred stock. If we intend to redeem less than all of the underlying preferred stock, we and the depositary will select the depositary shares to be redeemed on as nearly a pro rata basis as practicable without creating fractional depositary shares or by any other equitable method determined by us that preserves our REIT status.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On the redemption date: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all dividends relating to the shares of preferred stock called for redemption will cease to accrue;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and the depositary will no longer deem the depositary shares called for redemption to be outstanding;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all rights of the holders of the depositary shares called for redemption will cease, except the right to receive any money payable upon the redemption and any money or other property to which the holders of the depositary shares are entitled upon redemption.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Voting of the Preferred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When a depositary receives notice regarding a meeting at which the holders of the underlying preferred stock have the right to vote, it will mail that information to the holders of the depositary shares. Each record holder of depositary shares on the record date may then instruct the depositary to exercise its voting rights for the amount of preferred stock represented by that holder’s depositary shares. The depositary will vote in accordance with these instructions. The depositary will abstain from voting to the extent it does not receive specific instructions from the holders of depositary shares. A depositary will not be responsible for any failure to carry out any instruction to vote, or for the manner or effect of any vote, as long as any action or non-action is in good faith and does not result from negligence or willful misconduct of the depositary.</w:t>
      </w:r>
    </w:p>
    <w:p>
      <w:pPr>
        <w:pStyle w:val="TextBody"/>
        <w:bidi w:val="0"/>
        <w:spacing w:before="0" w:after="20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Liquidation Preference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the event of our liquidation, dissolution or winding up, a holder of depositary shares will receive the fraction of the liquidation preference accorded each share of underlying preferred stock represented by the depositary share, in the event such underlying preferred stock is entitled to any such liquidation preference.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Conversion of Preferred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Depositary shares will not themselves be convertible into common stock or any other securities or property of the Company. However, if the underlying preferred stock is convertible, holders of depositary shares may surrender them to the depositary with written instructions to convert the preferred stock represented by their depositary shares into whole shares of common stock, other shares of our preferred stock or other shares of stock, as applicable. Upon receipt of these instructions and any amounts payable in connection with a conversion, we will convert the preferred stock using the same procedures as those provided for delivery of preferred stock. If a holder of depositary shares converts only part of its depositary shares, the depositary will issue a new depositary receipt for any depositary shares not converted. We will not issue fractional shares of common stock upon conversion. If a conversion will result in the issuance of a fractional share, we will pay an amount in cash equal to the value of the fractional interest based upon the closing price of the common stock on the last business day prior to the conversion.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Amendment and Termination of a Deposit Agreement</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and the depositary may amend any form of depositary receipt evidencing depositary shares and any provision of a deposit agreement. However, unless the existing holders of at least two-thirds of the applicable depositary shares then outstanding have approved the amendment, we and the depositary may not make any amendment that: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would materially and adversely alter the rights of the holders of depositary shares;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would be materially and adversely inconsistent with the rights granted to the holders of the underlying preferred stock.</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Subject to exceptions in the deposit agreement and except in order to comply with applicable law, no amendment may impair the right of any holders of depositary shares to surrender their depositary shares with instructions to deliver the underlying preferred stock and all money and other property represented by the depositary shares. Every holder of outstanding depositary shares at the time any amendment becomes effective who continues to hold the depositary shares will be deemed to consent and agree to the amendment and to be bound by the amended deposit agreement.</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terminate a deposit agreement upon not less than 30 days prior written notice to the depositary if: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termination is necessary to preserve our REIT status;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majority of each series of preferred stock affected by the termination consents to the termination.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addition, a deposit agreement will automatically terminate if: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we have redeemed all underlying preferred stock subject to the agreement;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final distribution of the underlying preferred stock in connection with any liquidation, dissolution or winding up has occurred, and the depositary has distributed the distribution to the holders of the depositary shares;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each share of the underlying preferred stock has been converted into other capital stock of the Company not represented by depositary shares.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Expenses of a Preferred Stock Depositary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will pay all transfer and other taxes and governmental charges and expenses arising in connection with a deposit agreement. In addition, we will generally pay the fees and expenses of a depositary in connection with the performance of its duties. However, holders of depositary shares will pay the fees and expenses of a depositary for any duties requested by the holders that the deposit agreement does not expressly require the depositary to perform.</w:t>
      </w:r>
    </w:p>
    <w:p>
      <w:pPr>
        <w:pStyle w:val="TextBody"/>
        <w:bidi w:val="0"/>
        <w:spacing w:before="0" w:after="20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Resignation and Removal of Depositary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 depositary may resign at any time by delivering to us notice of its election to resign. We may also remove a depositary at any time. Any resignation or removal will take effect upon the appointment of a successor depositary. We will appoint a successor depositary within 60 days after delivery of the notice of resignation or removal. The successor must be a bank or trust company with its principal office in the United States and have a combined capital and surplus of at least $50 million.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Miscellaneous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depositary will forward to the holders of depositary shares any reports and communications from us with respect to the underlying preferred stock. Neither the depositary nor the Company will be liable if any law or any circumstances beyond their control prevent or delay them from performing their obligations under a deposit agreement. The obligations of the Company and a depositary under a deposit agreement will be limited to performing their duties in good faith and without negligence in regard to voting of preferred stock, gross negligence or willful misconduct. Neither the Company nor a depositary must prosecute or defend any legal proceeding with respect to any depositary shares or the underlying preferred stock unless they are furnished with satisfactory indemnity.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Company and any depositary may rely on the written advice of counsel or accountants, or information provided by persons presenting shares of preferred stock for deposit, holders of depositary shares or other persons they believe in good faith to be competent, and on documents they believe in good faith to be genuine and signed by a proper party. In the event a depositary receives conflicting claims, requests or instructions from us and any holders of depositary shares, the depositary will be entitled to act on the claims, requests or instructions received from us.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Depositary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prospectus supplement will identify the depositary for the depositary shares.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Listing of the Depositary Shares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applicable prospectus supplement will specify whether or not the depositary shares will be listed on any securities exchange.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following description of the terms of our senior debt securities and subordinated debt securities, together, referred to as the debt securities, sets forth certain general terms and provisions of the debt securities to which any prospectus supplement may relate. Unless otherwise noted, the general terms and provisions of our debt securities discussed below apply to both our senior debt securities and our subordinated debt securities. Our debt securities may be issued from time to time in one or more series. The particular terms of any series of debt securities and the extent to which the general provisions may apply to a particular series of debt securities will be described in the prospectus supplement relating to that series.</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The senior debt securities will be issued under an indenture between us and a senior indenture trustee, referred to as the senior indenture. The subordinated debt securities will be issued under an indenture between us and a subordinated indenture trustee, referred to as the subordinated indenture and, together with the senior indenture, the indentures. The senior indenture trustee and the subordinated indenture trustee are both referred to, individually, as the trustee. The senior debt securities will constitute our unsecured and unsubordinated obligations and the subordinated debt securities will constitute our unsecured and subordinated obligations. A detailed description of the subordination provisions is provided below under the caption “</w:t>
      </w:r>
      <w:r>
        <w:rPr>
          <w:rFonts w:ascii="Times New Roman;serif" w:hAnsi="Times New Roman;serif"/>
          <w:b w:val="false"/>
          <w:i/>
          <w:color w:val="000000"/>
          <w:sz w:val="20"/>
        </w:rPr>
        <w:t>- Ranking and Subordination - Subordination</w:t>
      </w:r>
      <w:r>
        <w:rPr>
          <w:rFonts w:ascii="Times New Roman;serif" w:hAnsi="Times New Roman;serif"/>
          <w:b w:val="false"/>
          <w:color w:val="000000"/>
          <w:sz w:val="20"/>
        </w:rPr>
        <w:t>.” In general, however, if we declare bankruptcy, holders of the senior debt securities will be paid in full before the holders of subordinated debt securities will receive anything.</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statements set forth below are brief summaries of certain provisions contained in the indentures, which summaries do not purport to be complete and are qualified in their entirety by reference to the forms of indentures, which are filed as exhibits to the registration statement of which this prospectus forms a part. Terms used herein that are otherwise not defined shall have the meanings given to them in the indentures. Such defined terms shall be incorporated herein by reference.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indentures will not limit the amount of debt securities that may be issued under the applicable indenture, and debt securities may be issued under the applicable indenture up to the aggregate principal amount that may be authorized from time to time by us. Any such limit applicable to a particular series will be specified in the prospectus supplement relating to that series.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prospectus supplement relating to any series of debt securities in respect of which this prospectus is being delivered will contain the following terms, among others, as applicable for each such series of debt securities: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designation and issue date of the debt securities;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date or dates on which the principal amount of the debt securities is payable;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rate or rates (or manner of calculation thereof), if any, per annum at which the debt securities will bear interest, if any, the date or dates from which interest will accrue and the interest payment date or dates for the debt securities;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limit upon the aggregate principal amount of the debt securities which may be authenticated and delivered under the applicable indenture;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period or periods within which, the redemption price or prices or the repayment price or prices, as the case may be, at which, and the terms and conditions upon which, the debt securities may be redeemed at the issuing company’s option or the option of the holder of such debt securities;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obligation, if any, of the Company to purchase the debt securities pursuant to any sinking fund or analogous provisions or at the option of a holder of such debt securities and the period or periods within which, the price or prices at which and the terms and conditions upon which such debt securities will be purchased, in whole or in part, pursuant to such obligation;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other than denominations of $1,000 and any integral multiple thereof, the denominations in which the debt securities will be issuable;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provisions, if any, with regard to the conversion or exchange of the debt securities, at the option of the holders of such debt securities or the Company, as the case may be, for or into new securities of a different series, common stock or other securities;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other than U.S. dollars, the currency or currencies or units based on or related to currencies in which the debt securities will be denominated and in which payments of principal of, and any premium and interest on, such debt securities shall or may be payable;</w:t>
      </w:r>
    </w:p>
    <w:p>
      <w:pPr>
        <w:pStyle w:val="TextBody"/>
        <w:bidi w:val="0"/>
        <w:spacing w:before="0" w:after="20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the principal of (and premium, if any) or interest, if any, on the debt securities are to be payable, at the election of the Company or a holder of such debt securities, in a currency (including a composite currency) other than that in which such debt securities are stated to be payable, the period or periods within which, and the terms and conditions upon which, such election may be made;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the amount of payments of principal of (and premium, if any) or interest, if any, on the debt securities may be determined with reference to an index based on a currency (including a composite currency) other than that in which such debt securities are stated to be payable, the manner in which such amounts shall be determined;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provisions, if any, related to the exchange of the debt securities, at the option of the holders of such debt securities, for other securities of the same series of the same aggregate principal amount or of a different authorized series or different authorized denomination or denominations, or both;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portion of the principal amount of the debt securities, if other than the principal amount thereof, which shall be payable upon declaration of acceleration of the maturity thereof as more fully described under the section “- </w:t>
      </w:r>
      <w:r>
        <w:rPr>
          <w:rFonts w:ascii="Times New Roman;serif" w:hAnsi="Times New Roman;serif"/>
          <w:b w:val="false"/>
          <w:i/>
          <w:color w:val="000000"/>
          <w:sz w:val="20"/>
        </w:rPr>
        <w:t>Events of Default, Notice and Waiver</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whether the debt securities will be issued in the form of global securities and, if so, the identity of the depositary with respect to such global securities;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if the debt securities will be guaranteed, the terms and conditions of such guarantees and provisions for the accession of the guarantors to certain obligations under the applicable indenture;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with respect to subordinated debt securities only, the amendment or modification of the subordination provisions in the subordinated indenture with respect to the debt securities;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other specific terms.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issue debt securities of any series at various times and we may reopen any series for further issuances from time to time without notice to existing holders of securities of that series.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Some of the debt securities may be issued as original issue discount debt securities. Original issue discount debt securities bear no interest or bear interest at below-market rates. These are sold at a discount below their stated principal amount. If we issue these securities, the prospectus supplement relating to such series of debt securities will describe any special tax, accounting or other information which we think is important. We encourage you to consult with your own tax and financial advisors on these important matters.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Unless we specify otherwise in the applicable prospectus supplement relating to such series of debt securities, the covenants contained in the indentures will not provide special protection to holders of debt securities if we enter into a highly leveraged transaction, recapitalization or restructuring.</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Unless otherwise set forth in the prospectus supplement relating to such series of debt securities, interest on outstanding debt securities will be paid to holders of record on the date that is 15 days prior to the date such interest is to be paid or, if not a business day, the next preceding business day. Unless otherwise specified in the prospectus supplement, debt securities will be issued in fully registered form only. Unless otherwise specified in the prospectus supplement, the principal amount of the debt securities will be payable at the corporate trust office of the trustee in New York, New York. The debt securities may be presented for transfer or exchange at such office unless otherwise specified in the prospectus supplement, subject to the limitations provided in the applicable indenture, without any service charge, but we may require payment of a sum sufficient to cover any tax or other governmental charges payable in connection therewith.</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Ranking and Subordination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subordinated debt securities and the related guarantees will effectively rank junior in right of payment to any of our or the guarantors’ current and future secured obligations to the extent of the value of the assets securing such obligations. The debt securities and the guarantees will be effectively subordinated to all existing and future liabilities, including indebtedness and trade payables, of our non-guarantor subsidiaries. Unless otherwise set forth in the prospectus supplement relating to such series of debt securities, the indentures will not limit the amount of unsecured indebtedness or other liabilities that can be incurred by our non-guarantor subsidiaries.</w:t>
      </w:r>
    </w:p>
    <w:p>
      <w:pPr>
        <w:pStyle w:val="TextBody"/>
        <w:bidi w:val="0"/>
        <w:spacing w:before="0" w:after="20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Ranking of Debt Securities</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senior debt securities described in this prospectus will be unsecured, senior obligations of the Company and will rank equally with the Company’s other unsecured and unsubordinated obligations. Any guarantees of the senior debt securities will be unsecured and senior obligations of each of the guarantors, and will rank equally with all other unsecured and unsubordinated obligations of such guarantors. The subordinated debt securities will be unsecured, subordinated obligations and any guarantees of the subordinated debt securities will be unsecured and subordinated obligations of each of the guarantors.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Subordination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If issued, the indebtedness evidenced by the subordinated debt securities will be subordinate to the prior payment in full of all our Senior Indebtedness (as defined below).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subordination provisions also apply in the same way to any guarantor with respect to the Senior Indebtedness of such guarantor.</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all of the indebtedness of that person for borrowed money,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all of the indebtedness of that person evidenced by notes, debentures, bonds or other similar instruments sold by that person for money;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all of the lease obligations which are capitalized on the books of that person in accordance with generally accepted accounting principles;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all indebtedness of others of the kinds described in the first two bullet points above and all lease obligations of others of the kind described in the third bullet point above, in each case, that the person, in any manner, assumes or guarantees or that the person in effect guarantees through an agreement to purchase, whether that agreement is contingent or otherwise;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all renewals, extensions or refunds of indebtedness of the kinds described in the first, second or fourth bullet point above and all renewals or extensions of leases of the kinds described in the third or fourth bullet point above; unless, in the case of any particular indebtedness, lease, renewal, extension or refunding, the instrument or lease creating or evidencing it or the assumption or guarantee relating to it expressly provides that such indebtedness, lease, renewal, extension or refunding is not superior in right of payment to the subordinated debt securities. Our senior debt securities, and any unsubordinated guarantee obligations of ours or any guarantor to which we and the guarantors are a party, including the guarantors’ guarantees of our debt securities and other indebtedness for borrowed money, constitute Senior Indebtedness for purposes of the subordinated indenture.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Consolidation, Merger, Conveyance or Transfer on Certain Terms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described in the applicable prospectus supplement relating to such debt securities, we will not consolidate with or merge into any other entity or convey or transfer our properties and assets substantially as an entirety to any entity, unless:</w:t>
      </w:r>
    </w:p>
    <w:p>
      <w:pPr>
        <w:pStyle w:val="TextBody"/>
        <w:bidi w:val="0"/>
        <w:spacing w:before="0" w:after="20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entity formed by such consolidation or into which we are merged or the entity that acquires by conveyance or transfer our properties and assets substantially as an entirety shall be organized and existing under the laws of the United States or any State or the District of Columbia, and will expressly assume, by supplemental indenture, executed and delivered to the trustee, in form reasonably satisfactory to the trustee, the due and punctual payment of the principal of (and premium, if any) and interest on all the debt securities and the performance of every covenant of the applicable indenture (as supplemented from time to time) on our part to be performed or observed;</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immediately after giving effect to such transaction, no Event of Default (as defined below), and no event which, after notice or lapse of time, or both, would become an Event of Default, shall have happened and be continuing;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we have delivered to the trustee an officers’ certificate and an opinion of counsel each stating that such consolidation, merger, conveyance or transfer and such supplemental indenture comply with the requirements set forth in paragraphs (1) and (2) above and that all conditions precedent relating to such transaction have been complied with.</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Upon any consolidation or merger, or any conveyance or transfer of our properties and assets substantially as an entirety as set forth above, the successor person formed by such consolidation or into which we are merged or to which such conveyance or transfer is made shall succeed to, and be substituted for, and may exercise every right and power of ours under the applicable indenture with the same effect as if such successor had been named in the applicable indenture. In the event of any such conveyance or transfer, we, as the predecessor, shall be discharged from all obligations and covenants under the applicable indenture and the debt securities issued under such indenture and may be dissolved, wound up or liquidated at any time thereafter.</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Certain Covenants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Any covenants pertaining to a series of debt securities will be set forth in a prospectus supplement relating to such series of debt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described in the prospectus and any applicable prospectus supplement relating to such series of debt securities, the indentures and the debt securities do not contain any covenants or other provisions designed to afford holders of debt securities protection in the event of a recapitalization or highly leveraged transaction involving us.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Certain Definitions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following are certain of the terms defined in the indentures: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Comparable Treasury Issue” means, with respect to the debt securities, the U.S. Treasury security selected by an Independent Investment Banker as having a maturity comparable to the remaining term, or the Remaining Life, of the debt securities being redeemed that would be utilized, at the time of selection and in accordance with customary financial practice, in pricing new issues of corporate debt securities of comparable maturity to the Remaining Life of such debt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Comparable Treasury Price” means, with respect to any redemption date for the debt securities: (1) the average of two Reference Treasury Dealer Quotations for that redemption date, after excluding the highest and lowest of four such Reference Treasury Dealer Quotations; or (2) if the trustee obtains fewer than four Reference Treasury Dealer Quotations, the average of all quotations obtained by the trustee.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GAAP” means generally accepted accounting principles as such principles are in effect in the United States as of the date of the applicable indenture.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Independent Investment Banker” means one of the Reference Treasury Dealers, to be appointed by us.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Reference Treasury Dealer” means four primary U.S. Government securities dealers to be selected by us.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Reference Treasury Dealer Quotations” means, with respect to each Reference Treasury Dealer and any redemption date, the average, as determined by the trustee, of the bid and asked prices for the Comparable Treasury Issue, expressed in each case as a percentage of its principal amount, quoted in writing to the trustee by such Reference Treasury Dealer at 3:00 p.m., New York City time, on the third business day preceding such redemption date.</w:t>
      </w:r>
    </w:p>
    <w:p>
      <w:pPr>
        <w:pStyle w:val="TextBody"/>
        <w:bidi w:val="0"/>
        <w:spacing w:before="0" w:after="20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Remaining Scheduled Payments” means, with respect to each debt security to be redeemed, the remaining scheduled payments of the principal thereof and interest thereon that would be due after the related redemption date but for such redemption; provided, however, that, if such redemption date is not an interest payment date with respect to such debt security, the amount of the next succeeding scheduled interest payment thereon will be deemed to be reduced by the amount of interest accrued thereon to such redemption date.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Significant Subsidiary” means any Subsidiary which would be a “significant subsidiary” as defined in Rule 1-02 of Regulation S-X, promulgated pursuant to the Securities Act, as in effect on the date of the applicable indenture.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Subsidiary” means, with respect to any person, any corporation more than 50% of the voting stock of which is owned directly or indirectly by such person, and any partnership, association, joint venture or other entity in which such person owns more than 50% of the equity interests or has the power to elect a majority of the board of directors or other governing body.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Treasury Rate” means, with respect to any redemption date for the debt securities: (1) 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U.S. Treasury debt securities adjusted to constant maturity under the caption “Treasury Constant Maturities,” for the maturity corresponding to the Comparable Treasury Issue; provided that if no maturity is within three months before or after the maturity date for the debt securities, yields for the two published maturities most closely corresponding to the Comparable Treasury Issue will be determined and the Treasury Rate will be interpolated or extrapolated from those yields on a straight line basis, rounding to the nearest month; or (2) if that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that redemption date. The Treasury Rate will be calculated on the third business day preceding the redemption date.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Optional Redemption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Unless we specify otherwise in the applicable prospectus supplement, we may redeem any of the debt securities as a whole at any time or in part from time to time, at our option, on at least 15 days, but not more than 45 days, prior notice mailed to the registered address of each holder of the debt securities to be redeemed, at respective redemption prices equal to the greater of: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100% of the principal amount of the debt securities to be redeemed,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sum of the present values of the Remaining Scheduled Payments (as defined below) discounted to the redemption date, on a semi-annual basis, assuming a 360 day year consisting of twelve 30 day months, at the Treasury Rate (as defined below) plus the number, if any, of basis points specified in the applicable prospectus supplement; plus, in each case, accrued interest to the date of redemption that has not been paid, such redemption price referred to as the Redemption Price.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On and after the redemption date, interest will cease to accrue on the debt securities or any portion thereof called for redemption, unless we default in the payment of the Redemption Price, and accrued interest. On or before the redemption date, we shall deposit with a paying agent, or the applicable trustee, money sufficient to pay the Redemption Price of and accrued interest on the debt securities to be redeemed on such date. If we elect to redeem less than all of the debt securities of a series, then the trustee will select the particular debt securities of such series to be redeemed in a manner it deems appropriate and fair.</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Defeasance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otherwise set forth in the prospectus supplement relating to such series of debt securities, each indenture will provide that we, at our option,</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a.will be discharged from any and all obligations in respect of any series of debt securities (except in each case for certain obligations to register the transfer or exchange of debt securities, replace stolen, lost or mutilated debt securities, maintain paying agencies and hold monies for payment in trust), or</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b.need not comply with any restrictive covenants described in a prospectus supplement relating to such series of debt securities, the guarantors will be released from the guarantees and certain Events of Default (other than </w:t>
      </w:r>
    </w:p>
    <w:p>
      <w:pPr>
        <w:pStyle w:val="TextBody"/>
        <w:bidi w:val="0"/>
        <w:spacing w:before="0" w:after="20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those arising out of the failure to pay interest or principal on the debt securities of a particular series and certain events of bankruptcy, insolvency and reorganization) will no longer constitute Events of Default with respect to such series of debt securities, in each case, if we deposit with the trustee, in trust, money or the equivalent in securities of the government which issued the currency in which the debt securities are denominated or government agencies backed by the full faith and credit of such government, or a combination thereof, which through the payment of interest thereon and principal thereof in accordance with their terms will provide money in an amount sufficient to pay all the principal (including any mandatory sinking fund payments) of, and interest on, such series on the dates such payments are due in accordance with the terms of such series.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To exercise any such option, we are required, among other things, to deliver to the trustee an opinion of counsel to the effect that the deposit and related defeasance would not cause the holders of such series to recognize income, gain or loss for federal income tax purposes and, in the case of a discharge pursuant to clause (a) above, accompanied by a ruling to such effect received from or published by the U.S. Internal Revenue Service, or IRS.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addition, we are required to deliver to the trustee an officers’ certificate stating that such deposit was not made by us with the intent of preferring the holders over other creditors of ours or with the intent of defeating, hindering, delaying or defrauding creditors of ours or others.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Events of Default, Notice and Waiver</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otherwise set forth in the prospectus supplement relating to such series of debt securities, each indenture will provide that, if an Event of Default specified therein with respect to any series of debt securities issued thereunder shall have happened and be continuing, either the trustee thereunder or the holders of 33 1/3% in aggregate principal amount of the outstanding debt securities of such series (or 33 1/3% in aggregate principal amount of all outstanding debt securities under such indenture, in the case of certain Events of Default affecting all series of debt securities issued under such indenture) may declare the principal of all the debt securities of such series to be due and payable.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otherwise set forth in the prospectus supplement relating to such series of debt securities, an “Event of Default” in respect of any series will be defined in the indentures as being any one of the following events: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default in payment of principal of, or premium, if any, on, or any sinking or purchase fund or analogous obligation with respect to, debt securities of such series when due at their stated maturity, by declaration or acceleration, when called for redemption or otherwise;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default for 30 days in payment of any interest installment with respect to such series;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default for 90 days after written notice to us by the trustee thereunder or by holders of 33% in aggregate principal amount of the outstanding debt securities of such series in the performance, or breach, of any covenant or warranty pertaining to debt securities of such series;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certain events of bankruptcy, insolvency and reorganization with respect to us or any Significant Subsidiary of ours which is organized under the laws of the United States or any political sub-division thereof or the entry of an order ordering the winding up or liquidation of our affairs.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Each indenture will provide that the trustee thereunder will, within 90 days after the occurrence of a default with respect to the debt securities of any series issued under such indenture, give to the holders of the debt securities of such series notice of all uncured and unwaived defaults known to it; provided, however, that, except in the case of default in the payment of principal of, premium, if any, or interest, if any, on any of the debt securities of such series, the trustee will be protected in withholding such notice if it in good faith determines that the withholding of such notice is in the interests of the holders of the debt securities of such series. The term “default” for the purpose of this provision means any event which is, or after notice or lapse of time or both would become, an Event of Default with respect to debt securities of such series.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Each indenture will contain provisions entitling the trustee under such indenture, subject to the duty of the trustee during an Event of Default to act with the required standard of care, to be indemnified to its reasonable satisfaction by the holders of the debt securities before proceeding to exercise any right or power under the applicable indenture at the request of holders of such debt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Each indenture will provide that the holders of a majority in aggregate principal amount of the outstanding debt securities of any series issued under such indenture may direct the time, method and place of conducting proceedings for </w:t>
      </w:r>
    </w:p>
    <w:p>
      <w:pPr>
        <w:pStyle w:val="TextBody"/>
        <w:bidi w:val="0"/>
        <w:spacing w:before="0" w:after="20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remedies available to the trustee or exercising any trust or power conferred on the trustee in respect of such series, subject to certain conditions.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otherwise set forth in the prospectus supplement relating to the debt securities, in certain cases, the holders of a majority in principal amount of the outstanding debt securities of any series may waive, on behalf of the holders of all debt securities of such series, any past default or Event of Default with respect to the debt securities of such series except, among other things, a default not theretofore cured in payment of the principal of, or premium, if any, or interest, if any, on any of the senior debt securities of such series or payment of any sinking or purchase fund or analogous obligations with respect to such senior debt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Each indenture will include a covenant that we will file annually with the trustee a certificate of no default or specifying any default that exists.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Modification of the Indentures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set forth in the prospectus supplement relating to the debt securities, we and the trustee may, without the consent of the holders of the debt securities issued under the indenture governing such debt securities, enter into indentures supplemental to the applicable indenture for, among others, one or more of the following purposes: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1.to evidence the succession of another person to us or to a guarantor, if any, and the assumption by such successor of our or the guarantor’s obligations under the applicable indenture and the debt securities of any series;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2.to add to our covenants or those of any guarantor, if any, or to surrender any of our rights or powers or those of any guarantor for the benefit of the holders of debt securities of any or all series issued under such indenture;</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3.to cure any ambiguity, to correct or supplement any provision in the applicable indenture which may be inconsistent with any other provision therein, or to make any other provisions with respect to matters or questions arising under such indenture;</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4.to add to the applicable indenture any provisions that may be expressly permitted by the Trust Indenture Act of 1939, as amended, or the TIA, excluding the provisions referred to in Section 316(a)(2) of the TIA as in effect at the date as of which the applicable indenture was executed or any corresponding provision in any similar federal statute hereafter enacted;</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5.to establish the form or terms of any series of debt securities to be issued under the applicable indenture, to provide for the issuance of any series of debt securities and/or to add to the rights of the holders of debt securities;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6.to evidence and provide for the acceptance of any successor trustee with respect to one or more series of debt securities or to add or change any of the provisions of the applicable indenture as shall be necessary to facilitate the administration of the trusts thereunder by one or more trustees in accordance with the applicable indenture;</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7.to provide any additional Events of Default;</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8.to provide for uncertificated securities in addition to or in place of certificated securities; provided that the uncertificated securities are issued in registered form for certain federal tax purposes;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9.to provide for the terms and conditions of converting those debt securities that are convertible into common stock or another such similar security;</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10.to secure any series of debt securities;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11.to add guarantees in respect of any series or all of the debt securities;</w:t>
      </w:r>
    </w:p>
    <w:p>
      <w:pPr>
        <w:pStyle w:val="TextBody"/>
        <w:bidi w:val="0"/>
        <w:spacing w:lineRule="auto" w:line="288" w:before="0" w:after="6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12.to make any change necessary to comply with any requirement of the SEC in connection with the qualification of the applicable indenture or any supplemental indenture under the TIA; and</w:t>
      </w:r>
    </w:p>
    <w:p>
      <w:pPr>
        <w:pStyle w:val="TextBody"/>
        <w:bidi w:val="0"/>
        <w:spacing w:lineRule="auto" w:line="288" w:before="0" w:after="20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13.to make any other change that does not adversely affect the rights of the holders of the debt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No supplemental indenture for the purpose identified in clauses (2), (3) or (5) above may be entered into if to do so would adversely affect the rights of the holders of debt securities of any series issued under the same indenture in any material respect.</w:t>
      </w:r>
    </w:p>
    <w:p>
      <w:pPr>
        <w:pStyle w:val="TextBody"/>
        <w:bidi w:val="0"/>
        <w:spacing w:before="0" w:after="20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Except as set forth in the prospectus supplement relating to such series of debt securities, each indenture will contain provisions permitting us and the trustee under such indenture, with the consent of the holders of a majority in principal amount of the outstanding debt securities of all series issued under such indenture to be affected voting as a single class, to execute supplemental indentures for the purpose of adding any provisions to or changing or eliminating any of the provisions of the applicable indenture or modifying the rights of the holders of the debt securities of such series to be affected, except that no such supplemental indenture may, without the consent of the holders of affected debt securities, among other things: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change the maturity of the principal of, or the maturity of any premium on, or any installment of interest on, any such debt security, or reduce the principal amount or the interest or any premium of any such debt securities, or change the method of computing the amount of principal or interest on any such debt securities on any date or change any place of payment where, or the currency in which, any debt securities or any premium or interest thereon is payable, or impair the right to institute suit for the enforcement of any such payment on or after the maturity of principal or premium, as the case may be;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reduce the percentage in principal amount of any such debt securities the consent of whose holders is required for any supplemental indenture, waiver of compliance with certain provisions of the applicable indenture or certain defaults under the applicable indenture;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modify any of the provisions of the applicable indenture related to (i) the requirement that the holders of debt securities issued under such indenture consent to certain amendments of the applicable indenture, (ii) the waiver of past defaults and (iii) the waiver of certain covenants, except to increase the percentage of holders required to make such amendments or grant such waivers;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impair or adversely affect the right of any holder to institute suit for the enforcement of any payment on, or with respect to, such senior debt securities on or after the maturity of such debt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addition, the subordinated indenture will provide that we may not make any change in the terms of the subordination of the subordinated debt securities of any series in a manner adverse in any material respect to the holders of any series of subordinated debt securities without the consent of each holder of subordinated debt securities that would be adversely affected.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The Trustee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trustee shall be named in the applicable prospectus supplement.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indentures will be governed by, and construed in accordance with, the laws of the State of New York.</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issue debt securities through global securities. A global security is a security, typically held by a depositary, that represents the beneficial interests of a number of purchasers of the security. If we do issue global securities, the following procedures will apply.</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will deposit global securities with the depositary identified in the prospectus supplement. After we issue a global security, the depositary will credit on its book-entry registration and transfer system the respective principal amounts of the debt securities represented by the global security to the accounts of persons who have accounts with the depositary. These account holders are known as “participants.” The underwriters or agents participating in the distribution of the debt securities will designate the accounts to be credited. Only a participant or a person who holds an interest through a participant may be the beneficial owner of a global security. Ownership of beneficial interests in the global security will be shown on, and the transfer of that ownership will be effected only through, records maintained by the depositary and its participants.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and the trustee will treat the depositary or its nominee as the sole owner or holder of the debt securities represented by a global security. Except as set forth below, owners of beneficial interests in a global security will not be entitled to have the debt securities represented by the global security registered in their names. They also will not receive or be entitled to receive physical delivery of the debt securities in definitive form and will not be considered the owners or holders of the debt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Principal, any premium and any interest payments on debt securities represented by a global security registered in the name of a depositary or its nominee will be made to the depositary or its nominee as the registered owner of the global </w:t>
      </w:r>
    </w:p>
    <w:p>
      <w:pPr>
        <w:pStyle w:val="TextBody"/>
        <w:bidi w:val="0"/>
        <w:spacing w:before="0" w:after="20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security. None of us, the trustee or any paying agent will have any responsibility or liability for any aspect of the records relating to or payments made on account of beneficial ownership interests in the global security or maintaining, supervising or reviewing any records relating to the beneficial ownership interests.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expect that the depositary, upon receipt of any payments, will immediately credit participants’ accounts with payments in amounts proportionate to their respective beneficial interests in the principal amount of the global security as shown on the depositary’s records. We also expect that payments by participants to owners of beneficial interests in the global security will be governed by standing instructions and customary practices, as is the case with the securities held for the accounts of customers registered in “street names,” and will be the responsibility of the participants.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If the depositary is at any time unwilling or unable to continue as depositary and a successor depositary is not appointed by us within 90 days, we will issue registered securities in exchange for the global security. In addition, we may at any time in our sole discretion determine not to have any of the debt securities of a series represented by global securities. In that event, we will issue debt securities of that series in definitive form in exchange for the global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ind w:left="0" w:right="0" w:firstLine="720"/>
        <w:jc w:val="center"/>
        <w:rPr>
          <w:rFonts w:ascii="Times New Roman;serif" w:hAnsi="Times New Roman;serif"/>
          <w:b/>
          <w:color w:val="000000"/>
          <w:sz w:val="20"/>
        </w:rPr>
      </w:pPr>
      <w:r>
        <w:rPr>
          <w:rFonts w:ascii="Times New Roman;serif" w:hAnsi="Times New Roman;serif"/>
          <w:b/>
          <w:color w:val="000000"/>
          <w:sz w:val="20"/>
        </w:rPr>
        <w:t>CERTAIN PROVISIONS OF THE MARYLAND GENERAL CORPORATION LAW AND OUR CHARTER AND BYLAWS</w:t>
      </w:r>
    </w:p>
    <w:p>
      <w:pPr>
        <w:pStyle w:val="TextBody"/>
        <w:bidi w:val="0"/>
        <w:spacing w:lineRule="auto" w:line="288" w:before="0" w:after="200"/>
        <w:jc w:val="left"/>
        <w:rPr>
          <w:color w:val="000000"/>
        </w:rPr>
      </w:pPr>
      <w:r>
        <w:rPr>
          <w:color w:val="000000"/>
        </w:rPr>
        <w:t>    </w:t>
      </w:r>
      <w:r>
        <w:rPr>
          <w:rFonts w:ascii="Times New Roman;serif" w:hAnsi="Times New Roman;serif"/>
          <w:b w:val="false"/>
          <w:i/>
          <w:color w:val="000000"/>
          <w:sz w:val="20"/>
        </w:rPr>
        <w:t>The following summary description of certain provisions of the MGCL and our charter and articles supplementary thereto relating to our preferred stock and bylaws do not purport to be complete and are subject to and qualified in their entirety by reference to the MGCL and the actual provisions of our charter and articles supplementary thereto and our bylaws, copies of which are incorporated by reference as exhibits to the registration statement of which this prospectus is a part. See “Where You Can Find More Information” and “Incorporation of Certain Documents by Reference.”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Our Board of Directors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Our bylaws and charter provide that the number of directors we have may be established by our board of directors but may not be less than the minimum number required by the MGCL, nor more than 15. Pursuant to our charter, our board is composed of eight directors - three of whom are affiliated and five of whom are independent as of the date hereof. Our bylaws currently provide that any vacancy may be filled only by a majority of the remaining directors. Any individual elected to fill such vacancy will serve until the next annual meeting of stockholders and until a successor is duly elected and qualifies.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Pursuant to our bylaws, each of our directors is elected by our common stockholders entitled to vote to serve until the next annual meeting of stockholders and until his or her successor is duly elected and qualifies. Holders of shares of common stock will have no right to cumulative voting in the election of directors. Consequently, at each annual meeting of stockholders, the holders of a majority of the shares of common stock entitled to vote will be able to elect all of our directors. Holders of our preferred stock do not have voting rights, except under limited circumstances.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below, our charter and bylaws and Maryland law contain provisions that may delay, defer or prevent a change in control or other transaction that might involve a premium price for shares of our common stock or otherwise be in the best interests of our stockholders, including business combination provisions, supermajority vote requirements and advance notice requirements for director nominations and stockholder proposals. Likewise, if the provision in the bylaws opting out of the control share acquisition provisions of the MGCL were rescinded or if we were to opt into the classified board or other provisions of Subtitle 8, these provisions of the MGCL could have similar anti-takeover effects.</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Removal of Directors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provides that a director may be removed, with or without cause, and only by the affirmative vote of the holders of shares entitled to cast at least two thirds of all the votes of common stockholders entitled to be cast generally in the election of directors. This provision, when coupled with the power of our board of directors to fill vacancies on the board of directors, precludes stockholders from (1) removing incumbent directors except upon a substantial affirmative vote and (2) filling the vacancies created by such removal with their own nominees.</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MGCL, certain “business combinations” (including a merger, consolidation, share exchange or, in certain circumstances, an asset transfer or issuance or reclassification of equity securities) between a Maryland corporation and an interested stockholder (defined generally as any person who beneficially owns, directly or indirectly, 10% or more of the voting power of the corporation’s outstanding voting stock or an affiliate or associate of the corporation who, at any time within the two-year period immediately prior to the date in question, was the beneficial owner of 10% or more of the voting power of the then-outstanding stock of the corporation) or an affiliate of such an interested stockholder, are prohibited for five years after the most recent date on which the interested stockholder becomes an interested stockholder. Thereafter, any such business combination must be recommended by the board of directors of such corporation and approved by the affirmative vote of at least (a) 80% of the votes entitled to be cast by holders of outstanding voting shares of stock of the corporation and (b) 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 Our board of directors may provide that the board’s approval is subject to compliance with any terms and conditions determined by the board of directors.</w:t>
      </w:r>
    </w:p>
    <w:p>
      <w:pPr>
        <w:pStyle w:val="TextBody"/>
        <w:bidi w:val="0"/>
        <w:spacing w:before="0" w:after="200"/>
        <w:jc w:val="left"/>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provisions of the MGCL do not apply, however, to business combinations that are approved or exempted by a board of directors prior to the time that the interested stockholder becomes an interested stockholder. Pursuant to the statute, our board of directors has by resolution exempted business combinations (1) between us and any person, provided that such business combination is first approved by our board of directors (including a majority of its directors who are not affiliates or associates of such person) and (2) between us and ACM or its affiliates. Consequently, the five-year prohibition and the supermajority vote requirements will not apply to business combinations between us and such persons. As a result, any person described above may be able to enter into business combinations with us that may not be in the best interest of our stockholders without compliance by us with the supermajority vote requirements and other provisions of the statute.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business combination statute may discourage others from trying to acquire control of us and increase the difficulty of consummating any offer.</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Control Share Acquisitions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MGCL provides that “control shares” of a Maryland corporation acquired in a “control share acquisition” have no voting rights except to the extent approved at a special meeting of stockholders by the affirmative vote of two-thirds of the votes entitled to be cast on the matter, excluding shares of stock in a corporation in respect of which any of the following persons is entitled to exercise or direct the exercise of the voting power of such shares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 (A) one-tenth or more but less than one-third; (B) one-third or more but less than a majority; or (C) a majority or more of all voting power. Control shares do not include shares that the acquiring person is then entitled to vote as a result of having previously obtained stockholder approval. A “control share acquisition” means the acquisition of control shares, subject to certain exceptions.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person who has made or proposes to make a control share acquisition, upon satisfaction of certain conditions (including an undertaking to pay expenses and making an “acquiring person statement” as described in the MGCL), may compel our board of directors to call a special meeting of stockholders to be held within 50 days of demand to consider the voting rights of the shares. If no request for a meeting is made, the corporation may itself present the question at any stockholders meeting.</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voting rights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the last control share acquisition by the acquirer or of any meeting of stockholders at which the voting rights of such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such appraisal rights may not be less than the highest price per share paid by the acquirer in the control share acquisition.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control share acquisition statute does not apply to (a) shares acquired in a merger, consolidation or share exchange if the corporation is a party to the transaction or (b) acquisitions approved or exempted by the charter or bylaws of the corporation.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bylaws contain a provision exempting from the control share acquisition statute any and all acquisitions by any person of shares of our stock. There is no assurance that such provision will not be amended or eliminated at any time in the future.</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Subtitle 8</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Subtitle 8 of Title 3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or all of five provisions:</w:t>
      </w:r>
    </w:p>
    <w:p>
      <w:pPr>
        <w:pStyle w:val="TextBody"/>
        <w:bidi w:val="0"/>
        <w:spacing w:before="0" w:after="20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00"/>
        <w:ind w:left="0" w:right="0" w:firstLine="72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classified board;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two-thirds vote requirement for removing a director;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requirement that the number of directors be fixed only by vote of the directors;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requirement that a vacancy on the board of directors be filled only by the remaining directors in office and for the remainder of the full term of the class of directors in which the vacancy occurred;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requirement that a vacancy on the board of directors be filled only by the remaining directors in office and for the remainder of the full term of the class of directors in which the vacancy occurred.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provides that, pursuant to Subtitle 8, vacancies on the board of directors may be filled only by the affirmative vote of a majority of the remaining directors in office, even if the remaining directors do not constitute a quorum, and any director elected to fill a vacancy shall serve for the remainder of the full term of the directorship in which the vacancy occurred. Through provisions in our charter and bylaws unrelated to Subtitle 8, we already (1) require the affirmative vote of the holders of not less than two-thirds of all of the votes entitled to be cast on the matter for the removal of any director from the board of directors, which removal will be allowed with or without cause, (2) vest in the board of directors the exclusive power to fix the number of directorships and (3) require, unless called by the chairman of the board of directors, chief executive officer, president or the board of directors, the written request of stockholders of not less than a majority of all the votes entitled to be cast at such a meeting to call a special meeting.</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Meetings of Stockholders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our bylaws, a meeting of our stockholders for the election of directors and the transaction of any business will be held annually on a date and at the time set by our board of directors. In addition, the chairman of the board of directors, chief executive officer, president or board of directors may call a special meeting of our stockholders. Subject to the provisions of our bylaws, a special meeting of our stockholders will also be called by the secretary upon the written request of the stockholders entitled to cast not less than a majority of all the votes entitled to be cast at the meeting.</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Amendment to Our Charter and Bylaws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authorizes our board of directors, with the approval of a majority of the entire board of directors, to amend our charter to increase or decrease the aggregate number of authorized shares of stock or the number of shares of stock of any class or series without stockholder approval. Otherwise, except for amendments related to removal of directors, the restrictions on ownership and transfer of shares of our stock and the requirement of a two-thirds vote for amendments to these provisions (each of which require the affirmative vote of the holders of not less than two-thirds of all the votes entitled to be cast on the matter and the approval of our board of directors), our charter may be amended only with the approval of the board of directors and the affirmative vote of the holders of a majority of all of the votes entitled to be cast on the matter.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the exclusive power to adopt, alter or repeal any provision of our bylaws and to make new bylaws.</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Dissolution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dissolution must be approved by a majority of the entire board of directors and the affirmative vote of the holders of not less than a majority of all of the votes entitled to be cast on the matter.</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Advance Notice of Director Nominations and New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bylaws provide that, with respect to an annual meeting of stockholders, nominations of individuals for election to the board of directors and the proposal of other business to be considered by stockholders may be made only (1) pursuant to our notice of the meeting, (2) by or at the direction of our board of directors or (3) by a stockholder who was a stockholder of record both at the time of giving his notice and at the time of the meeting and who is entitled to vote at the meeting on the election of directors or on the proposal of other business, as the case maybe, and has complied with the advance notice provisions set forth in our bylaws.</w:t>
      </w:r>
    </w:p>
    <w:p>
      <w:pPr>
        <w:pStyle w:val="TextBody"/>
        <w:bidi w:val="0"/>
        <w:spacing w:before="0" w:after="200"/>
        <w:jc w:val="left"/>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respect to special meetings of stockholders, only the business specified in our notice of meeting may be brought before the meeting. Nominations of individuals for election to our board of directors may be made only (1) by or at the direction of our board of directors or (2) provided that the board of directors has determined that directors will be elected at such meeting, by a stockholder who was a stockholder of record both at the time of giving his notice and at the time of the meeting and who is entitled to vote at the meeting and has complied with the advance notice provisions set forth in our bylaws.</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Indemnification and Limitation of Directors’ and Officers’ Liability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Maryland law permits a Maryland corporation to include in its charter a provision eliminating the liability of its directors and officers to the corporation and its stockholders for money damages except for liability resulting from actual receipt of an improper benefit or profit in money, property or services or active and deliberate dishonesty that is established by a final judgment and is material to the cause of action. Our charter contains such a provision that eliminates such liability to the maximum extent permitted by Maryland law.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MGCL requires us (unless our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act or omission of the director or officer was material to the matter giving rise to the proceeding and (1) was committed in bad faith or (2) was the result of active and deliberate dishonesty;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director or officer actually received an improper personal benefit in money, property or services;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 the case of any criminal proceeding, the director or officer had reasonable cause to believe that the act or omission was unlawful.</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However, under the MGCL, a Maryland corporation may not indemnify a director or officer in a suit by or in the right of the corporation in which the director or officer was adjudged liable to the corporation or in a proceeding in which the director or officer was adjudged liable on the basis that personal benefit was improperly received. A court may order indemnification if it determines that the director or officer is fairly and reasonably entitled to indemnification, even though the director or officer did not meet the prescribed standard of conduct or was adjudged liable on the basis that a personal benefit was improperly received. However, indemnification for an adverse judgment in a suit by us or in our right, or for a judgment of liability on the basis that a personal benefit was improperly received, is limited to expenses.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MGCL permits a corporation to advance reasonable expenses to a director or officer upon the corporation’s receipt of: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written affirmation by the director or officer of his or her good faith belief that he or she has met the standard of conduct necessary for indemnification by the corporation;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written undertaking by the director or officer or on the director’s or officer’s behalf to repay the amount paid or reimbursed by the corporation if it is ultimately determined that the director or officer did not meet the standard of conduct.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authorizes us to obligate ourselves and our bylaws obligate us,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present or former director or officer of ours who is made or threatened to be made a party to the proceeding by reason of his or her service in that capacity;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any individual who, while a director or officer of ours and at our request, serves or has served another corporation, REIT, partnership, joint venture, trust, employee benefit plan or other enterprise as a director, officer, partner or trustee of such corporation, REIT, partnership, joint venture, trust, employee benefit plan or other enterprise and who is made or threatened to be made a party to the proceeding by reason of his or her service in that capacity.</w:t>
      </w:r>
    </w:p>
    <w:p>
      <w:pPr>
        <w:pStyle w:val="TextBody"/>
        <w:bidi w:val="0"/>
        <w:spacing w:before="0" w:after="20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charter and bylaws also permit us, with the approval of our board of directors, to indemnify and advance expenses to any person who served a predecessor of ours in any of the capacities described above and to any employee or agent of ours or a predecessor of ours.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REIT Qualification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Our charter provides that our board of directors may revoke or otherwise terminate our REIT election, without approval of our stockholders, if it determines that it is no longer in our best interests to continue to qualify as a REIT.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MATERIAL U.S. FEDERAL INCOME TAX CONSIDERATIONS</w:t>
      </w:r>
    </w:p>
    <w:p>
      <w:pPr>
        <w:pStyle w:val="TextBody"/>
        <w:bidi w:val="0"/>
        <w:spacing w:lineRule="auto" w:line="288" w:before="0" w:after="200"/>
        <w:ind w:left="0" w:right="0" w:firstLine="720"/>
        <w:jc w:val="left"/>
        <w:rPr/>
      </w:pPr>
      <w:r>
        <w:rPr>
          <w:rFonts w:ascii="Times New Roman;serif" w:hAnsi="Times New Roman;serif"/>
          <w:b w:val="false"/>
          <w:color w:val="000000"/>
          <w:sz w:val="20"/>
        </w:rPr>
        <w:t>This section summarizes the material U.S. federal income tax considerations that (i) apply to you, as a Holder (as defined in the immediately succeeding paragraph) of shares of our common and preferred stock and (ii) relate to our qualification as a REIT. Mayer Brown LLP has acted as our special tax counsel, has reviewed this section and is of the opinion that the discussion contained herein fairly and accurately summarizes the U.S. federal income tax consequences that are likely to be material to a Holder of our shares of common stock and a Holder of our preferred stock. Because this section is a summary, it does not address all aspects of taxation that may be relevant to particular Holders of our common or preferred stock in light of their personal investment or tax circumstances, or to certain types of Holders that are subject to special treatment under the U.S. federal income tax laws, such as insurance companies, tax-exempt organizations (except to the extent discussed in “-</w:t>
      </w:r>
      <w:r>
        <w:rPr>
          <w:rFonts w:ascii="Times New Roman;serif" w:hAnsi="Times New Roman;serif"/>
          <w:b w:val="false"/>
          <w:i/>
          <w:color w:val="000000"/>
          <w:sz w:val="20"/>
        </w:rPr>
        <w:t>Taxation of Holders-Taxation of Tax-Exempt Holders</w:t>
      </w:r>
      <w:r>
        <w:rPr>
          <w:color w:val="000000"/>
        </w:rPr>
        <w:t xml:space="preserve">” </w:t>
      </w:r>
      <w:r>
        <w:rPr>
          <w:rFonts w:ascii="Times New Roman;serif" w:hAnsi="Times New Roman;serif"/>
          <w:b w:val="false"/>
          <w:color w:val="000000"/>
          <w:sz w:val="20"/>
        </w:rPr>
        <w:t>below), regulated investment companies, other REITs, partnerships and other pass-through entities (including entities classified as partnerships for U.S. federal income tax purposes), financial institutions or broker-dealers, non-U.S. individuals and foreign corporations (except to the extent discussed in “-</w:t>
      </w:r>
      <w:r>
        <w:rPr>
          <w:rFonts w:ascii="Times New Roman;serif" w:hAnsi="Times New Roman;serif"/>
          <w:b w:val="false"/>
          <w:i/>
          <w:color w:val="000000"/>
          <w:sz w:val="20"/>
        </w:rPr>
        <w:t>Taxation of Holders-Taxation of Foreign Holders”</w:t>
      </w:r>
      <w:r>
        <w:rPr>
          <w:color w:val="000000"/>
        </w:rPr>
        <w:t xml:space="preserve"> </w:t>
      </w:r>
      <w:r>
        <w:rPr>
          <w:rFonts w:ascii="Times New Roman;serif" w:hAnsi="Times New Roman;serif"/>
          <w:b w:val="false"/>
          <w:color w:val="000000"/>
          <w:sz w:val="20"/>
        </w:rPr>
        <w:t>below), certain U.S. expatriates, persons holding our common or preferred stock as part of a “straddle,” “hedge,” “conversion transaction,” “synthetic security” or other integrated investment, persons subject to the alternative minimum tax, persons holding a 10% or more (by vote or value) beneficial interest in us, stockholders subject to special tax accounting rules as a result of their use of “applicable financial statements” (within the meaning of Section 451(b) of the Code), and other persons subject to special tax rules.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You should be aware that in this section, when we use the term:</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Code,” we mean the Internal Revenue Code of 1986, as amended;</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Disqualified Organization,” we mean any organization described in section 860E(e)(5) of the Code, including:</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United States;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ii.any state or political subdivision of the United States;</w:t>
      </w:r>
    </w:p>
    <w:p>
      <w:pPr>
        <w:pStyle w:val="TextBody"/>
        <w:bidi w:val="0"/>
        <w:spacing w:lineRule="auto" w:line="288" w:before="0" w:after="60"/>
        <w:ind w:left="0" w:right="0" w:hanging="360"/>
        <w:jc w:val="left"/>
        <w:rPr/>
      </w:pPr>
      <w:r>
        <w:rPr>
          <w:rFonts w:ascii="Times New Roman;serif" w:hAnsi="Times New Roman;serif"/>
          <w:b w:val="false"/>
          <w:color w:val="000000"/>
          <w:sz w:val="20"/>
        </w:rPr>
        <w:t>iii.</w:t>
      </w:r>
      <w:r>
        <w:rPr>
          <w:color w:val="000000"/>
        </w:rPr>
        <w:t xml:space="preserve"> </w:t>
      </w:r>
      <w:r>
        <w:rPr>
          <w:rFonts w:ascii="Times New Roman;serif" w:hAnsi="Times New Roman;serif"/>
          <w:b w:val="false"/>
          <w:color w:val="000000"/>
          <w:sz w:val="20"/>
        </w:rPr>
        <w:t>any foreign government;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iv.any international organization;</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v.any agency or instrumentality of any of the foregoing;</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vi.any charitable remainder trust or other tax-exempt organization, other than a farmer's cooperative described in section 521 of the Code, that is exempt both from income taxation and from taxation under the unrelated business taxable income provisions of the Code;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vii.any rural electrical or telephone cooperative;</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Domestic Holder,” we mean a Holder that is a U.S. Person;</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Foreign Holder,” we mean a Holder that is not a U.S. Person;</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IRS,” we mean the Internal Revenue Service;</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Holder,” we mean any person having a beneficial ownership interest in shares of our common or preferred stock;</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REMIC,” we mean real estate mortgage investment conduit as that term is defined in section 860D of the Code;</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TMP,” we mean a taxable mortgage pool as that term is defined in section 7701(i)(2) of the Code;</w:t>
      </w:r>
    </w:p>
    <w:p>
      <w:pPr>
        <w:pStyle w:val="TextBody"/>
        <w:bidi w:val="0"/>
        <w:spacing w:lineRule="auto" w:line="288" w:before="0" w:after="200"/>
        <w:jc w:val="left"/>
        <w:rPr/>
      </w:pPr>
      <w:r>
        <w:rPr>
          <w:color w:val="000000"/>
        </w:rPr>
        <w:t>“</w:t>
      </w:r>
      <w:r>
        <w:rPr>
          <w:rFonts w:ascii="Times New Roman;serif" w:hAnsi="Times New Roman;serif"/>
          <w:b w:val="false"/>
          <w:color w:val="000000"/>
          <w:sz w:val="20"/>
        </w:rPr>
        <w:t>TRS,” we mean a taxable REIT subsidiary described under “-</w:t>
      </w:r>
      <w:r>
        <w:rPr>
          <w:rFonts w:ascii="Times New Roman;serif" w:hAnsi="Times New Roman;serif"/>
          <w:b w:val="false"/>
          <w:i/>
          <w:color w:val="000000"/>
          <w:sz w:val="20"/>
        </w:rPr>
        <w:t>Subsidiary Entities-Taxable REIT Subsidiaries</w:t>
      </w:r>
      <w:r>
        <w:rPr>
          <w:color w:val="000000"/>
        </w:rPr>
        <w:t xml:space="preserve">” </w:t>
      </w:r>
      <w:r>
        <w:rPr>
          <w:rFonts w:ascii="Times New Roman;serif" w:hAnsi="Times New Roman;serif"/>
          <w:b w:val="false"/>
          <w:color w:val="000000"/>
          <w:sz w:val="20"/>
        </w:rPr>
        <w:t>below; and</w:t>
      </w:r>
    </w:p>
    <w:p>
      <w:pPr>
        <w:pStyle w:val="TextBody"/>
        <w:bidi w:val="0"/>
        <w:spacing w:lineRule="auto" w:line="288" w:before="0" w:after="200"/>
        <w:jc w:val="left"/>
        <w:rPr>
          <w:color w:val="000000"/>
        </w:rPr>
      </w:pPr>
      <w:r>
        <w:rPr>
          <w:color w:val="000000"/>
        </w:rPr>
        <w:t>“</w:t>
      </w:r>
      <w:r>
        <w:rPr>
          <w:rFonts w:ascii="Times New Roman;serif" w:hAnsi="Times New Roman;serif"/>
          <w:b w:val="false"/>
          <w:color w:val="000000"/>
          <w:sz w:val="20"/>
        </w:rPr>
        <w:t xml:space="preserve">U.S. Person,” we mean (i) a citizen or resident of the United States; (ii) a corporation (or entity treated as a corporation for U.S. federal income tax purposes) created or organized in the United States or under the laws of the United States or of any state thereof, including, for this purpose, the District of Columbia; (iii) a partnership (or entity treated as a partnership for tax purposes) organized in the United States or under the laws of the United States or of any state thereof, including, for this purpose, the District of Columbia (unless provided otherwise by future Treasury Regulations); (iv) an estate whose income is includible in gross income for U.S. federal income tax purposes regardless of its source; or (v) a trust, if a court within the United States is able to exercise primary supervision over the administration of the trust and one or more U.S. Persons have authority to control all substantial decisions of the trust. Notwithstanding the preceding clause, to the extent provided in </w:t>
      </w:r>
    </w:p>
    <w:p>
      <w:pPr>
        <w:pStyle w:val="TextBody"/>
        <w:bidi w:val="0"/>
        <w:spacing w:before="0" w:after="20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Treasury Regulations, certain trusts that were in existence on August 20, 1996, that were treated as U.S. Persons prior to such date, and that elect to continue to be treated as U.S. Persons, also are U.S. Persons.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statements in this section are based on the current U.S. federal income tax laws. We cannot assure you that new laws, interpretations of law or court decisions, any of which may take effect retroactively, will not cause any statement in this section to be inaccurate. No assurance can be given that the IRS would not assert, or that a court would not sustain a position contrary to any of the tax consequences described below.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not sought and will not seek a private letter ruling from the IRS regarding any matter described herein. This summary provides general information only and is not tax advice. We urge you to consult your tax advisor regarding the specific tax consequences to you of the purchase, ownership and sale of our common or preferred stock and of our election to be taxed as a REIT. Specifically, you should consult your tax advisor regarding the federal, state, local, foreign, and other tax consequences of such purchase, ownership, sale and election, and regarding potential changes in applicable tax laws.</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Federal Income Tax Considerations Relating to Our Treatment as a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elected to be taxed as a REIT under Sections 856 through 860 of the Code commencing with our short taxable year ending on December 31, 2009. We believe that we were organized and have operated and will continue to operate in such a manner as to qualify for taxation as a REIT under the federal income tax laws, but no assurances can be given that we will operate in a manner so as to qualify or remain qualified as a REIT. This section discusses the laws governing the federal income tax treatment of a REIT and the holders of REIT stock. These laws are highly technical and complex.</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qualify as a REIT, we generally will not be subject to U.S. federal income tax on our taxable income that we currently distribute to our stockholders, but taxable income generated by our domestic TRSs, if any, will be subject to regular U.S. federal (and applicable state and local) corporate income tax.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Individuals who are stockholders of corporations that are not REITs are generally taxed on qualifying corporate dividends at a reduced maximum rate (the same as long-term capital gains), thereby substantially reducing, though not completely eliminating, the double taxation that has historically applied to corporate dividends. With limited exceptions, however, dividends received by individual U.S. stockholders from us or from other entities that are taxed as REITs are taxed at rates applicable to ordinary income and are accompanied by a deduction equal to 20% of the amount of such dividends in taxable years beginning before January 1, 2026 (provided that the dividend is neither attributable to “qualified dividend income” nor designated as “capital gain dividends”). Net operating losses, foreign tax credits and other tax attributes of a REIT generally do not pass through to the stockholders of the REIT, subject to special rules for certain items, such as capital gains, recognized by REITs.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qualify as a REIT, however, we will be subject to U.S. federal income taxation in the following circumstances: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will pay U.S. federal income tax on our taxable income, including net capital gain, that we do not distribute to stockholders during, or within a specified time period after, the calendar year in which the income is earned.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2.We will pay U.S. federal income tax at the highest corporate rate 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net income from the sale or other disposition of property acquired through foreclosure, which we refer to as foreclosure property, that we hold primarily for sale to customers in the ordinary course of business,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other non-qualifying income from foreclosure property.</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3.We will pay a 100% tax on net income earned from sales or other dispositions of property, other than foreclosure property, that we hold primarily for sale to customers in the ordinary course of business.</w:t>
      </w:r>
    </w:p>
    <w:p>
      <w:pPr>
        <w:pStyle w:val="TextBody"/>
        <w:bidi w:val="0"/>
        <w:spacing w:lineRule="auto" w:line="288" w:before="0" w:after="200"/>
        <w:ind w:left="0" w:right="0" w:hanging="360"/>
        <w:jc w:val="left"/>
        <w:rPr/>
      </w:pPr>
      <w:r>
        <w:rPr>
          <w:rFonts w:ascii="Times New Roman;serif" w:hAnsi="Times New Roman;serif"/>
          <w:b w:val="false"/>
          <w:color w:val="000000"/>
          <w:sz w:val="20"/>
        </w:rPr>
        <w:t>4.If we fail to satisfy the 75% gross income test or the 95% gross income test, as described below under “-</w:t>
      </w:r>
      <w:r>
        <w:rPr>
          <w:rFonts w:ascii="Times New Roman;serif" w:hAnsi="Times New Roman;serif"/>
          <w:b w:val="false"/>
          <w:i/>
          <w:color w:val="000000"/>
          <w:sz w:val="20"/>
        </w:rPr>
        <w:t>Gross Income Tests</w:t>
      </w:r>
      <w:r>
        <w:rPr>
          <w:rFonts w:ascii="Times New Roman;serif" w:hAnsi="Times New Roman;serif"/>
          <w:b w:val="false"/>
          <w:color w:val="000000"/>
          <w:sz w:val="20"/>
        </w:rPr>
        <w:t>,” but nonetheless continue to qualify as a REIT because we meet other requirements, we will be subject to a 100% tax on:</w:t>
      </w:r>
    </w:p>
    <w:p>
      <w:pPr>
        <w:pStyle w:val="TextBody"/>
        <w:bidi w:val="0"/>
        <w:spacing w:before="0" w:after="200"/>
        <w:ind w:left="0" w:right="0" w:hanging="360"/>
        <w:jc w:val="left"/>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greater of the amount by which we fail the 75% gross income test or the 95% gross income test, multiplied, in either case, by</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 fraction intended to reflect our profitability.</w:t>
      </w:r>
    </w:p>
    <w:p>
      <w:pPr>
        <w:pStyle w:val="TextBody"/>
        <w:bidi w:val="0"/>
        <w:spacing w:lineRule="auto" w:line="288" w:before="0" w:after="200"/>
        <w:ind w:left="0" w:right="0" w:hanging="360"/>
        <w:jc w:val="left"/>
        <w:rPr/>
      </w:pPr>
      <w:r>
        <w:rPr>
          <w:rFonts w:ascii="Times New Roman;serif" w:hAnsi="Times New Roman;serif"/>
          <w:b w:val="false"/>
          <w:color w:val="000000"/>
          <w:sz w:val="20"/>
        </w:rPr>
        <w:t>5.If we fail to satisfy the asset tests by more than a de minimis amount, as described below under “</w:t>
      </w:r>
      <w:r>
        <w:rPr>
          <w:rFonts w:ascii="Times New Roman;serif" w:hAnsi="Times New Roman;serif"/>
          <w:b w:val="false"/>
          <w:i/>
          <w:color w:val="000000"/>
          <w:sz w:val="20"/>
        </w:rPr>
        <w:t>Asset Tests</w:t>
      </w:r>
      <w:r>
        <w:rPr>
          <w:color w:val="000000"/>
        </w:rPr>
        <w:t>”</w:t>
      </w:r>
      <w:r>
        <w:rPr>
          <w:rFonts w:ascii="Times New Roman;serif" w:hAnsi="Times New Roman;serif"/>
          <w:b w:val="false"/>
          <w:color w:val="000000"/>
          <w:sz w:val="20"/>
        </w:rPr>
        <w:t>, as long as the failure was due to reasonable cause and not to willful neglect, we dispose of the assets or otherwise comply with such asset tests within six months after the last day of the quarter in which we identify such failure and we file a schedule with the IRS describing the assets that caused such failure, we will pay a tax equal to the greater of $50,000 or the corporate tax rate of the net income from the non-qualifying assets during the period in which we failed to satisfy such asset tests.</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6.If we fail to satisfy one or more requirements for REIT qualification, other than the gross income tests and the asset tests, and such failure was due to reasonable cause and not due to willful neglect, we will be required to pay a penalty of $50,000 for each such failure.</w:t>
      </w:r>
    </w:p>
    <w:p>
      <w:pPr>
        <w:pStyle w:val="TextBody"/>
        <w:bidi w:val="0"/>
        <w:spacing w:lineRule="auto" w:line="288" w:before="0" w:after="200"/>
        <w:ind w:left="0" w:right="0" w:hanging="360"/>
        <w:jc w:val="left"/>
        <w:rPr/>
      </w:pPr>
      <w:r>
        <w:rPr>
          <w:rFonts w:ascii="Times New Roman;serif" w:hAnsi="Times New Roman;serif"/>
          <w:b w:val="false"/>
          <w:color w:val="000000"/>
          <w:sz w:val="20"/>
        </w:rPr>
        <w:t>7.We may be required to pay monetary penalties to the IRS in certain circumstances, including if we fail to meet recordkeeping requirements intended to monitor our compliance with rules relating to the composition of a REIT’s stockholders, as described below in “</w:t>
      </w:r>
      <w:r>
        <w:rPr>
          <w:rFonts w:ascii="Times New Roman;serif" w:hAnsi="Times New Roman;serif"/>
          <w:b w:val="false"/>
          <w:i/>
          <w:color w:val="000000"/>
          <w:sz w:val="20"/>
        </w:rPr>
        <w:t>Requirements for Qualification.</w:t>
      </w:r>
      <w:r>
        <w:rPr>
          <w:color w:val="000000"/>
        </w:rPr>
        <w: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8.If we fail to distribute during a calendar year at least the sum of: (i) 85% of our REIT ordinary income for the year, (ii) 95% of our REIT capital gain net income for the year and (iii) any undistributed taxable income from earlier periods, we will pay a 4% nondeductible excise tax on the excess of the required distribution over the amount we actually distributed, plus any retained amounts on which income tax has been paid at the corporate level.</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9.We may elect to retain and pay U.S. federal income tax on our net long-term capital gain. In that case, a Domestic Holder would be taxed on its proportionate share of our undistributed long-term capital gain (to the extent that we make a timely designation of such gain to the stockholder) and would receive a credit or refund for its proportionate share of the tax we paid.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10.We will be subject to a 100% excise tax on transactions between us and any of our TRSs that are not conducted on an arm’s-length basis.</w:t>
      </w:r>
    </w:p>
    <w:p>
      <w:pPr>
        <w:pStyle w:val="TextBody"/>
        <w:bidi w:val="0"/>
        <w:spacing w:lineRule="auto" w:line="288" w:before="0" w:after="200"/>
        <w:ind w:left="0" w:right="0" w:hanging="360"/>
        <w:jc w:val="left"/>
        <w:rPr/>
      </w:pPr>
      <w:r>
        <w:rPr>
          <w:rFonts w:ascii="Times New Roman;serif" w:hAnsi="Times New Roman;serif"/>
          <w:b w:val="false"/>
          <w:color w:val="000000"/>
          <w:sz w:val="20"/>
        </w:rPr>
        <w:t>11.If (a) we recognize excess inclusion income for a taxable year as a result of our ownership of a 100% equity interest in a TMP or our ownership of a REMIC residual interest and (b) one or more Disqualified Organizations is the record owner of shares of our common stock during that year, then we will be subject to tax at the highest corporate U.S. federal income tax rate on the portion of the excess inclusion income that is allocable to the Disqualified Organizations. We do not anticipate owning REMIC residual interests; we may, however, own 100% of the equity interests in one or more trusts formed in connection with our securitization transactions that would be classified as a TMP.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12.If we acquire any asset from a C corporation, or a corporation that generally is subject to full corporate-level tax, in a merger or other transaction in which we acquire a basis in the asset that is determined by reference either to the C corporation’s basis in the asset or to another asset, we will pay tax at the highest corporate U.S. federal income tax rate if we recognize gain on the sale or disposition of the asset during the 5-year period after we acquire the asset. The amount of gain on which we will pay tax is the lesser of:</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amount of gain that we recognize at the time of the sale or disposition,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amount of gain that we would have recognized if we had sold the asset at the time we acquired it, assuming that the C corporation will not elect in lieu of this treatment to an immediate tax when the asset is acquired.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notwithstanding our qualification as a REIT, we may also have to pay certain state, local, and foreign income, property, and other taxes, because not all states and localities treat REITs in the same manner that they are treated for U.S. federal income tax purposes. Moreover, as further described below, any domestic TRS in which we own an interest will be subject to federal, state and local corporate income tax on its taxable income. We could also be subject to tax in situations and on transactions not presently contemplated</w:t>
      </w:r>
    </w:p>
    <w:p>
      <w:pPr>
        <w:pStyle w:val="TextBody"/>
        <w:bidi w:val="0"/>
        <w:spacing w:before="0" w:after="20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Requirements for Qualification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A REIT is a corporation, trust, or association that meets each of the following requirements: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1.It is managed by one or more trustees or directors.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2.Its beneficial ownership is evidenced by transferable shares or by transferable certificates of beneficial interest.</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3.It would be taxable as a domestic corporation, but for the REIT provisions of the U.S. federal income tax laws.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4.It is neither a financial institution nor an insurance company subject to special provisions of the U.S. federal income tax laws.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5.At least 100 persons are beneficial owners of its shares or ownership certificates.</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6.Not more than 50% in value of its outstanding shares or ownership certificates is owned, directly or indirectly, by five or fewer individuals, which the U.S. federal income tax laws define to include certain entities, during the last half of any taxable year. For purposes of this requirement, indirect ownership will be determined by applying attribution rules set out in section 544 of the Code, as modified by section 856(h) of the Code.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7.It elects to be taxed as a REIT, or has made such election for a previous taxable year, and satisfies all relevant filing and other administrative requirements that must be met to elect and maintain REIT qualification.</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8.It meets certain other qualification tests, described below, regarding the nature of its income and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meet requirements 1 through 4 during our entire taxable year and must meet requirement 5 during at least 335 days of a taxable year of twelve months, or during a proportionate part of a taxable year of less than twelve months. If we comply with all the requirements for ascertaining the ownership of our outstanding stock in a taxable year and have no reason to know that we violated requirement 6, we will be deemed to have satisfied requirement 6 for that taxable year. For purposes of determining share ownership under requirement 6, an “individual” generally includes a supplemental unemployment compensation benefits plan, a private foundation, or a portion of a trust permanently set aside or used exclusively for charitable purposes. An “individual” generally does not include a trust that is a qualified employee pension or profit sharing trust under the U.S. federal income tax laws, however, and beneficiaries of such a trust will be treated as owning our stock in proportion to their actuarial interests in the trust for purposes of requirement 6.</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have and have always had sufficient diversity of ownership to satisfy requirements 5 and 6. In addition, our charter restricts the ownership and transfer of our stock so that we should continue to satisfy these requirements.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monitor compliance with the share ownership requirements, we generally are required to maintain records regarding the actual ownership of our shares. To do so, we must demand written statements each year from the record holders of significant percentages of our stock pursuant to which the record holders must disclose the actual owners of the shares (i.e., the persons required to include our dividends in their gross income). We must maintain a list of those persons failing or refusing to comply with this demand as part of our records. We could be subject to monetary penalties if we fail to comply with these record keeping requirements. If you fail or refuse to comply with the demands, you will be required by Treasury Regulations to submit a statement with your tax return disclosing your actual ownership of our shares and other information. In addition, we must satisfy all relevant filing and other administrative requirements that must be met to elect and maintain REIT qualification and use a calendar year for U.S. federal income tax purposes. We intend to continue to comply with these requirements.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Subsidiary Entities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Qualified REIT Subsidiaries</w:t>
      </w:r>
    </w:p>
    <w:p>
      <w:pPr>
        <w:pStyle w:val="TextBody"/>
        <w:bidi w:val="0"/>
        <w:spacing w:lineRule="auto" w:line="288" w:before="0" w:after="200"/>
        <w:ind w:left="0" w:right="0" w:firstLine="720"/>
        <w:jc w:val="left"/>
        <w:rPr/>
      </w:pPr>
      <w:r>
        <w:rPr>
          <w:rFonts w:ascii="Times New Roman;serif" w:hAnsi="Times New Roman;serif"/>
          <w:b w:val="false"/>
          <w:color w:val="000000"/>
          <w:sz w:val="20"/>
        </w:rPr>
        <w:t>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including for purposes of the gross income and asset tests applicable to REITs (see “-</w:t>
      </w:r>
      <w:r>
        <w:rPr>
          <w:rFonts w:ascii="Times New Roman;serif" w:hAnsi="Times New Roman;serif"/>
          <w:b w:val="false"/>
          <w:i/>
          <w:color w:val="000000"/>
          <w:sz w:val="20"/>
        </w:rPr>
        <w:t>Gross Income Tests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Asset Tests</w:t>
      </w:r>
      <w:r>
        <w:rPr>
          <w:color w:val="000000"/>
        </w:rPr>
        <w:t>”</w:t>
      </w:r>
      <w:r>
        <w:rPr>
          <w:rFonts w:ascii="Times New Roman;serif" w:hAnsi="Times New Roman;serif"/>
          <w:b w:val="false"/>
          <w:color w:val="000000"/>
          <w:sz w:val="20"/>
        </w:rPr>
        <w:t>). A qualified REIT subsidiary is a corporation, other than a TRS, all of the capital stock of which is owned, directly or indirectly, by the REIT. Thus, in applying the requirements described herein, any qualified REIT subsidiary that we own will be ignored, and all assets, liabilities, and items of income, deduction and credit of such subsidiary will be treated as our assets, liabilities, and items of income, deduction and credit.</w:t>
      </w:r>
    </w:p>
    <w:p>
      <w:pPr>
        <w:pStyle w:val="TextBody"/>
        <w:bidi w:val="0"/>
        <w:spacing w:before="0" w:after="200"/>
        <w:ind w:left="0" w:right="0" w:firstLine="720"/>
        <w:jc w:val="left"/>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Other Disregarded Entities and Partnerships</w:t>
      </w:r>
    </w:p>
    <w:p>
      <w:pPr>
        <w:pStyle w:val="TextBody"/>
        <w:bidi w:val="0"/>
        <w:spacing w:lineRule="auto" w:line="288" w:before="0" w:after="200"/>
        <w:ind w:left="0" w:right="0" w:firstLine="720"/>
        <w:jc w:val="left"/>
        <w:rPr/>
      </w:pPr>
      <w:r>
        <w:rPr>
          <w:rFonts w:ascii="Times New Roman;serif" w:hAnsi="Times New Roman;serif"/>
          <w:b w:val="false"/>
          <w:color w:val="000000"/>
          <w:sz w:val="20"/>
        </w:rPr>
        <w:t>An unincorporated domestic entity, such as a partnership, limited liability company, or trust that has a single owner generally is not treated as an entity separate from its parent for U.S. federal income tax purposes, including for purposes of the gross income and asset tests applicable to REITs. An unincorporated domestic entity with two or more owners generally is treated as a partnership for U.S. federal income tax purposes. Our proportionate share of the assets, liabilities, and items of income of any partnership, joint venture or limited liability company that is treated as a partnership for U.S. federal income tax purposes in which we acquire an interest, directly or indirectly, will be treated as our assets and gross income for purposes of applying the various REIT qualification requirements. For purposes of the 10% value test (see “-</w:t>
      </w:r>
      <w:r>
        <w:rPr>
          <w:rFonts w:ascii="Times New Roman;serif" w:hAnsi="Times New Roman;serif"/>
          <w:b w:val="false"/>
          <w:i/>
          <w:color w:val="000000"/>
          <w:sz w:val="20"/>
        </w:rPr>
        <w:t>Asset Tests</w:t>
      </w:r>
      <w:r>
        <w:rPr>
          <w:color w:val="000000"/>
        </w:rPr>
        <w:t>”</w:t>
      </w:r>
      <w:r>
        <w:rPr>
          <w:rFonts w:ascii="Times New Roman;serif" w:hAnsi="Times New Roman;serif"/>
          <w:b w:val="false"/>
          <w:color w:val="000000"/>
          <w:sz w:val="20"/>
        </w:rPr>
        <w:t>), our proportionate share is based on our proportionate interest in the equity interests and certain debt securities issued by the partnership. For all of the other asset and income tests, our proportionate share is based on our proportionate interest in the capital interests in the partnership.</w:t>
      </w:r>
    </w:p>
    <w:p>
      <w:pPr>
        <w:pStyle w:val="TextBody"/>
        <w:bidi w:val="0"/>
        <w:spacing w:lineRule="auto" w:line="288" w:before="0" w:after="200"/>
        <w:ind w:left="0" w:right="0" w:firstLine="720"/>
        <w:jc w:val="left"/>
        <w:rPr/>
      </w:pPr>
      <w:r>
        <w:rPr>
          <w:rFonts w:ascii="Times New Roman;serif" w:hAnsi="Times New Roman;serif"/>
          <w:b w:val="false"/>
          <w:color w:val="000000"/>
          <w:sz w:val="20"/>
        </w:rPr>
        <w:t>If a disregarded subsidiary of ours ceases to be wholly-owned – for example, if any equity interest in the subsidiary is acquired by a person other than us or another disregarded subsidiary of ours – the subsidiary’s separate existence would no longer be disregarded for U.S. federal income tax purposes. Instead, the subsidiary would have multiple owners and would be treated as either a partnership or a taxable corporation. Such an event could, depending on the circumstances, adversely affect our ability to satisfy the various asset and gross income requirements applicable to REITs, including the requirement that REITs generally may not own, directly or indirectly, more than 10% of the securities of another corporation. See “-</w:t>
      </w:r>
      <w:r>
        <w:rPr>
          <w:rFonts w:ascii="Times New Roman;serif" w:hAnsi="Times New Roman;serif"/>
          <w:b w:val="false"/>
          <w:i/>
          <w:color w:val="000000"/>
          <w:sz w:val="20"/>
        </w:rPr>
        <w:t>Asset Tests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Gross Income Tests</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Taxable REIT Subsidiaries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REIT is permitted to own up to 100% of the stock of one or more TRSs. A TRS is a fully taxable corporation that may earn income that would not be qualifying income if earned directly by the parent REIT. The subsidiary and the REIT must jointly elect to treat the subsidiary as a TRS. A corporation with respect to which a TRS directly or indirectly owns more than 35% of the voting power or value of the stock will automatically be treated as a TRS. Overall, no more than 25% (20% beginning in 2018) of the value of a REIT’s assets may consist of stock or securities of one or more TRSs.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separate existence of a TRS or other taxable corporation, unlike a qualified REIT subsidiary or other disregarded subsidiary as discussed above, is not ignored for U.S. federal income tax purposes. Accordingly, a domestic TRS would generally be subject to U.S. federal income tax (and applicable state and local taxes) on its earnings, which may reduce the cash flow generated by us and our subsidiaries in the aggregate and our ability to make distributions to our stockholders.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REIT is not treated as holding the assets of a TRS or other taxable subsidiary corporation or as receiving any income that the subsidiary earns. Rather, the stock issued by the subsidiary is an asset in the hands of the REIT, and the REIT generally recognizes as income the dividends, if any, that it receives from the subsidiary. This treatment can affect the gross income and asset test calculations that apply to the REIT, as described below. Because a parent REIT does not include the assets and income of such subsidiary corporations in determining the parent’s compliance with the REIT requirements, such entities may be used by the parent REIT to undertake indirectly activities that the REIT rules might otherwise preclude it from doing directly or indirectly through pass-through subsidiaries.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restrictions imposed on TRSs are intended to ensure that such entities will be subject to appropriate levels of U.S. federal income taxation. If amounts are paid to a REIT or deducted by a TRS due to transactions between the REIT and a TRS that exceed the amount that would be paid to or deducted by a party in an arm’s-length transaction, the REIT generally will be subject to an excise tax equal to 100% of such excess. We intend to scrutinize all of our transactions with any of our subsidiaries that are treated as a TRS in an effort to ensure that we do not become subject to this excise tax; however, we cannot assure you that we will be successful in avoiding this excise tax.</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Gross Income Tests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must satisfy two gross income tests annually to maintain qualification as a REIT. First, at least 75% of our gross income for each taxable year must consist of defined types of income that we derive from investments relating to real property or mortgages on real property, or from qualified temporary investments. Qualifying income for purposes of the 75% gross income test generally includes: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rents from real property;</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interest on debt secured by a mortgage on real property or on interests in real property;</w:t>
      </w:r>
    </w:p>
    <w:p>
      <w:pPr>
        <w:pStyle w:val="TextBody"/>
        <w:bidi w:val="0"/>
        <w:spacing w:before="0" w:after="20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dividends or other distributions on, and gain from the sale of, shares in other REITs;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gain from the sale of real property (including interests in real property and interests in mortgages on real property) other than property held for sale to customers in the ordinary course of a trade or business;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amount includible in gross income with respect to a regular or residual interest in a REMIC, unless less than 95% of the REMIC’s assets are real estate assets, in which case only a proportionate amount of such income will qualify;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income derived from certain temporary investments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Second, in general, at least 95% of our gross income for each taxable year must consist of some combination of income that is qualifying income for purposes of the 75% gross income test and other types of interest and dividends, or gain from the sale or disposition of stock or securities (provided that such stock or securities are not property held primarily for sale to customers in the ordinary course of business).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income from the sale of property held for sale to customers in the ordinary course of a trade or business is excluded from both the numerator and the denominator in both income tests. Income and gain from hedging transactions that we enter into to hedge indebtedness incurred or to be incurred to acquire or carry real estate assets will generally be excluded from both the numerator and the denominator for purposes of the 95% gross income test and the 75% gross income test. We intend to monitor the amount of our non-qualifying income and manage our investment portfolio to comply at all times with the gross income tests but we cannot assure you that we will be successful in this effort.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term “interest,” as defined for purposes of both gross income tests, generally excludes any amount that is based in whole or in part on the income or profits of any person. However, interest generally includes the following: (i) an amount that is based on a fixed percentage or percentages of gross receipts or sales and (ii) an amount that is based on the income or profits of a borrower, where the borrower derives substantially all of its income from the real property securing the debt by leasing substantially all of its interest in the property, but only to the extent that the amounts received by the borrower would be qualifying “rents from real property” if received directly by a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loan contains a provision that entitles a REIT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 provided that the property is not held as inventory or dealer property.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including original issue discount and market discount, on debt secured by a mortgage on real property or on interests in real property is generally qualifying income for purposes of the 75% gross income test. Where a mortgage covers both real property and other property, an apportionment of interest income must be made for purposes of the 75% gross income test. If a mortgage covers both real property and other property and the fair market value of the real property securing the mortgage loan at the time we commit to originate or acquire the mortgage loan equals or exceeds the highest principal amount of the loan during the year, then all of the interest we accrue on the mortgage loan will qualify for purposes of the 75% gross income test. If, however, the value of the real property were less than the highest principal amount, then only a portion of the interest income we accrue on the mortgage loan would qualify for purposes of the 75% gross income test; such portion based on the percentage equivalent of a fraction, the numerator of which is the fair market value of the real property and the denominator of which is the principal amount of the mortgage loan.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including original issue discount or market discount, that we accrue on our real estate-related investments generally will be qualifying income for purposes of both gross income tests. Interest income from investments that are not secured by mortgages on real property will be qualifying income for purposes of the 95% gross income test but not the 75% gross income test.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Mortgage-Backed Securities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acquired and expect to continue to acquire MBS, including Agency MBS, that will be treated either as interests in a grantor trust or as REMIC regular interests. We expect that all income from the MBS in which we invest will be qualifying income for purposes of the 95% gross income test. In the case of interests in grantor trusts, we will be treated as owning an undivided beneficial ownership interest in the mortgage loans held by the grantor trust. Thus, to the extent those mortgage loans are secured by real property or interests in real property, the income from the grantor trust will be qualifying </w:t>
      </w:r>
    </w:p>
    <w:p>
      <w:pPr>
        <w:pStyle w:val="TextBody"/>
        <w:bidi w:val="0"/>
        <w:spacing w:before="0" w:after="20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income for purposes of the 75% gross income test. Income that we accrue with respect to REMIC regular interests will generally be treated as qualifying income for purposes of the 75% gross income tests. If, however, less than 95% of the assets of the REMIC are real estate assets, then only a proportionate part of such income will qualify for purposes of the 75% gross income test. We expect that substantially all of the income we have accrued and will accrue on our investments in MBS, and any gain from the disposition of MBS, will be qualifying income for purposes of the both the 75% and the 95% gross income tests.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may use “to-be-announced” forward contracts, or TBAs, as a means of investing and financing Agency Securities. There is no direct authority with respect to the qualifications of income or gains from dispositions of TBAs as gains from the sale of real property (including interests in real property and interests in mortgages on real property) or other qualifying income for purposes of the 75% gross income test. We have received advice that TBAs should be so treated. Accordingly, we will treat these items as qualifying for purposes of the 75% gross income test. This advice is not binding on the IRS. In the event that such income was determined not to be qualifying income for the 75% gross income test, we could be subject to a penalty tax or could fail to qualify as a REIT if such income, when added to any other non-qualifying income, exceeded 25% of our gross income.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hold certain participation interests, including B-notes in mortgage loans. Such interests in an underlying loan are created by virtue of a participation or similar agreement to which the originator of the loan is a party, along with one or more participants. The borrower on the underlying loan is typically not a party to the participation agreement. The performance of this investment depends upon the performance of the underlying loan, and if the underlying borrower defaults, the participant typically has no recourse against the originator of the loan.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originator often retains a senior position in the underlying loan, and grants junior participations which absorb losses first in the event of a default by the borrower. We believe that our participation interests will qualify as real estate assets for purposes of the REIT asset tests described below, and that the interest that we will derive from such investments will be treated as qualifying mortgage interest for purposes of the 75% and 95% income tests. The appropriate treatment of participation interests for federal income tax purposes is not entirely certain, however, and no assurance can be given that the IRS will not challenge our treatment of our participation interests. In the event of a determination that such participation interests do not qualify as real estate assets, or that the income that we will derive from such participation interests does not qualify as mortgage interest for purposes of the REIT asset and income tests, we could be subject to a penalty tax, or could fail to qualify as a REIT.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invest in construction loans, the interest from which will be qualifying income for purposes of the REIT income tests, provided that the loan value of the real property securing the construction loan is equal to or greater than the highest outstanding principal amount of the construction loan during any taxable year, and other requirements are met. For purposes of construction loans, the loan value of the real property is the fair market value of the land plus the reasonably estimated cost of the improvements or developments (other than personal property) which will secure the loan and which are to be constructed from the proceeds of the loan. There can be no assurance that the IRS would not successfully challenge our estimate of the loan value of the real property and our treatment of the construction loans for purposes of the REIT income and assets tests, which may cause us to fail to qualify as a REIT.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Foreign Currency Gains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Certain foreign currency gains are excluded from gross income for purposes of one or both of the gross income tests. “Real estate foreign exchange gain” is excluded from gross income for purposes of the 75% gross income test. Real estate foreign exchange gain generally includes foreign currency gain attributable to any item of income or gain that is qualifying income for purposes of the 75% gross income test, foreign currency gain attributable to the acquisition or ownership of (or becoming or being the obligor under) obligations secured by mortgages on real property or on interest in real property and certain foreign currency gain attributable to certain “qualified business units” of a REIT. “Passive foreign exchange gain” will be excluded from gross income for purposes of the 95% gross income test. Passive foreign exchange gain generally includes real estate foreign exchange gain as described above, and also includes foreign currency gain attributable to any item of income or gain that is qualifying income for purposes of the 95% gross income test and foreign currency gain attributable to the acquisition or ownership of (or becoming or being the obligor under) obligations. Because passive foreign exchange gain includes real estate foreign exchange gain, real estate foreign exchange gain is excluded from gross income for purposes of both the 75% and 95% gross income test. These exclusions for real estate foreign exchange gain and passive foreign exchange gain do not apply to foreign currency gain derived from dealing, or engaging in substantial and regular trading, in securities. Such gain is treated as non-qualifying income for purposes of both the 75% and 95% gross income tests.</w:t>
      </w:r>
    </w:p>
    <w:p>
      <w:pPr>
        <w:pStyle w:val="TextBody"/>
        <w:bidi w:val="0"/>
        <w:spacing w:before="0" w:after="20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Fee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receive various fees in connection with our operations. The fees will be qualifying income for purposes of both the 75% gross income and 95% gross income tests if they are received in consideration for entering into an agreement to make a loan secured by a mortgage on real property or an interest in real property and the fees are not determined by income or profits of any person. Other fees are not qualifying income for purposes of either gross income test. Any fees earned by our TRS will not be included for purposes of the gross income tests.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share of any dividends received from any corporation (including any TRS, but excluding any qualified REIT subsidiary) in which we own an 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Derivatives and Hedging Transactions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and our subsidiaries may enter into hedging transactions with respect to interest rate exposure on one or more of our assets or liabilities. Any such hedging transactions could take a variety of forms, including the use of derivative instruments such as interest rate swap contracts, interest rate cap or floor contracts, futures or forward contracts, and options. Except to the extent provided by Treasury Regulations, any income from a hedging transaction we enter into (i) in the normal course of our business primarily to manage risk of interest rate or price changes or currency fluctuations with respect to borrowings made or to be made, or ordinary obligations incurred or to be incurred, to acquire or carry real estate assets, and (ii) primarily to manage risk of currency fluctuations with respect to any item of income or gain that would be qualifying income under the 75% or 95% income tests (or any asset that produces such income) and (iii) in both cases, which are clearly identified as such before the close of the day on which it was acquired, originated, or entered into, will not constitute gross income for purposes of the 75% or 95% gross income test. To the extent that we enter into other types of hedging transactions, the income from those transactions is likely to be treated as non-qualifying income for purposes of both of the 75% and 95% gross income tests. We intend to structure any hedging transactions in a manner that does not jeopardize our qualification as a REIT. We may conduct some or all of our hedging activities (including hedging activities relating to currency risk) through a TRS or other corporate entity, the income from which may be subject to U.S. federal income tax, rather than by participating in the arrangements directly or through pass-through subsidiaries. No assurance can be given, however, that our hedging activities will not give rise to income that does not qualify for purposes of either or both of the REIT gross income tests, or that our hedging activities will not adversely affect our ability to satisfy the REIT qualification requirements.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Failure to Satisfy Gross Income Tests</w:t>
      </w:r>
    </w:p>
    <w:p>
      <w:pPr>
        <w:pStyle w:val="TextBody"/>
        <w:bidi w:val="0"/>
        <w:spacing w:lineRule="auto" w:line="288" w:before="0" w:after="200"/>
        <w:ind w:left="0" w:right="0" w:firstLine="720"/>
        <w:jc w:val="left"/>
        <w:rPr/>
      </w:pPr>
      <w:r>
        <w:rPr>
          <w:rFonts w:ascii="Times New Roman;serif" w:hAnsi="Times New Roman;serif"/>
          <w:b w:val="false"/>
          <w:color w:val="000000"/>
          <w:sz w:val="20"/>
        </w:rPr>
        <w:t>We have monitored and will continue to monitor the amount of our non-qualifying income and manage our assets to comply with the gross income tests for each taxable year for which we seek to maintain our REIT qualification. We cannot assure you, however, that we will be able to satisfy the gross income tests. If we fail to satisfy one or both of the gross income tests for any taxable year, we may nevertheless qualify as a REIT for such year if we qualify for relief under certain provisions of the Code. These relief provisions will be generally available if (i) our failure to meet such tests was due to reasonable cause and not due to willful neglect, and (ii) we file with the IRS a schedule describing the sources of our gross income in accordance with Treasury Regulations. We cannot predict, however, whether in all circumstances, we would qualify for the benefit of these relief provisions. In addition, as discussed above under “-</w:t>
      </w:r>
      <w:r>
        <w:rPr>
          <w:rFonts w:ascii="Times New Roman;serif" w:hAnsi="Times New Roman;serif"/>
          <w:b w:val="false"/>
          <w:i/>
          <w:color w:val="000000"/>
          <w:sz w:val="20"/>
        </w:rPr>
        <w:t>Federal Income Tax Considerations Relating to Our Treatment as a REIT</w:t>
      </w:r>
      <w:r>
        <w:rPr>
          <w:rFonts w:ascii="Times New Roman;serif" w:hAnsi="Times New Roman;serif"/>
          <w:b w:val="false"/>
          <w:color w:val="000000"/>
          <w:sz w:val="20"/>
        </w:rPr>
        <w:t>,” even if the relief provisions apply, a tax would be imposed upon the amount by which we fail to satisfy the particular gross income test.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pStyle w:val="TextBody"/>
        <w:bidi w:val="0"/>
        <w:spacing w:before="0" w:after="20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i/>
          <w:color w:val="000000"/>
          <w:sz w:val="20"/>
        </w:rPr>
      </w:pPr>
      <w:r>
        <w:rPr>
          <w:rFonts w:ascii="Times New Roman;serif" w:hAnsi="Times New Roman;serif"/>
          <w:b/>
          <w:i/>
          <w:color w:val="000000"/>
          <w:sz w:val="20"/>
        </w:rPr>
        <w:t>Cash/Income Differences - Phantom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the nature of the assets in which we will invest, we may be required to recognize taxable income from those assets in advance of our receipt of cash flow on or proceeds from disposition of such assets, and may be required to report taxable income in early periods that exceeds the economic income ultimately realized on such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acquire MBS in the secondary market for less than their face amount. The discount at which such debt instruments are acquired may reflect doubts about their ultimate collectability rather than current market interest rates. The amount of such discount will nevertheless generally be treated as “market discount” for U.S. federal income tax purposes. Payments on mortgage loans are ordinarily made monthly, and consequently accrued market discount generally will have to be included in income each month as if the debt instrument were assured of ultimately being collected in full. If we collect less on the debt instrument than our purchase price plus the market discount we had previously reported as income, we may not be able to benefit from any offsetting loss deductions.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Some of the MBS that we acquire may have been issued with original issue discount. In general, we will be required to accrue original issue discount based on the constant yield to maturity of the MBS, and to treat the accrued original issue discount as taxable income in accordance with applicable U.S. federal income tax rules even though smaller or no cash payments are received on such debt instrument. As in the case of the market discount discussed in the preceding paragraph, the constant yield in question will be determined and we will be taxed based on the assumption that all future payments due on the MBS in question will be made, with consequences similar to those described in the previous paragraph if all payments on the MBS are not made.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any debt instruments or MBS acquired by us are delinquent as to mandatory principal and interest payments, or if payments with respect to a particular debt instrument are not made when due, we may nonetheless be required to continue to recognize the unpaid interest as taxable income. Similarly, we may be required to accrue interest income with respect to subordinate MBS at the stated rate regardless of whether corresponding cash payments are received.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Finally, we may be required under the terms of indebtedness that we incur, whether to private lenders or pursuant to government programs, to use cash received from interest payments to make principal payments on that indebtedness, with the effect of recognizing income but not having a corresponding amount of cash available for distribution to our stockholders.</w:t>
      </w:r>
    </w:p>
    <w:p>
      <w:pPr>
        <w:pStyle w:val="TextBody"/>
        <w:bidi w:val="0"/>
        <w:spacing w:lineRule="auto" w:line="288" w:before="0" w:after="200"/>
        <w:ind w:left="0" w:right="0" w:firstLine="720"/>
        <w:jc w:val="left"/>
        <w:rPr/>
      </w:pPr>
      <w:r>
        <w:rPr>
          <w:rFonts w:ascii="Times New Roman;serif" w:hAnsi="Times New Roman;serif"/>
          <w:b w:val="false"/>
          <w:color w:val="000000"/>
          <w:sz w:val="20"/>
        </w:rPr>
        <w:t>Due to each of these potential timing differences between income recognition or expense deduction and the related cash receipts or disbursements, there is a significant risk that we may have substantial taxable income in excess of cash available for distribution. In that event, we may need to borrow funds or take other actions to satisfy the REIT distribution requirements for the taxable year in which this “phantom income” is recognized. See “-</w:t>
      </w:r>
      <w:r>
        <w:rPr>
          <w:rFonts w:ascii="Times New Roman;serif" w:hAnsi="Times New Roman;serif"/>
          <w:b w:val="false"/>
          <w:i/>
          <w:color w:val="000000"/>
          <w:sz w:val="20"/>
        </w:rPr>
        <w:t>Annual Distribution Requirements</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Asset Tests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qualify as a REIT, we also must satisfy the following asset tests at the end of each quarter of each taxable year. First, at least 75% of the value of our total assets must consist of some combination of “real estate assets,” cash, cash items, government securities, and, under some circumstances, stock or debt instruments purchased with new capital. For this purpose, the term “real estate assets” includes interests in real property (including leaseholds and options to acquire real property and leaseholds), stock of other corporations that qualify as REITs and interests in mortgage loans secured by real property (including certain types of mortgage backed securities). Assets that do not qualify for purposes of the 75% test are subject to the additional asset tests described below.</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Second, the value of our interest in any one issuer’s securities (other than debt and equity securities issued by any of our TRSs, qualified REIT subsidiaries, any other entity that is disregarded as an entity separate from us, and any equity interest we may hold in a partnership) may not exceed 5% of the value of our total assets. Third, we may not own more than 10% of the voting power or 10% of the value of any one issuer’s outstanding securities (other than debt and equity securities issued by any of our TRSs, qualified REIT subsidiaries, any other entity that is disregarded as an entity separate from us, and any equity interest we may hold in a partnership). Solely for purposes of the 10% asset test, the determination of our interest in the assets of a partnership or limited liability company in which we own an interest will be based on our proportionate interest in any securities issued by the partnership or limited liability company, excluding for this purpose certain securities described in the Code. For purposes of the 10% value test, the term “securities” does not include certain “straight debt” securities. Fourth, no more than 20% of the value of our total assets may consist of the securities of one or more TRSs. Fifth, no more than 25% of the total value of our assets may be represented by “nonqualified publicly offered REIT debt </w:t>
      </w:r>
    </w:p>
    <w:p>
      <w:pPr>
        <w:pStyle w:val="TextBody"/>
        <w:bidi w:val="0"/>
        <w:spacing w:before="0" w:after="20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instruments” (i.e., real estate assets that would cease to be real estate assets if debt instruments issued by publicly offered REITs were not included in the definition of real estate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general rule that, for purposes of the gross income and asset tests, a REIT is treated as owning its proportionate share of the underlying assets of a partnership in which it holds a partnership interest, if a REIT holds indebtedness issued by a partnership, the indebtedness will be subject to, and may cause a violation of the asset tests, unless it is a qualifying mortgage asset or otherwise satisfies the rules for “straight debt.” Similarly, although stock of another REIT qualifies as a real estate asset for purposes of the REIT asset tests, non-mortgage debt issued by another REIT may not so qualify (such debt, however, will not be treated as a “security” for purposes of the 10% asset test).</w:t>
      </w:r>
    </w:p>
    <w:p>
      <w:pPr>
        <w:pStyle w:val="TextBody"/>
        <w:bidi w:val="0"/>
        <w:spacing w:lineRule="auto" w:line="288" w:before="0" w:after="200"/>
        <w:ind w:left="0" w:right="0" w:firstLine="720"/>
        <w:jc w:val="left"/>
        <w:rPr/>
      </w:pPr>
      <w:r>
        <w:rPr>
          <w:rFonts w:ascii="Times New Roman;serif" w:hAnsi="Times New Roman;serif"/>
          <w:b w:val="false"/>
          <w:color w:val="000000"/>
          <w:sz w:val="20"/>
        </w:rPr>
        <w:t xml:space="preserve">Certain securities will not cause a violation of the 10% asset test described above. Such securities include instruments that constitute “straight debt,” which includes, among other things, securities having certain contingency features. A security does not qualify as “straight debt” where a REIT (or a controlled TRS of the REIT) owns other securities of the same issuer which do not qualify as straight debt, unless the value of those other securities constitute, in the aggregate, 1% or less of the total value of that issuer’s outstanding securities. In addition to straight debt, the Code provides that certain other securities will not violate the 10% asset test. Such securities include (i) any loan made to an individual or an estate, (ii) certain rental agreements pursuant to which one or more payments are to be made in subsequent years (other than agreements between a REIT and certain persons related to the REIT under attribution rules), (iii) any obligation to pay rents from real property, (iv) securities issued by governmental entities that are not dependent in whole or in part on the profits of (or payments made by) a non-governmental entity, (v) any security (including debt securities) issued by another REIT, and (vi) any debt instrument issued by a partnership if the partnership’s income is of a nature that it would satisfy the 75% gross income test described above under “- </w:t>
      </w:r>
      <w:r>
        <w:rPr>
          <w:rFonts w:ascii="Times New Roman;serif" w:hAnsi="Times New Roman;serif"/>
          <w:b w:val="false"/>
          <w:i/>
          <w:color w:val="000000"/>
          <w:sz w:val="20"/>
        </w:rPr>
        <w:t>Gross Income Tests</w:t>
      </w:r>
      <w:r>
        <w:rPr>
          <w:rFonts w:ascii="Times New Roman;serif" w:hAnsi="Times New Roman;serif"/>
          <w:b w:val="false"/>
          <w:color w:val="000000"/>
          <w:sz w:val="20"/>
        </w:rPr>
        <w:t>.” In applying the 10% asset test, a debt security issued by a partnership is not taken into account to the extent, if any, of the REIT’s proportionate interest in the equity and certain debt securities issued by that partnership.</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intend to acquire and manage MBS that are either interests in grantor trusts or REMIC regular interests. In the case of interests in grantor trusts, we will be treated as owning an undivided beneficial ownership interest in the mortgage loans held by the grantor trust, and we will be treated as owning an interest in real estate assets to the extent those mortgage loans held by the grantor trust represent real estate assets. In the case of REMIC regular interests, such regular interests will generally qualify as real estate assets. If, however, less than 95% of the REMIC’s assets are real estate assets, then only a proportionate part of the regular interest will be a real estate asset. We expect that substantially all of the MBS we acquire will be treated as real estate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we have and expect to continue to enter into repurchase agreements under which we will nominally sell certain of our assets to a counterparty and simultaneously enter into an agreement to repurchase the sold assets. We believe that we will be treated for U.S. federal income tax purposes as the owner of the assets that are the subject of any such repurchase agreement and the repurchase agreement will be treated as a secured lending transaction notwithstanding that we may transfer record ownership of the assets to the counterparty during the term of the agreement. It is possible, however, that the IRS could successfully assert that we did not own the assets during the term of the repurchase agreement, in which case we could fail to qualify as a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that the assets and mortgage-related securities that we own generally will be qualifying assets for purposes of the 75% asset test. However, to the extent that we own non-REMIC collateralized mortgage obligations or other debt instruments secured by mortgage loans (rather than by real property) or secured by non-real estate assets, or debt securities issued by C corporations that are not secured by mortgages on real property, those securities may not be qualifying assets for purposes of the 75% asset test. In addition, we utilize TBAs as a means of investing and financing Agency Securities. There is no direct authority with respect to the qualification of TBAs as real estate assets or U.S. Government securities for purposes of the 75% asset test. We have received advice that TBAs should be so treated. Accordingly, we will treat these items as qualifying assets for purposes of the 75% asset test. This advice is not binding on the IRS. In the event our TBAs were determined not to be qualifying assets for purposes of the 75% asset test, we could be subject to a penalty tax or fail to qualify as a REIT if such assets, when combined with other non-real estate assets, exceed 25% of our gross assets. We believe that our holdings of securities and other assets will be structured in a manner that will comply with the foregoing REIT asset requirements and intend to monitor compliance on an ongoing basis. There can be no assurance, however, that we will be successful in this effort. Moreover, values of some assets may not be susceptible to a precise determination and are subject to change in the future. Furthermore, the proper classification of an instrument as debt or equity for U.S. federal income tax purposes may be uncertain in some circumstances, which could affect the application of the REIT asset tests. Accordingly, there can be no assurance that the IRS will not contend that our interests in subsidiaries or in the securities of other issuers (including REIT issuers) cause a violation of the REIT asset tests.</w:t>
      </w:r>
    </w:p>
    <w:p>
      <w:pPr>
        <w:pStyle w:val="TextBody"/>
        <w:bidi w:val="0"/>
        <w:spacing w:before="0" w:after="20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ind w:left="0" w:right="0" w:firstLine="720"/>
        <w:jc w:val="left"/>
        <w:rPr/>
      </w:pPr>
      <w:r>
        <w:rPr>
          <w:rFonts w:ascii="Times New Roman;serif" w:hAnsi="Times New Roman;serif"/>
          <w:b w:val="false"/>
          <w:color w:val="000000"/>
          <w:sz w:val="20"/>
        </w:rPr>
        <w:t>We have invested, and we expect to continue to do so, possibly at an increased level, in interest-bearing “credit risk transfer notes”, or CRT Notes, issued (or to be issued) by Fannie Mae and Freddie Mac. Under the terms of those CRT Notes, Fannie Mae and Freddie Mac transfer a portion of the default risk associated with particular identified residential mortgage loan pools as to which those agencies have guaranteed full and timely payment of principal and interest to holders of mortgage-backed securities backed by those mortgage loans. The principal amount of the CRT Notes is reduced by reference to default losses on the mortgage loans pools to which they relate. The prospectuses and placement memoranda with respect to the CRT Notes state that the CRT Notes will be treated as debt instruments for U.S. federal income purposes and that counsel to Fannie Mae or Freddie Mac, as applicable, has delivered an opinion to that effect. In addition, those prospectuses and placement memoranda also state that the CRT Notes are “government securities” within the meaning of Section 856(c)(4) of the Code because they are issued by governmental instrumentalities (</w:t>
      </w:r>
      <w:r>
        <w:rPr>
          <w:rFonts w:ascii="Times New Roman;serif" w:hAnsi="Times New Roman;serif"/>
          <w:b w:val="false"/>
          <w:i/>
          <w:color w:val="000000"/>
          <w:sz w:val="20"/>
        </w:rPr>
        <w:t>i.e.</w:t>
      </w:r>
      <w:r>
        <w:rPr>
          <w:rFonts w:ascii="Times New Roman;serif" w:hAnsi="Times New Roman;serif"/>
          <w:b w:val="false"/>
          <w:color w:val="000000"/>
          <w:sz w:val="20"/>
        </w:rPr>
        <w:t>, Fannie Mae and Freddie Mac). As a result, we treat CRT Notes as qualifying assets for purposes of the 75% asset test. Although Fannie Mae and Freddie Mac are instrumentalities of the U.S. government, their views on the tax classification of the CRT Notes are not binding on the IRS. Thus, it is possible that the IRS could assert that the CRT Notes are not government securities for REIT purposes. If that were to occur, we might not be able to satisfy the 5% REIT asset test. Nevertheless, given the disclosure issued by the agencies and the other information and analysis relevant to our treatment of the CRT Notes as government securities, we believe that we have reasonable cause for any failure of the 5% asset test and would be able to retain our REIT status by paying any applicable penalty taxes and causing our assets to come back into compliance with the REIT asset tests, including by acquiring additional qualifying REIT assets, selling some or all of the CRT Notes, or restructuring our ownership of the CRT Notes using TRS structures.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monitored and will continue to monitor the status of our assets for purposes of the various asset tests and will seek to manage our portfolio to comply at all times with such tests. There can be no assurance, however, that we will be successful in this effort. In this regard, to determine our compliance with these requirements, we will need to estimate the value of our assets to ensure compliance with the asset tests. We will not obtain independent appraisals to support our conclusions concerning the values of our assets. Moreover, some of the assets that we may own may not be susceptible to precise valuation. Although we will seek to be prudent in making these estimates, there can be no assurance that the IRS will not disagree with these determinations and assert that a different value is applicable, in which case we might not satisfy the 75% asset test and the other asset tests and would fail to qualify as a REIT.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Failure to Satisfy Asset Tests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we fail to satisfy the asset tests as the end of a quarter, we will not lose our REIT qualification if: </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1.we satisfied the asset tests at the end of the preceding calendar quarter; and</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discrepancy between the value of our assets and the asset test requirements arose from changes in the market values of our assets and was not wholly or partly caused by the acquisition of one or more non-qualifying assets.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did not satisfy the condition described in the second bullet above, we still could avoid disqualification by eliminating any discrepancy within 30 days after the close of the calendar quarter in which it arose.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violate the 5% value test, 10% voting test or 10% value test described above at the end of any calendar quarter, we will not lose our REIT qualification if (i) the failure is de minimis (up to the lesser of 1% of our total assets or $10 million) and (ii) we dispose of these assets or otherwise comply with the asset tests within six months after the last day of the quarter. In the event of a more than de minimis failure of any of the asset tests, as long as the failure was due to reasonable cause and not to willful neglect, we will not lose our REIT qualification if we (i) file with the IRS a schedule describing the assets that caused the failure, (ii) dispose of these assets or otherwise comply with the asset tests within six months after the last day of the quarter and (iii) pay a tax equal to the greater of $50,000 per failure or an amount equal to the product of the highest corporate income tax rate (currently 21%) and the net income from the non-qualifying assets during the period in which we failed to satisfy the asset tests.</w:t>
      </w:r>
    </w:p>
    <w:p>
      <w:pPr>
        <w:pStyle w:val="TextBody"/>
        <w:bidi w:val="0"/>
        <w:spacing w:lineRule="auto" w:line="288" w:before="0" w:after="200"/>
        <w:ind w:left="0" w:right="0" w:firstLine="720"/>
        <w:jc w:val="left"/>
        <w:rPr>
          <w:rFonts w:ascii="Times New Roman;serif" w:hAnsi="Times New Roman;serif"/>
          <w:b/>
          <w:color w:val="000000"/>
          <w:sz w:val="20"/>
        </w:rPr>
      </w:pPr>
      <w:r>
        <w:rPr>
          <w:rFonts w:ascii="Times New Roman;serif" w:hAnsi="Times New Roman;serif"/>
          <w:b/>
          <w:color w:val="000000"/>
          <w:sz w:val="20"/>
        </w:rPr>
        <w:t>Annual Distribution Requirements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qualify as a REIT, we are required to distribute dividends (other than capital gain dividends) to our stockholders in an amount at least equal to:</w:t>
      </w:r>
    </w:p>
    <w:p>
      <w:pPr>
        <w:pStyle w:val="TextBody"/>
        <w:bidi w:val="0"/>
        <w:spacing w:lineRule="auto" w:line="288" w:before="0" w:after="6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sum of</w:t>
      </w:r>
    </w:p>
    <w:p>
      <w:pPr>
        <w:pStyle w:val="TextBody"/>
        <w:bidi w:val="0"/>
        <w:spacing w:before="0" w:after="20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60"/>
        <w:ind w:left="0" w:right="0" w:hanging="360"/>
        <w:jc w:val="left"/>
        <w:rPr/>
      </w:pPr>
      <w:r>
        <w:rPr>
          <w:rFonts w:ascii="Times New Roman;serif" w:hAnsi="Times New Roman;serif"/>
          <w:b w:val="false"/>
          <w:color w:val="000000"/>
          <w:sz w:val="20"/>
        </w:rPr>
        <w:t>(i)</w:t>
      </w:r>
      <w:r>
        <w:rPr>
          <w:color w:val="000000"/>
        </w:rPr>
        <w:t xml:space="preserve"> </w:t>
      </w:r>
      <w:r>
        <w:rPr>
          <w:rFonts w:ascii="Times New Roman;serif" w:hAnsi="Times New Roman;serif"/>
          <w:b w:val="false"/>
          <w:color w:val="000000"/>
          <w:sz w:val="20"/>
        </w:rPr>
        <w:t>90% of our “REIT taxable income” (computed without regard to the dividends paid deduction and our net capital gains), and</w:t>
      </w:r>
    </w:p>
    <w:p>
      <w:pPr>
        <w:pStyle w:val="TextBody"/>
        <w:bidi w:val="0"/>
        <w:spacing w:lineRule="auto" w:line="288" w:before="0" w:after="60"/>
        <w:ind w:left="0" w:right="0" w:hanging="360"/>
        <w:jc w:val="left"/>
        <w:rPr/>
      </w:pPr>
      <w:r>
        <w:rPr>
          <w:rFonts w:ascii="Times New Roman;serif" w:hAnsi="Times New Roman;serif"/>
          <w:b w:val="false"/>
          <w:color w:val="000000"/>
          <w:sz w:val="24"/>
        </w:rPr>
        <w:t>(ii)</w:t>
      </w:r>
      <w:r>
        <w:rPr>
          <w:rFonts w:ascii="Times New Roman;serif" w:hAnsi="Times New Roman;serif"/>
          <w:b w:val="false"/>
          <w:color w:val="000000"/>
          <w:sz w:val="20"/>
        </w:rPr>
        <w:t xml:space="preserve">90% of the net income (after tax), if any, from foreclosure property (as described below), minus </w:t>
      </w:r>
    </w:p>
    <w:p>
      <w:pPr>
        <w:pStyle w:val="TextBody"/>
        <w:bidi w:val="0"/>
        <w:spacing w:lineRule="auto" w:line="288" w:before="0" w:after="2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(B)certain items of non-cash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we were to recognize “built-in-gain” (as defined below) on disposition of any assets acquired from a “C” corporation in a transaction in which our basis in the assets was determined by reference to the “C” corporation’s basis (for instance, if the assets were acquired in a tax-free reorganization), we would be required to distribute at least 90% of the built-in-gain recognized net of the tax we would pay on such gain. “Built-in-gain” is the excess of (a) the fair market value of an asset (measured at the time of acquisition) over (b) the basis of the asset (measured at the time of acquisition).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Such distributions must be paid in the taxable year to which they relate, or in the following taxable year if either (i) we declare the distribution before we file a timely U.S. federal income tax return for the year and pay the distribution with or before the first regular dividend payment after such declaration or (ii) we declare the distribution in October, November or December of the taxable year, payable to stockholders of record on a specified day in any such month, and we actually pay the dividends before the end of January of the following year. The distributions under clause (i) are taxable to the Holders of our common stock in the year in which paid, and the distributions in clause (ii) are treated as paid on December 31 of the prior taxable year. In both instances, these distributions relate to our prior taxable year for purposes of the 90% distribution requirement.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will pay U.S. federal income tax at corporate tax rates on our taxable income, including net capital gain, that we do not distribute to stockholders. Furthermore, if we fail to distribute during each calendar year, or by the end of January following the calendar year in the case of distributions with declaration and record dates falling in the last three months of the calendar year, at least the sum of (i) 85% of our REIT ordinary income for such year, (ii) 95% of our REIT capital gain income for such year and (iii) any undistributed taxable income from prior periods, we will be subject to a 4% nondeductible excise tax on the excess of such required distribution over the amounts actually distributed. We generally intend to make timely distributions sufficient to satisfy the annual distribution requirements and to avoid corporate U.S. federal income tax and the 4% nondeductible excise tax.</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elect to retain rather than distribute our net capital gain and pay tax on such gains. In this case, we could elect to have our stockholders include their proportionate share of such undistributed capital gains in income and to receive a corresponding credit or refund, as the case may be, for their share of the tax paid by us. Stockholders would then increase the adjusted basis of their stock by the difference between the designated amounts of capital gains from us that they include in their taxable income, and the tax paid on their behalf by us with respect to that income.</w:t>
      </w:r>
    </w:p>
    <w:p>
      <w:pPr>
        <w:pStyle w:val="TextBody"/>
        <w:bidi w:val="0"/>
        <w:spacing w:lineRule="auto" w:line="288" w:before="0" w:after="200"/>
        <w:ind w:left="0" w:right="0" w:firstLine="720"/>
        <w:jc w:val="left"/>
        <w:rPr/>
      </w:pPr>
      <w:r>
        <w:rPr>
          <w:rFonts w:ascii="Times New Roman;serif" w:hAnsi="Times New Roman;serif"/>
          <w:b w:val="false"/>
          <w:color w:val="000000"/>
          <w:sz w:val="20"/>
        </w:rPr>
        <w:t>To the extent that a REIT has available net operating losses carried forward from prior tax years, such losses may reduce the amount of distributions that it must make to comply with the REIT distribution requirements. Such losses, however, will generally not affect the character, in the hands of stockholders, of any distributions that are actually made by the REIT, which are generally taxable to stockholders to the extent that the REIT has current or accumulated earnings and profits. See “-</w:t>
      </w:r>
      <w:r>
        <w:rPr>
          <w:rFonts w:ascii="Times New Roman;serif" w:hAnsi="Times New Roman;serif"/>
          <w:b w:val="false"/>
          <w:i/>
          <w:color w:val="000000"/>
          <w:sz w:val="20"/>
        </w:rPr>
        <w:t>Taxation of Holders -Taxation of Taxable Domestic Holders</w:t>
      </w:r>
      <w:r>
        <w:rPr>
          <w:rFonts w:ascii="Times New Roman;serif" w:hAnsi="Times New Roman;serif"/>
          <w:b w:val="false"/>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find it difficult or impossible to meet distribution requirements in certain circumstances. Due to the nature of the assets in which we will invest, we may be required to recognize taxable income from those assets in advance of our receipt of cash flow on or proceeds from disposition of such assets. For instance, we may be required to accrue interest and discount income on mortgage loans, mortgage backed securities, and other types of debt securities or interests in debt securities before we receive any payments of interest or principal on such assets. Moreover, in certain instances we may be required to accrue taxable income that we may not actually recognize as economic income. For example, if we own a residual equity position in a mortgage loan securitization, we may recognize taxable income that we will never actually receive due to losses sustained on the underlying mortgage loans. Although those losses would be deductible for tax purposes, they would likely occur in a year subsequent to the year in which we recognized the taxable income. Thus, for any taxable year, we may be required to fund distributions in excess of cash flow received from our investments. If such circumstances arise, then to fund our distribution requirement and maintain our status as a REIT we may have to sell assets at unfavorable prices, borrow at unfavorable terms, make taxable stock dividends, or pursue other strategies. We cannot be assured, however, that any such strategy would be successful if our cash flow were to become insufficient to make the required distributions. Alternatively, we may declare a taxable dividend payable in cash or stock at the election of each stockholder, where the aggregate amount of cash to be distributed in such dividend may be subject to limitation. In such case, for U.S. federal income tax purposes, the amount of the dividend paid in stock will be equal to the amount of cash that could have been received instead of stock.</w:t>
      </w:r>
    </w:p>
    <w:p>
      <w:pPr>
        <w:pStyle w:val="TextBody"/>
        <w:bidi w:val="0"/>
        <w:spacing w:before="0" w:after="20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certain circumstances, we may be able to rectify a failure to meet the distribution requirement for a year by paying “deficiency dividends” to stockholders in a later year, which may be included in our deduction for dividends paid for the earlier year. Thus, we may be able to avoid being taxed on amounts distributed as deficiency dividends; however, we will be required to pay interest and a penalty to the IRS based on the amount of any deduction taken for deficiency dividends.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Failure to Qualify</w:t>
      </w:r>
    </w:p>
    <w:p>
      <w:pPr>
        <w:pStyle w:val="TextBody"/>
        <w:bidi w:val="0"/>
        <w:spacing w:lineRule="auto" w:line="288" w:before="0" w:after="200"/>
        <w:ind w:left="0" w:right="0" w:firstLine="720"/>
        <w:jc w:val="left"/>
        <w:rPr/>
      </w:pPr>
      <w:r>
        <w:rPr>
          <w:rFonts w:ascii="Times New Roman;serif" w:hAnsi="Times New Roman;serif"/>
          <w:b w:val="false"/>
          <w:color w:val="000000"/>
          <w:sz w:val="20"/>
        </w:rPr>
        <w:t>If we fail to satisfy one or more requirements for REIT qualification, other than the gross income tests and the asset tests, we could avoid disqualification if our failure is due to reasonable cause and not to willful neglect and we pay a penalty of $50,000 for each such failure. In addition, there are relief provisions for a failure of the gross income tests and asset tests, as described in “</w:t>
      </w:r>
      <w:r>
        <w:rPr>
          <w:rFonts w:ascii="Times New Roman;serif" w:hAnsi="Times New Roman;serif"/>
          <w:b w:val="false"/>
          <w:i/>
          <w:color w:val="000000"/>
          <w:sz w:val="20"/>
        </w:rPr>
        <w:t>Gross Income Tests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Asset Tests</w:t>
      </w:r>
      <w:r>
        <w:rPr>
          <w:rFonts w:ascii="Times New Roman;serif" w:hAnsi="Times New Roman;serif"/>
          <w:b w:val="false"/>
          <w:color w:val="000000"/>
          <w:sz w:val="20"/>
        </w:rPr>
        <w: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fail to qualify for taxation as a REIT in any taxable year, and the relief provisions do not apply, we will be subject to tax on our taxable income at regular federal corporate income tax rates. Distributions to stockholders in any year in which we fail to qualify will not be deductible by us nor will they be required to be made. In such event, to the extent of current and accumulated earnings and profits, all distributions to stockholders will be taxable as ordinary income, and, subject to certain limitations of the Code, corporate stockholders may be eligible for the dividends received deduction, and individual stockholders and other non-corporate stockholders may be eligible to be taxed at the reduced 23.8% rate currently applicable to qualified dividend income. Unless entitled to relief under specific statutory provisions, we will also be disqualified from taxation as a REIT for the four taxable years following the year during which qualification was lost. We cannot predict whether in all circumstances we would be entitled to such statutory relief.</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Prohibited Transactions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income derived by a REIT from a prohibited transaction is subject to a 100% excise tax. The term “prohibited transaction” generally includes a sale or other disposition of property (other than foreclosure property) that is held “primarily for sale to customers in the ordinary course of a trade or business.” Although we do not expect that our assets will be held primarily for sale to customers, these terms are dependent upon the particular facts and circumstances, and we cannot assure you that we will never be subject to this excise tax. The 100% tax does not apply to gains from the sale of property that is held through a TRS or other taxable corporation, although such income will be subject to tax in the hands of the corporation at regular federal corporate income tax rates. We intend to structure our activities to avoid transactions that are prohibited transactions.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Foreclosure Property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REIT is subject to tax at the maximum corporate rate (currently 21%) on any income from foreclosure property, including gain from the disposition of such foreclosure property, other than income that otherwise would be qualifying income for purposes of the 75% gross income test. Foreclosure property is real property and any personal property incident to such real property (i) that is acquired by a REIT as result of the REIT having bid on such property at foreclosure, or having otherwise reduced the property to ownership or possession by agreement or process of law, after there was a default (or default was imminent) on a lease of such property or a mortgage loan held by the REIT and secured by the property, (ii) for which the related loan or lease was acquired by the REIT at a time when default was not imminent or anticipated and (iii) for which such REIT makes a proper election to treat the property as foreclosure property. Any gain from the sale of property for which a foreclosure election has been made will not be subject to the 100% excise tax on gains from prohibited transactions described above, even if the property would otherwise constitute inventory or dealer property in the hands of the selling REIT. We do not expect to receive income from foreclosure property that is not qualifying income for purposes of the 75% gross income test. However, if we do receive any such income, we intend to make an election to treat the related property as foreclosure property.</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Taxable Mortgage Pools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An entity, or a portion of an entity, may be classified as a TMP under the Code if (i) substantially all of its assets consist of debt obligations or interests in debt obligations, (ii) more than 50% of those debt obligations are real estate mortgage loans, interests in real estate mortgage loans or interests in certain MBS as of specified testing dates, (iii) the entity has issued debt obligations that have two or more maturities and (iv) the payments required to be made by the entity on its debt obligations “bear a relationship” to the payments to be received by the entity on the debt obligations that it holds as assets. Under Treasury Regulations, if less than 80% of the assets of an entity (or a portion of an entity) consists of debt </w:t>
      </w:r>
    </w:p>
    <w:p>
      <w:pPr>
        <w:pStyle w:val="TextBody"/>
        <w:bidi w:val="0"/>
        <w:spacing w:before="0" w:after="20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obligations, these debt obligations are considered not to comprise “substantially all” of its assets, and therefore the entity would not be treated as a TMP.</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structure or enter into securitization or financing transactions that will cause us to be viewed as owning interests in one or more TMPs. Generally, if an entity or a portion of an entity is classified as a TMP, then the entity or portion thereof is treated as a taxable corporation and it cannot file a consolidated U.S. federal income tax return with any other corporation. If, however, a REIT owns 100% of the equity interests in a TMP, then the TMP is a qualified REIT subsidiary and, as such, ignored as an entity separate from the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long as we owned 100% of the equity interests in the TMP, all or a portion of the income that we recognize with respect to our investment in the TMP will be treated as excess inclusion income. Section 860E(c) of the Code defines the term “excess inclusion” with respect to a residual interest in a REMIC. The IRS, however, has yet to issue guidance on the computation of excess inclusion income on equity interests in a TMP held by a REIT. Generally, however, excess inclusion income with respect to our investment in any TMP and any taxable year will equal the excess of (i) the amount of income we accrue on our investment in the TMP over (ii) the amount of income we would have accrued if our investment were a debt instrument having an issue price equal to the fair market value of our investment on the day we acquired it and a yield to maturity equal to 120% of the long-term applicable federal rate in effect on the date we acquired our interest. The term “applicable federal rate” refers to rates that are based on weighted average yields for treasury securities and are published monthly by the IRS for use in various tax calculations. If we undertake securitization transactions that are TMPs, the amount of excess inclusion income we recognize in any taxable year could represent a significant portion of our total taxable income for that year.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recognized excess inclusion income, then under guidance issued by the IRS we would be required to allocate the excess inclusion income proportionately among the dividends we pay to our stockholders and we must notify our stockholders of the portion of our dividends that represents excess inclusion income. The portion of any dividend you receive that is treated as excess inclusion income is subject to special rules. First, your taxable income can never be less than the sum of your excess inclusion income for the year; excess inclusion income cannot be offset with net operating losses or other allowable deductions. Second, if you are a tax-exempt organization and your excess inclusion income is subject to the unrelated business income tax, then the excess inclusion portion of any dividend you receive will be treated as unrelated business taxable income. Third, dividends paid to Foreign Holders who hold stock for investment and not in connection with a trade or business conducted in the United States will be subject to United States federal withholding tax without regard to any reduction in rate otherwise allowed by any applicable income tax treaty.</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recognize excess inclusion income, and one or more Disqualified Organizations are record holders of shares of common stock, we will be taxable at the highest federal corporate income tax rate on the portion of any excess inclusion income equal to the percentage of our stock that is held by Disqualified Organizations. In such circumstances, we may reduce the amount of our distributions to a Disqualified Organization whose stock ownership gave rise to the tax. To the extent that our common or preferred stock owned by Disqualified Organizations is held by a broker/dealer or other nominee, the broker/dealer or other nominee would be liable for a tax at the highest corporate tax rate on the portion of our excess inclusion income allocable to our common or preferred stock held by the broker/dealer or other nominee on behalf of the Disqualified Organizations.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own less than 100% of the equity interests in a TMP, the foregoing rules would not apply. Rather, the TMP would be treated as a corporation for U.S. federal income tax purposes and would potentially be subject to federal corporate income tax. This could adversely affect our compliance with the REIT gross income and asset tests described above. We currently do not have, and currently do not intend to enter into any securitization or financing transaction that is a TMP in which we own some, but less than all, of the equity interests, and we intend to monitor the structure of any TMPs in which we have an interest to ensure that they will not adversely affect our status as a REIT. We cannot assure you that we will be successful in this regard.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Taxation of Holders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Taxation of Taxable Domestic Holders</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Distributions</w:t>
      </w:r>
      <w:r>
        <w:rPr>
          <w:rFonts w:ascii="Times New Roman;serif" w:hAnsi="Times New Roman;serif"/>
          <w:b w:val="false"/>
          <w:color w:val="000000"/>
          <w:sz w:val="20"/>
        </w:rPr>
        <w:t xml:space="preserve">. As long as we qualify as a REIT, distributions we make to our taxable Domestic Holders out of current or accumulated earnings and profits (and not designated as capital gain dividends) will be taken into account by them as ordinary income. Dividends we pay to a corporation will not be eligible for the dividends received deduction. In addition, distributions we make to individuals and other Holders that are not corporations generally will not be eligible for the reduced </w:t>
      </w:r>
    </w:p>
    <w:p>
      <w:pPr>
        <w:pStyle w:val="TextBody"/>
        <w:bidi w:val="0"/>
        <w:spacing w:before="0" w:after="20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rate of tax in effect for “qualified dividend income.” However, provided certain holding period and other requirements are met, an individual or other non-corporate Holder will be eligible for the reduced long-term capital gain rate with respect to (i) distributions attributable to dividends we receive from certain “C” corporations, such as our TRSs, and (ii) distributions attributable to income upon which we have paid corporate income tax.</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that we designate as capital gain dividends will be taxed as long-term capital gains (to the extent that they do not exceed our actual net capital gain for the taxable year) without regard to the period for which you have owned our common or preferred stock. Capital gains attributable to the sale of depreciable real property held for more than 12 months are subject to a 25% maximum U.S. federal income tax rate for taxpayers who are taxed as individuals, to the extent of previously claimed depreciation deductions.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Rather than distribute our net capital gains, we may elect to retain and pay the U.S. federal income tax on them, in which case you will (i) include your proportionate share of the undistributed net capital gains in income, (ii) receive a credit for your share of the U.S. federal income tax we pay and (iii) increase the basis in your common or preferred stock by the difference between your share of the capital gain and your share of the credit.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for taxable years that begin after December 31, 2017 and before January 1, 2026, stockholders that are individuals, trusts or estates are generally entitled to a deduction equal to 20% of the aggregate amount of ordinary income dividends received from a REIT (not including dividends eligible for the reduced rates applicable to “qualified dividend income,” or capital gain dividends as described above), subject to certain limitations. IRS regulations provide that a non-corporate stockholder can only claim this deduction if our stock has been held by such stockholder for more than 45 days during the 91-day period beginning on the date which is 45 days before the date on which such share becomes ex-dividend with respect to such dividend. Non-corporate stockholders are urged to consult their tax advisors as to their ability to claim this deduction.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Distributions in excess of our current and accumulated earnings and profits will not be taxable to you to the extent that they do not exceed your adjusted tax basis in our common or preferred stock you own, but rather, will reduce your adjusted tax basis in your common or preferred stock. Assuming that the common or preferred stock you own is a capital asset, to the extent that such distributions exceed your adjusted tax basis in the common or preferred stock you own, you must include them in income as long-term capital gain (or short-term capital gain if the common or preferred stock has been held for one year or less). </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we declare a dividend in October, November or December of any year that is payable to stockholders of record on a specified date in any such month, but actually distribute the amount declared in January of the following year, then you must treat the January distribution as though you received it on December 31 of the year in which we declared the dividend. In addition, we may elect to treat other distributions after the close of the taxable year as having been paid during the taxable year, but you will be treated as having received these distributions in the taxable year in which they are actually made.</w:t>
      </w:r>
    </w:p>
    <w:p>
      <w:pPr>
        <w:pStyle w:val="TextBody"/>
        <w:bidi w:val="0"/>
        <w:spacing w:lineRule="auto" w:line="288" w:before="0" w:after="200"/>
        <w:ind w:left="0" w:right="0" w:firstLine="720"/>
        <w:jc w:val="left"/>
        <w:rPr/>
      </w:pPr>
      <w:r>
        <w:rPr>
          <w:rFonts w:ascii="Times New Roman;serif" w:hAnsi="Times New Roman;serif"/>
          <w:b w:val="false"/>
          <w:color w:val="000000"/>
          <w:sz w:val="20"/>
        </w:rPr>
        <w:t>To the extent that we have available net operating losses and capital losses carried forward from prior tax years, subject to limitations, such losses may reduce the amount of distributions that we must make to comply with the REIT distribution requirements. See “-</w:t>
      </w:r>
      <w:r>
        <w:rPr>
          <w:rFonts w:ascii="Times New Roman;serif" w:hAnsi="Times New Roman;serif"/>
          <w:b w:val="false"/>
          <w:i/>
          <w:color w:val="000000"/>
          <w:sz w:val="20"/>
        </w:rPr>
        <w:t>Annual Distribution Requirements</w:t>
      </w:r>
      <w:r>
        <w:rPr>
          <w:rFonts w:ascii="Times New Roman;serif" w:hAnsi="Times New Roman;serif"/>
          <w:b w:val="false"/>
          <w:color w:val="000000"/>
          <w:sz w:val="20"/>
        </w:rPr>
        <w:t>.” Such losses, however, are not passed through to you and do not offset your income from other sources, nor would they affect the character of any distributions that you receive from us; you will be subject to tax on those distributions to the extent that we have current or accumulated earnings and profits.</w:t>
      </w:r>
    </w:p>
    <w:p>
      <w:pPr>
        <w:pStyle w:val="TextBody"/>
        <w:bidi w:val="0"/>
        <w:spacing w:lineRule="auto" w:line="288" w:before="0" w:after="200"/>
        <w:ind w:left="0" w:right="0" w:firstLine="720"/>
        <w:jc w:val="left"/>
        <w:rPr/>
      </w:pPr>
      <w:r>
        <w:rPr>
          <w:rFonts w:ascii="Times New Roman;serif" w:hAnsi="Times New Roman;serif"/>
          <w:b w:val="false"/>
          <w:color w:val="000000"/>
          <w:sz w:val="20"/>
        </w:rPr>
        <w:t>If we recognize excess inclusion income, we will identify a portion of the distributions that we make to you as excess inclusion income. Your taxable income can never be less than the sum of your excess inclusion income for the year; excess inclusion income cannot be offset with net operating losses or other allowable deductions.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Dispositions of Our Stock Generally.</w:t>
      </w:r>
      <w:r>
        <w:rPr>
          <w:color w:val="000000"/>
        </w:rPr>
        <w:t xml:space="preserve"> </w:t>
      </w:r>
      <w:r>
        <w:rPr>
          <w:rFonts w:ascii="Times New Roman;serif" w:hAnsi="Times New Roman;serif"/>
          <w:b w:val="false"/>
          <w:color w:val="000000"/>
          <w:sz w:val="20"/>
        </w:rPr>
        <w:t>Except as discussed below with respect to our preferred stock, any gain or loss you recognize upon the sale or other disposition of our common or preferred stock will generally be capital gain or loss for U.S. federal income tax purposes, and will be long-term capital gain or loss if you held the common or preferred stock for more than one year. In addition, any loss you recognize upon a sale or exchange of our common or preferred stock that you have owned for six months or less (after applying certain holding period rules) will generally be treated as a long-term capital loss to the extent of distributions received from us that you are required to treat as long-term capital gain.</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If you recognize a loss upon a disposition of our common or preferred stock in an amount that exceeds a prescribed threshold, it is possible that the provisions of Treasury Regulations involving “reportable transactions” could apply, with a </w:t>
      </w:r>
    </w:p>
    <w:p>
      <w:pPr>
        <w:pStyle w:val="TextBody"/>
        <w:bidi w:val="0"/>
        <w:spacing w:before="0" w:after="20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resulting requirement to separately disclose the loss-generating transaction to the IRS. While these regulations are directed towards “tax shelters,” they are written quite broadly, and apply to transactions that would not typically be considered tax shelters. In addition, significant penalties may be imposed for failure to comply with these requirements. You should consult your tax advisor concerning any possible disclosure obligation with respect to the receipt or disposition of our common or preferred stock, or transactions that might be undertaken directly or indirectly by us. Moreover, you should be aware that we and other participants in the transactions involving us (including our advisors) may be subject to disclosure or other requirements pursuant to these regulations.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Amounts that you are required to include in taxable income with respect to our common or preferred stock you own, including taxable distributions and the income you recognize with respect to undistributed net capital gain, and any gain recognized upon your disposition of our common or preferred stock, will not be treated as passive activity income. You may not offset any passive activity losses you may have, such as losses from limited partnerships in which you have invested, with income you recognize with respect to our shares of common or preferred stock. Generally, income you recognize with respect to our common or preferred stock will be treated as investment income for purposes of the investment interest limitations.</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 xml:space="preserve">Information Reporting and Backup Withholding. </w:t>
      </w:r>
      <w:r>
        <w:rPr>
          <w:rFonts w:ascii="Times New Roman;serif" w:hAnsi="Times New Roman;serif"/>
          <w:b w:val="false"/>
          <w:color w:val="000000"/>
          <w:sz w:val="20"/>
        </w:rPr>
        <w:t>We will report to our stockholders and to the IRS the amount of distributions we pay during each calendar year and the amount of tax we withhold, if any. Under the backup withholding rules, you may be subject to backup withholding at the applicable statutory rate with respect to distributions unless you:</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are a corporation or come within certain other exempt categories and, when required, demonstrate this fact;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provide a taxpayer identification number, certify as to no loss of exemption from backup withholding, and otherwise comply with the applicable requirements of the backup withholding rules.</w:t>
      </w:r>
    </w:p>
    <w:p>
      <w:pPr>
        <w:pStyle w:val="TextBody"/>
        <w:bidi w:val="0"/>
        <w:spacing w:lineRule="auto" w:line="288" w:before="0" w:after="200"/>
        <w:ind w:left="0" w:right="0" w:firstLine="720"/>
        <w:jc w:val="left"/>
        <w:rPr/>
      </w:pPr>
      <w:r>
        <w:rPr>
          <w:rFonts w:ascii="Times New Roman;serif" w:hAnsi="Times New Roman;serif"/>
          <w:b w:val="false"/>
          <w:color w:val="000000"/>
          <w:sz w:val="20"/>
        </w:rPr>
        <w:t>Any amount paid as backup withholding will be creditable against your income tax liability. For a discussion of the backup withholding rules as applied to foreign holders, see “-</w:t>
      </w:r>
      <w:r>
        <w:rPr>
          <w:rFonts w:ascii="Times New Roman;serif" w:hAnsi="Times New Roman;serif"/>
          <w:b w:val="false"/>
          <w:i/>
          <w:color w:val="000000"/>
          <w:sz w:val="20"/>
        </w:rPr>
        <w:t>Taxation of Foreign Holders</w:t>
      </w:r>
      <w:r>
        <w:rPr>
          <w:rFonts w:ascii="Times New Roman;serif" w:hAnsi="Times New Roman;serif"/>
          <w:b w:val="false"/>
          <w:color w:val="000000"/>
          <w:sz w:val="20"/>
        </w:rPr>
        <w:t>.”</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Special Considerations for Our Preferred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Subject to the discussion below, an investment in our preferred stock is generally subject to the same U.S. federal income tax considerations applicable to an investment in our common stock.</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 xml:space="preserve">Redemption of Our Capital Stock. </w:t>
      </w:r>
      <w:r>
        <w:rPr>
          <w:rFonts w:ascii="Times New Roman;serif" w:hAnsi="Times New Roman;serif"/>
          <w:b w:val="false"/>
          <w:color w:val="000000"/>
          <w:sz w:val="20"/>
        </w:rPr>
        <w:t>A redemption of shares of our preferred stock will be treated by operation of section 302(b) of the Code as a distribution taxable as a dividend to the extent of our current and accumulated earnings and profits, generally at ordinary income rates, unless the redemption satisfies one of the tests set forth in section 302(b) of the Code and is therefore treated as a sale or exchange of the redeemed shares of capital stock. The redemption will be treated as a sale or exchange if it: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“substantially disproportionate” with respect to the Holder;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results in a “complete termination” of the Holder’s capital stock interest in us;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is “not essentially equivalent to a dividend” with respect to the Holder.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determining whether any of these tests have been met, shares of capital stock, including common stock and other equity interests in us, considered to be owned by the Holder by reason of certain constructive ownership rules set forth in the Code, as well as shares of our capital stock actually owned by the Holder, must generally be taken into account. Because the determination as to whether any of the alternative tests will be satisfied with respect to the Holder depends upon the facts and circumstances at the time that the determination must be made, investors are advised to consult their tax advisors to determine such tax treatment.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redemption of shares of our preferred stock is treated as a distribution, the amount of the distribution will be measured by the amount of cash and the fair market value of any property received. A Holder’s adjusted tax basis in the redeemed shares of the preferred stock for tax purposes will be transferred to its remaining shares of our capital stock, if any. If a Holder owns no other shares of our capital stock, under certain circumstances, such basis may be transferred to a related person or it may be lost entirely. With respect to a redemption of our capital stock that is treated as a distribution but that is not otherwise taxable as a dividend because it exceeds our earnings and profits, the method by which a holder must reduce its basis is uncertain in situations where the Holder owns different blocks of stock that were acquired at different prices and thus have different bases. Prospective investors should consult their tax advisors regarding the U.S. federal income tax consequences of a redemption of the preferred stock.</w:t>
      </w:r>
    </w:p>
    <w:p>
      <w:pPr>
        <w:pStyle w:val="TextBody"/>
        <w:bidi w:val="0"/>
        <w:spacing w:before="0" w:after="20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redemption of shares of our stock is not treated as a distribution taxable as a dividend, it will be treated as a taxable sale or exchange in the manner described for dispositions of our common stock.</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 xml:space="preserve">Conversion of Preferred Stock. </w:t>
      </w:r>
      <w:r>
        <w:rPr>
          <w:rFonts w:ascii="Times New Roman;serif" w:hAnsi="Times New Roman;serif"/>
          <w:b w:val="false"/>
          <w:color w:val="000000"/>
          <w:sz w:val="20"/>
        </w:rPr>
        <w:t>Upon the occurrence of certain changes of control, each Holder of preferred stock will have the right (unless, generally, prior to the date of the change in control, we have provided notice of our election to redeem some or all of the shares of the preferred stock held by such Holder, in which case such Holder will have the right only with respect to shares of preferred stock that are not called for redemption) to convert some or all of such Holder’s preferred stock into shares of our common stock (or generally certain alternative conversion consideration, as applicable). A Holder generally will not recognize gain or loss upon the conversion of preferred stock into shares of our common stock. A Holder’s tax basis and holding period in the shares of common stock received upon conversion generally will be the same as those of the converted preferred stock (but the tax basis will be reduced by the portion of adjusted tax basis allocated to any fractional share of common stock exchanged for cash).</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received upon conversion in lieu of a fractional share of common stock generally will be treated as a payment in a taxable exchange for such fractional share of common stock, and gain or loss will be recognized on the receipt of cash in an amount equal to the difference between the amount of cash received and the adjusted tax basis allocable to the fractional common share deemed exchanged. This gain or loss will be long-term capital gain or loss if the Holder has held the preferred stock for more than one year.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Any common stock received on conversion in exchange for accrued and unpaid dividends on the preferred stock generally will be treated as a distribution by us, and subject to tax treatment of distributions as described above.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if a Holder receives certain alternative conversion consideration (in lieu of shares of our common stock) in connection with the conversion of the Holder’s shares of preferred stock, the tax treatment of the receipt of any such other consideration will depend on the nature of the consideration and the structure of the transaction that gives rise to the change of control, and it may be a taxable exchange. Holders converting their shares of preferred stock should consult their tax advisors regarding the U.S. federal income tax consequences of any such conversion and of the ownership and disposition of the consideration received upon any such conversion.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Taxation of Tax-Exempt Holders</w:t>
      </w:r>
    </w:p>
    <w:p>
      <w:pPr>
        <w:pStyle w:val="TextBody"/>
        <w:bidi w:val="0"/>
        <w:spacing w:lineRule="auto" w:line="288" w:before="0" w:after="200"/>
        <w:ind w:left="0" w:right="0" w:firstLine="720"/>
        <w:jc w:val="left"/>
        <w:rPr/>
      </w:pPr>
      <w:r>
        <w:rPr>
          <w:rFonts w:ascii="Times New Roman;serif" w:hAnsi="Times New Roman;serif"/>
          <w:b w:val="false"/>
          <w:color w:val="000000"/>
          <w:sz w:val="20"/>
        </w:rPr>
        <w:t>Tax-exempt entities, including qualified employee pension and profit sharing trusts and individual retirement accounts, are generally exempt from U.S. federal income taxation. However, they are subject to taxation on their unrelated business taxable income (“UBTI”). Provided that a tax-exempt Holder (i) has not held our common or preferred stock as “debt financed property” within the meaning of the Code and (ii) has not used our common or preferred stock in an unrelated trade or business, amounts that we distribute to tax-exempt Holders generally should not constitute UBTI. To the extent that we are (or a part of us, or a disregarded subsidiary of ours is) a TMP, a portion of the dividends paid to a tax-exempt Holder that is allocable to excess inclusion income may be treated as UBTI. If, however, excess inclusion income is allocable to some categories of tax-exempt Holders that are not subject to UBTI, we might be subject to corporate level tax on such income, and, in that case, may reduce the amount of distributions to those Holders whose ownership gave rise to the tax. However, a tax-exempt Holder’s allocable share of any excess inclusion income that we recognize will be subject to tax as UBTI.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 As required by IRS guidance, we intend to notify Holders of our common and preferred stock if a portion of a dividend paid by us is attributable to excess inclusion income.</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Tax-exempt Holders that are social clubs, voluntary employee benefit associations, supplemental unemployment benefit trusts and qualified group legal services plans, exempt from taxation under special provisions of the U.S. federal income tax laws, are subject to different UBTI rules, which generally will require them to characterize distributions that they receive from us as UBTI.</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circumstances, a qualified employee pension trust or profit sharing trust that owns more than 10% of our stock could be required to treat a percentage of the dividends that it receives from us as UBTI if we are a “pension-held REIT.” We will not be a pension-held REIT unless either (a) one pension trust owns more than 25% of the value of our stock or (b) a group of pension trusts individually holding more than 10% of our stock collectively owns more than 50% of the value of our stock. However, the restrictions on ownership and transfer of our stock are designed, among other things, to prevent a tax-exempt entity from owning more than 10% of the value of our stock, thus making it unlikely that we will become a pension-held REIT.</w:t>
      </w:r>
    </w:p>
    <w:p>
      <w:pPr>
        <w:pStyle w:val="TextBody"/>
        <w:bidi w:val="0"/>
        <w:spacing w:before="0" w:after="20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Taxation of Foreign Holders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U.S. federal income and estate tax consequences of the ownership and disposition of our common or preferred stock applicable to a Foreign Holder.</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 partnership, including for this purpose any entity that is treated as a partnership for U.S. federal income tax purposes, holds our common or preferred stock, the tax treatment of a partner in the partnership will generally depend upon the status of the partner and the activities of the partnership. An investor that is a partnership having Foreign Holders as partners should consult its tax advisors about the U.S. federal income tax consequences of the acquisition, ownership and disposition of our common or preferred stock.</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discussion is based on current law and is for general information only. This discussion addresses only certain and not all aspects of U.S. federal income and estate taxation.</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General</w:t>
      </w:r>
      <w:r>
        <w:rPr>
          <w:rFonts w:ascii="Times New Roman;serif" w:hAnsi="Times New Roman;serif"/>
          <w:b w:val="false"/>
          <w:color w:val="000000"/>
          <w:sz w:val="20"/>
        </w:rPr>
        <w:t>. For most foreign investors, investment in a REIT that invests principally in mortgage loans and MBS is not the most tax-efficient way to acquire and manage, through our subsidiaries, such assets. That is because receiving distributions of income derived from such assets in the form of REIT dividends subjects most foreign investors to withholding taxes that direct investment in those asset classes, and the direct receipt of interest and principal payments with respect to them, would not. The principal exceptions are foreign sovereigns and their agencies and instrumentalities, which may be exempt from withholding taxes on REIT dividends under the Code, and certain foreign pension funds or similar entities able to claim an exemption from withholding taxes on REIT dividends under the terms of a bilateral tax treaty between their country of residence and the United States.</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 xml:space="preserve">Ordinary Dividend Distributions. </w:t>
      </w:r>
      <w:r>
        <w:rPr>
          <w:rFonts w:ascii="Times New Roman;serif" w:hAnsi="Times New Roman;serif"/>
          <w:b w:val="false"/>
          <w:color w:val="000000"/>
          <w:sz w:val="20"/>
        </w:rPr>
        <w:t>The portion of dividends received by a Foreign Owner payable out of our current and accumulated earnings and profits that are not attributable to our capital gains and that are not effectively connected with a U.S. trade or business of the Foreign Holder will be subject to U.S. withholding tax at the rate of 30% (unless reduced by an applicable income tax treaty). In general, a Foreign Holder will not be considered engaged in a U.S. trade or business solely as a result of its ownership of our common or preferred stock. In cases where the dividend income from a Foreign Holder’s investment in our common or preferred stock is (or is treated as) effectively connected with the Foreign Holder’s conduct of a U.S. trade or business, the Foreign Holder generally will be subject to U.S. tax at graduated rates, in the same manner as Domestic Holders are taxed with respect to such dividends (and may also be subject to the 30% branch profits tax in the case of a foreign owner that is a foreign corporation). If a Foreign Holder is the record holder of shares of our common or preferred stock, we plan to withhold U.S. income tax at the rate of 30% on the gross amount of any distribution paid to a Foreign Holder unless: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lower income treaty rate applies and the Foreign Holder provides us with an IRS Form W-8BEN (or other applicable IRS Form W-8) evidencing eligibility for that reduced rate;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Foreign Holder provides us with an IRS Form W-8ECI certifying that the distribution is effectively connected income.</w:t>
      </w:r>
    </w:p>
    <w:p>
      <w:pPr>
        <w:pStyle w:val="TextBody"/>
        <w:bidi w:val="0"/>
        <w:spacing w:lineRule="auto" w:line="288" w:before="0" w:after="200"/>
        <w:ind w:left="0" w:right="0" w:firstLine="720"/>
        <w:jc w:val="left"/>
        <w:rPr/>
      </w:pPr>
      <w:r>
        <w:rPr>
          <w:rFonts w:ascii="Times New Roman;serif" w:hAnsi="Times New Roman;serif"/>
          <w:b w:val="false"/>
          <w:color w:val="000000"/>
          <w:sz w:val="20"/>
        </w:rPr>
        <w:t>Under some income tax treaties, lower withholding tax rates do not apply to ordinary dividends from REITs. Furthermore, reduced treaty rates are not available to the extent that distributions are treated as excess inclusion income. See “</w:t>
      </w:r>
      <w:r>
        <w:rPr>
          <w:rFonts w:ascii="Times New Roman;serif" w:hAnsi="Times New Roman;serif"/>
          <w:b w:val="false"/>
          <w:i/>
          <w:color w:val="000000"/>
          <w:sz w:val="20"/>
        </w:rPr>
        <w:t>Taxable Mortgage Pools</w:t>
      </w:r>
      <w:r>
        <w:rPr>
          <w:rFonts w:ascii="Times New Roman;serif" w:hAnsi="Times New Roman;serif"/>
          <w:b w:val="false"/>
          <w:color w:val="000000"/>
          <w:sz w:val="20"/>
        </w:rPr>
        <w:t>.” As required by IRS guidance, we intend to notify Holders of our common and preferred stock if a portion of a dividend paid by us is excess inclusion income.</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Non-Dividend Distributions.</w:t>
      </w:r>
      <w:r>
        <w:rPr>
          <w:color w:val="000000"/>
        </w:rPr>
        <w:t xml:space="preserve"> </w:t>
      </w:r>
      <w:r>
        <w:rPr>
          <w:rFonts w:ascii="Times New Roman;serif" w:hAnsi="Times New Roman;serif"/>
          <w:b w:val="false"/>
          <w:color w:val="000000"/>
          <w:sz w:val="20"/>
        </w:rPr>
        <w:t>Distributions we make to a Foreign Holder that are not considered to be distributions out of our current and accumulated earnings and profits will not be subject to U.S. federal income or withholding tax unless the distribution exceeds the Foreign Holder’s adjusted tax basis in our common or preferred stock at the time of the distribution and, as described below, the Foreign Holder would otherwise be taxable on any gain from a disposition of our common or preferred stock. If it cannot be determined at the time a distribution is made whether or not such distribution will be in excess of our current and accumulated earnings and profits, the entire distribution will be subject to withholding at the rate applicable to dividends. A Foreign Holder may, however, seek a refund of such amounts from the IRS if it is subsequently determined that the distribution was, in fact, in excess of our current and accumulated earnings and profits, provided the proper forms are timely filed with the IRS by the Foreign Holder.</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Capital Gain Dividends.</w:t>
      </w:r>
      <w:r>
        <w:rPr>
          <w:color w:val="000000"/>
        </w:rPr>
        <w:t xml:space="preserve"> </w:t>
      </w:r>
      <w:r>
        <w:rPr>
          <w:rFonts w:ascii="Times New Roman;serif" w:hAnsi="Times New Roman;serif"/>
          <w:b w:val="false"/>
          <w:color w:val="000000"/>
          <w:sz w:val="20"/>
        </w:rPr>
        <w:t xml:space="preserve">Distributions that we make to Foreign Holders that are attributable to our disposition of U.S. real property interests (“USRPI,” which term does not include interests in mortgage loans and mortgage-backed securities) are subject to U.S. federal income and withholding taxes pursuant to the Foreign Investment in Real Property Act </w:t>
      </w:r>
    </w:p>
    <w:p>
      <w:pPr>
        <w:pStyle w:val="TextBody"/>
        <w:bidi w:val="0"/>
        <w:spacing w:before="0" w:after="20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of 1980, or FIRPTA, and may also be subject to branch profits tax if the Foreign Holder is a corporation that is not entitled to treaty relief or exemption. Although we do not anticipate recognizing any gain attributable to the disposition of USRPI, as defined by FIRPTA, Treasury Regulations interpreting the FIRPTA provisions of the Code could be read to impose a withholding tax at a rate of 21% on all of our capital gain dividends (or amounts we could have designated as capital gain dividends) paid to Foreign Holders, even if no portion of the capital gains we recognize during the year are attributable to our disposition of USRPI. However, in any event, the FIRPTA rules will not apply to distributions to a Foreign Holder so long as (i) our common or preferred stock, as applicable, is regularly traded (as defined by applicable Treasury Regulations) on an established securities market, and (ii) the Foreign Holder owns (actually or constructively) no more than 10% of our common or preferred stock, as applicable, at any time during the one-year period ending with the date of the distribution.</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Dispositions of Our Stock.</w:t>
      </w:r>
      <w:r>
        <w:rPr>
          <w:color w:val="000000"/>
        </w:rPr>
        <w:t xml:space="preserve"> </w:t>
      </w:r>
      <w:r>
        <w:rPr>
          <w:rFonts w:ascii="Times New Roman;serif" w:hAnsi="Times New Roman;serif"/>
          <w:b w:val="false"/>
          <w:color w:val="000000"/>
          <w:sz w:val="20"/>
        </w:rPr>
        <w:t>Unless our common stock or preferred constitutes a USRPI, a sale of our common or preferred stock by a Foreign Holder generally will not be subject to U.S. federal income tax under FIRPTA. We do not expect that our common or preferred stock will constitute a USRPI. Our common or preferred stock will not constitute a USRPI if less than 50% of our assets throughout a prescribed testing period consist of interests in real property located within the United States, excluding, for this purpose, interest in real property solely in the capacity as a creditor. Even if the foregoing test is not met, our common or preferred stock will not constitute a USRPI if we are a domestically controlled REIT. A “domestically controlled REIT” is a REIT in which, at all times during a specified testing period, less than 50% in value of its shares is held directly or indirectly by foreign owners. We believe that we will be a domestically controlled REIT, and that a sale of our stock should not be subject to taxation under FIRPTA. However, no assurance can be given that we are or will remain a domestically controlled REIT.</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Even if we do not constitute a domestically controlled REIT, a Foreign Holder’s sale of our common or preferred stock generally will still not be subject to tax under FIRPTA as a sale of a USRPI provided that (i) our common or preferred stock, as applicable, is “regularly traded” (as defined by applicable Treasury Regulations) on an established securities market and (ii) the selling Foreign Holder has owned (actually or constructively) 10% or less of our outstanding common or preferred stock, as applicable, at all times during a specified testing period.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gain on the sale of our stock were subject to taxation under FIRPTA, the Foreign Holder would generally be subject to the same treatment as a Domestic Holder with respect to such gain (subject to applicable alternative minimum tax and a special alternative minimum tax in the case of nonresident alien individuals) and the purchaser of the common or preferred stock could be required to withhold 15% of the purchase price and remit such amount to the IRS.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Capital gains not subject to FIRPTA will nonetheless be taxable in the United States to a Foreign Holder in two cases. First, if the Foreign Holder’s investment in our common or preferred stock is effectively connected with a U.S. trade or business conducted by such Foreign Holder, the Foreign Holder will generally be subject to the same treatment as a Domestic Holder with respect to such gain. Second, if the Foreign Holder is a nonresident alien individual who was present in the United States for 183 days or more during the taxable year and has a “tax home” in the United States, the nonresident alien individual will be subject to a 30% tax on the individual’s capital gain.</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Estate Tax.</w:t>
      </w:r>
      <w:r>
        <w:rPr>
          <w:color w:val="000000"/>
        </w:rPr>
        <w:t xml:space="preserve"> </w:t>
      </w:r>
      <w:r>
        <w:rPr>
          <w:rFonts w:ascii="Times New Roman;serif" w:hAnsi="Times New Roman;serif"/>
          <w:b w:val="false"/>
          <w:color w:val="000000"/>
          <w:sz w:val="20"/>
        </w:rPr>
        <w:t>Our common or preferred stock owned or treated as owned by an individual who is not a citizen or resident of the United States (as specially defined for U.S. federal estate tax purposes) at the time of death will be includible in the individual’s gross estate for U.S. federal estate tax purposes, unless an applicable estate tax treaty provides otherwise. Such individual’s estate may be subject to U.S. federal estate tax on the property includible in the estate for U.S. federal estate tax purposes.</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 xml:space="preserve">Information Reporting and Backup Withholding. </w:t>
      </w:r>
      <w:r>
        <w:rPr>
          <w:rFonts w:ascii="Times New Roman;serif" w:hAnsi="Times New Roman;serif"/>
          <w:b w:val="false"/>
          <w:color w:val="000000"/>
          <w:sz w:val="20"/>
        </w:rPr>
        <w:t>Under current Treasury Regulations, information reporting and backup withholding will not apply to payments on our common or preferred stock made by us or our paying agent (in its capacity as such) to you if you have provided the required certification that you are a Foreign Holder, provided that neither we nor our paying agent has actual knowledge or reason to know that you are a Domestic Holder. However, we or our paying agent may be required to report to the IRS and you payments of dividends on our common or preferred stock and the amount of tax, if any, withheld with respect to those payments. Copies of the information returns reporting such payments and any withholding may also be made available to the tax authorities in the country in which you reside under the provisions of a treaty or agreement. The gross proceeds from the disposition of your common or preferred stock may be subject to information reporting and backup withholding tax. If you sell your common or preferred stock outside the United States through a non-U.S. office of a non-U.S. broker and the sales proceeds are paid to you outside the United States, then the U.S. information reporting and backup withholding requirements generally will not apply to that payment. However, U.S. information reporting, but not backup withholding, will apply to a payment of sales proceeds, even if that payment is made outside the United States, if you sell common or preferred stock through a non-U.S. office of a broker that:</w:t>
      </w:r>
    </w:p>
    <w:p>
      <w:pPr>
        <w:pStyle w:val="TextBody"/>
        <w:bidi w:val="0"/>
        <w:spacing w:before="0" w:after="20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a U.S. person;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derives 50% or more of its gross income in specific periods from the conduct of a trade or business in the United States;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a “controlled foreign corporation” for U.S. federal income tax purposes; or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is a foreign partnership, if at any time during its tax year: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one or more of its partners are U.S. persons who in the aggregate hold more than 50% of the income or capital interests in the partnership;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foreign partnership is engaged in a U.S. trade or business.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unless the broker has documentary evidence in its files that you are a Foreign Holder and certain other conditions are met or you otherwise establish an exemption. If you receive payment of the proceeds of a sale of your common or preferred stock to or through a U.S. office of a broker, the payment is subject to both U.S. backup withholding and information reporting unless you provide an IRS Form W-8BEN (or other applicable IRS Form W-8) certifying that you are a Foreign Holder or you otherwise establish an exemption, provided that the broker does not have actual knowledge or reason to know that you are not a Foreign Holder or the conditions of any other exemption are not, in fact, satisfied.</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are encouraged to consult your own tax advisor regarding application of backup withholding in your particular circumstance and the availability of and procedure for obtaining an exemption from backup withholding under current Treasury Regulations. Any amounts withheld under the backup withholding rules from a payment to you will be allowed as a refund or credit against your U.S. federal income tax liability, provided the required information is timely furnished to the IRS.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FATCA Withholding</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 xml:space="preserve">Withholding on Foreign Financial Accounts. </w:t>
      </w:r>
      <w:r>
        <w:rPr>
          <w:rFonts w:ascii="Times New Roman;serif" w:hAnsi="Times New Roman;serif"/>
          <w:b w:val="false"/>
          <w:color w:val="000000"/>
          <w:sz w:val="20"/>
        </w:rPr>
        <w:t>Under FATCA, we will be required to withhold 30% of “withholdable payments” made to certain Foreign Holders. This 30% withholding tax will apply to withholdable payments made to an Holder that is a “foreign financial institution” (“FFI”) unless the FFI enters into an agreement with the IRS to collect and provide to the IRS on an annual basis substantial information regarding its United States accounts (which include certain equity and debt holders, as well as certain account holders that are foreign entities with owners that are U.S. Persons), or an exception applies. Alternatively, an FFI resident or doing business in a country that has entered into an intergovernmental agreement with the U.S. to implement FATCA will be exempt from FATCA withholding provided that the FFI and the applicable foreign government comply with the terms of such agreement. An FFI is generally any foreign entity that (i) accepts deposits in the ordinary course of business (ii) holds financial assets for the account of others as a substantial portion of its business, (iii) is engaged primarily in the business of investing or trading in securities or partnership interests or (iv) certain insurance companies issuing cash-value insurance or annuity contracts. The 30% withholding tax will also apply to withholdable payments made to a foreign entity that is not a FFI unless the entity provides the withholding agent with a completed Form W-8BEN or Form W-8BEN-E certifying its FATCA status and, in certain circumstances, identifying its substantial U.S. owners, which generally includes any U.S. Person who directly or indirectly owns more than 10% of the entity. The term “withholdable payment” includes any payment of interest and dividends,, in each case with respect to any U.S. investment. Proposed regulations eliminate the requirement of withholding on gross proceeds from the sale or disposition of stock. The U.S. Treasury Department has indicated that taxpayers may rely on these proposed regulations pending their finalization.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Other Tax Consequences</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 xml:space="preserve">Medicare Tax. </w:t>
      </w:r>
      <w:r>
        <w:rPr>
          <w:rFonts w:ascii="Times New Roman;serif" w:hAnsi="Times New Roman;serif"/>
          <w:b w:val="false"/>
          <w:color w:val="000000"/>
          <w:sz w:val="20"/>
        </w:rPr>
        <w:t>Certain taxable Domestic Holders who are individuals, estates or trusts are subject to a 3.8% tax on all or a portion of their “net investment income,” which may include all or a portion of their dividends on our common and preferred stock and net gains from the taxable disposition of our common and preferred stock. Domestic Holders that are individuals, estates or trusts should consult their tax advisors regarding the applicability of the Medicare tax to any of their income or gains in respect of our common and preferred stock.</w:t>
      </w:r>
    </w:p>
    <w:p>
      <w:pPr>
        <w:pStyle w:val="TextBody"/>
        <w:bidi w:val="0"/>
        <w:spacing w:lineRule="auto" w:line="288" w:before="0" w:after="200"/>
        <w:ind w:left="0" w:right="0" w:firstLine="720"/>
        <w:jc w:val="left"/>
        <w:rPr/>
      </w:pPr>
      <w:r>
        <w:rPr>
          <w:rFonts w:ascii="Times New Roman;serif" w:hAnsi="Times New Roman;serif"/>
          <w:b w:val="false"/>
          <w:i/>
          <w:color w:val="000000"/>
          <w:sz w:val="20"/>
        </w:rPr>
        <w:t>State and Local Taxes.</w:t>
      </w:r>
      <w:r>
        <w:rPr>
          <w:color w:val="000000"/>
        </w:rPr>
        <w:t xml:space="preserve"> </w:t>
      </w:r>
      <w:r>
        <w:rPr>
          <w:rFonts w:ascii="Times New Roman;serif" w:hAnsi="Times New Roman;serif"/>
          <w:b w:val="false"/>
          <w:color w:val="000000"/>
          <w:sz w:val="20"/>
        </w:rPr>
        <w:t>We and our stockholders may be subject to state or local taxation in various state or local jurisdictions, including those in which we or they transact business or reside. The state and local tax treatment may not conform to the U.S. federal income tax consequences discussed above. Consequently, prospective investors should consult their own tax advisors regarding the effect of state and local tax laws on an investment in our common or preferred stock.</w:t>
      </w:r>
    </w:p>
    <w:p>
      <w:pPr>
        <w:pStyle w:val="TextBody"/>
        <w:bidi w:val="0"/>
        <w:spacing w:before="0" w:after="20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Legislative or other actions affecting REITs could materially and adversely affect us and our stockholders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rules dealing with U.S. federal income taxation are constantly under review by persons involved in the legislative process and by the IRS and the U.S. Department of the Treasury. Changes to the tax laws, with or without retroactive application, could materially and adversely affect us and our stockholders. We cannot predict how changes in the tax laws might affect us or our stockholders. New legislation, U.S. Treasury Regulations, administrative interpretations or court decisions could significantly and negatively affect our ability to qualify as a REIT or the U.S. federal income tax consequences of such qualification.</w:t>
      </w:r>
    </w:p>
    <w:p>
      <w:pPr>
        <w:pStyle w:val="TextBody"/>
        <w:bidi w:val="0"/>
        <w:spacing w:before="0" w:after="20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sell the securities offered by this prospectus from time to time in one or more transactions, including without limitation: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directly to purchasers;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through agents;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to or through underwriters or dealers;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 a combination of these methods.</w:t>
      </w:r>
    </w:p>
    <w:p>
      <w:pPr>
        <w:pStyle w:val="TextBody"/>
        <w:bidi w:val="0"/>
        <w:spacing w:lineRule="auto" w:line="288" w:before="120" w:after="200"/>
        <w:jc w:val="left"/>
        <w:rPr>
          <w:color w:val="000000"/>
        </w:rPr>
      </w:pPr>
      <w:r>
        <w:rPr>
          <w:color w:val="000000"/>
        </w:rPr>
        <w:t>    </w:t>
      </w:r>
      <w:r>
        <w:rPr>
          <w:rFonts w:ascii="Times New Roman;serif" w:hAnsi="Times New Roman;serif"/>
          <w:b w:val="false"/>
          <w:color w:val="000000"/>
          <w:sz w:val="20"/>
        </w:rPr>
        <w:t>A distribution of the securities offered by this prospectus may also be effected through the issuance of derivative securities, including without limitation, warrants, exchangeable securities, forward delivery contracts and the writing of options.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addition, the manner in which we may sell some or all of the securities covered by this prospectus includes, without limitation, through:</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 block trade in which a broker-dealer will attempt to sell as agent, but may position or resell a portion of the block, as principal, in order to facilitate the transaction;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ordinary brokerage transactions and transactions in which a broker solicits purchasers;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privately negotiated transactions, which may be at a discount to the market price of the securities.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We may also enter into hedging transactions. For example, we may:</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enter into transactions with a broker-dealer or affiliate thereof in connection with which such broker-dealer or affiliate will engage in short sales of securities pursuant to this prospectus, in which case such broker-dealer or affiliate may use common stock received from us to close out its short positions;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sell securities short and redeliver such securities to close out our short positions;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enter into option or other types of transactions that require us to deliver common stock to a broker-dealer or an affiliate thereof, who will then resell or transfer the common stock under this prospectus;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loan or pledge the common stock to a broker-dealer or an affiliate thereof, who may sell the loaned shares or, in an event of default in the case of a pledge, sell the pledged shares pursuant to this prospectus.</w:t>
      </w:r>
    </w:p>
    <w:p>
      <w:pPr>
        <w:pStyle w:val="TextBody"/>
        <w:bidi w:val="0"/>
        <w:spacing w:before="0" w:after="0"/>
        <w:jc w:val="left"/>
        <w:rPr/>
      </w:pPr>
      <w:r>
        <w:rPr/>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addition, we may enter into derivative or hedging transactions with third parties, or sell securities not covered by this prospectus to third parties in privately negotiated transactions. In connection with such a transaction, the third parties may sell securities covered by and pursuant to this prospectus and an applicable prospectus supplement or pricing supplement, as the case may be. If so, the third party may use securities borrowed from us or others to settle such sales and may use securities received from us to close out any related short positions. We may also loan or pledge securities covered by this prospectus and an applicable prospectus supplement to third parties, who may sell the loaned securities or, in an event of default in the case of a pledge, sell the pledged securities pursuant to this prospectus and the applicable prospectus supplement or pricing supplement, as the case may be.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A prospectus supplement with respect to each series of securities will state the terms of the offering of the securities, including:</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the name or names of any underwriters or agents and the amounts of securities underwritten or purchased by each of them, if any; </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the public offering price or purchase price of the securities and the net proceeds to be received by us from the sale;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delayed delivery arrangements;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underwriting discounts or agency fees and other items constituting underwriters’ or agents’ compensation;</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any discounts or concessions allowed or reallowed or paid to dealers;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securities exchange on which the securities may be listed.</w:t>
      </w:r>
    </w:p>
    <w:p>
      <w:pPr>
        <w:pStyle w:val="TextBody"/>
        <w:bidi w:val="0"/>
        <w:jc w:val="left"/>
        <w:rPr/>
      </w:pPr>
      <w:r>
        <w:rPr/>
      </w:r>
    </w:p>
    <w:p>
      <w:pPr>
        <w:pStyle w:val="TextBody"/>
        <w:bidi w:val="0"/>
        <w:spacing w:before="0" w:after="20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offer and sale of the securities described in this prospectus by us, the underwriters, or the third parties described above may be effected from time to time in one or more transactions, including privately negotiated transactions, either:</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at a fixed price or prices, which may be changed;</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at prices related to the prevailing market prices; or</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60"/>
        <w:jc w:val="left"/>
        <w:rPr>
          <w:color w:val="000000"/>
        </w:rPr>
      </w:pPr>
      <w:r>
        <w:rPr>
          <w:color w:val="000000"/>
        </w:rPr>
        <w:t>    </w:t>
      </w:r>
      <w:r>
        <w:rPr>
          <w:rFonts w:ascii="Times New Roman;serif" w:hAnsi="Times New Roman;serif"/>
          <w:b w:val="false"/>
          <w:color w:val="000000"/>
          <w:sz w:val="20"/>
        </w:rPr>
        <w:t>Any public offering price and any discounts, commissions, concessions or other items constituting compensation allowed or reallowed or paid to underwriters, dealers, agents or remarketing firms may be changed from time to time. Underwriters, dealers, agents and remarketing firms that participate in the distribution of the offered securities may be “underwriters” as defined in the Securities Act. Any discounts or commissions they receive from us and any profits they receive on the resale of the offered securities may be treated as underwriting discounts and commissions under the Securities Act. We will identify any underwriters, agents or dealers and describe their commissions, fees or discounts in the applicable prospectus supplement or pricing supplement, as the case may be.</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At-the-Market Offerings</w:t>
      </w:r>
    </w:p>
    <w:p>
      <w:pPr>
        <w:pStyle w:val="TextBody"/>
        <w:bidi w:val="0"/>
        <w:spacing w:lineRule="auto" w:line="288" w:before="0" w:after="160"/>
        <w:jc w:val="left"/>
        <w:rPr>
          <w:color w:val="000000"/>
        </w:rPr>
      </w:pPr>
      <w:r>
        <w:rPr>
          <w:color w:val="000000"/>
        </w:rPr>
        <w:t>    </w:t>
      </w:r>
      <w:r>
        <w:rPr>
          <w:rFonts w:ascii="Times New Roman;serif" w:hAnsi="Times New Roman;serif"/>
          <w:b w:val="false"/>
          <w:color w:val="000000"/>
          <w:sz w:val="20"/>
        </w:rPr>
        <w:t>If we reach an agreement with an underwriter on a placement, including the number of shares of stock to be offered in the placement and any minimum price below which sales may not be made, such underwriter would agree to use its commercially reasonable efforts, consistent with its normal trading and sales practices, to try to sell such shares on such terms. Underwriters could make sales in privately negotiated transactions, which may be made at a discount to the market price of the securities, and/or any other method permitted by law, including sales deemed to be an “at-the-market” offering as defined in Rule 415 promulgated under the Securities Act, sales made directly on the NYSE, the existing trading market for our stock, or sales made to or through a market maker other than on an exchange. The name of any such underwriter or agent involved in the offer and sale of our stock, the amounts underwritten or otherwise offered through the underwriter or agent, and the nature of its obligations to take our stock will be described in the applicable prospectus supplement.</w:t>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Underwriters and Agents</w:t>
      </w:r>
    </w:p>
    <w:p>
      <w:pPr>
        <w:pStyle w:val="TextBody"/>
        <w:bidi w:val="0"/>
        <w:spacing w:lineRule="auto" w:line="288" w:before="0" w:after="160"/>
        <w:jc w:val="left"/>
        <w:rPr>
          <w:color w:val="000000"/>
        </w:rPr>
      </w:pPr>
      <w:r>
        <w:rPr>
          <w:color w:val="000000"/>
        </w:rPr>
        <w:t>    </w:t>
      </w:r>
      <w:r>
        <w:rPr>
          <w:rFonts w:ascii="Times New Roman;serif" w:hAnsi="Times New Roman;serif"/>
          <w:b w:val="false"/>
          <w:color w:val="000000"/>
          <w:sz w:val="20"/>
        </w:rPr>
        <w:t>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may offer the securities to the public through an underwriting syndicate or through a single underwriter. The underwriters in any particular offering will be identified in the applicable prospectus supplement or pricing supplement, as the case may be.</w:t>
      </w:r>
    </w:p>
    <w:p>
      <w:pPr>
        <w:pStyle w:val="TextBody"/>
        <w:bidi w:val="0"/>
        <w:spacing w:lineRule="auto" w:line="288" w:before="0" w:after="160"/>
        <w:jc w:val="left"/>
        <w:rPr>
          <w:color w:val="000000"/>
        </w:rPr>
      </w:pPr>
      <w:r>
        <w:rPr>
          <w:color w:val="000000"/>
        </w:rPr>
        <w:t>    </w:t>
      </w:r>
      <w:r>
        <w:rPr>
          <w:rFonts w:ascii="Times New Roman;serif" w:hAnsi="Times New Roman;serif"/>
          <w:b w:val="false"/>
          <w:color w:val="000000"/>
          <w:sz w:val="20"/>
        </w:rPr>
        <w:t>Unless otherwise specified in connection with any particular offering of securities, the obligations of the underwriters to purchase the offered securities will be subject to certain conditions contained in an underwriting agreement that we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w:t>
      </w:r>
    </w:p>
    <w:p>
      <w:pPr>
        <w:pStyle w:val="TextBody"/>
        <w:bidi w:val="0"/>
        <w:spacing w:lineRule="auto" w:line="288" w:before="0" w:after="160"/>
        <w:jc w:val="left"/>
        <w:rPr>
          <w:color w:val="000000"/>
        </w:rPr>
      </w:pPr>
      <w:r>
        <w:rPr>
          <w:color w:val="000000"/>
        </w:rPr>
        <w:t>    </w:t>
      </w:r>
      <w:r>
        <w:rPr>
          <w:rFonts w:ascii="Times New Roman;serif" w:hAnsi="Times New Roman;serif"/>
          <w:b w:val="false"/>
          <w:color w:val="000000"/>
          <w:sz w:val="20"/>
        </w:rPr>
        <w:t>We may designate agents to sell the offered securities. Unless otherwise specified in connection with any particular offering of securities, the agents will agree to use their best efforts to solicit purchases for the period of their appointment. We may also sell the offered securities to one or more remarketing firms, acting as principals for their own accounts or as agents for us. These firms will remarket the offered securities upon purchasing them in accordance with a redemption or repayment pursuant to the terms of the offered securities. A prospectus supplement or pricing supplement, as the case may be, will identify any remarketing firm and will describe the terms of its agreement, if any, with us and its compensation.</w:t>
      </w:r>
    </w:p>
    <w:p>
      <w:pPr>
        <w:pStyle w:val="TextBody"/>
        <w:bidi w:val="0"/>
        <w:spacing w:lineRule="auto" w:line="288" w:before="0" w:after="160"/>
        <w:jc w:val="left"/>
        <w:rPr>
          <w:color w:val="000000"/>
        </w:rPr>
      </w:pPr>
      <w:r>
        <w:rPr>
          <w:color w:val="000000"/>
        </w:rPr>
        <w:t>    </w:t>
      </w:r>
      <w:r>
        <w:rPr>
          <w:rFonts w:ascii="Times New Roman;serif" w:hAnsi="Times New Roman;serif"/>
          <w:b w:val="false"/>
          <w:color w:val="000000"/>
          <w:sz w:val="20"/>
        </w:rPr>
        <w:t>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w:t>
      </w:r>
    </w:p>
    <w:p>
      <w:pPr>
        <w:pStyle w:val="TextBody"/>
        <w:bidi w:val="0"/>
        <w:spacing w:before="0" w:after="20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Dealers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sell the offered securities to dealers as principals. We may negotiate and pay dealers’ commissions, discounts or concessions for their services. The dealer may then resell such securities to the public either at varying prices to be determined by the dealer or at a fixed offering price agreed to with us at the time of resale. Dealers engaged by us may allow other dealers to participate in resales.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Direct Sales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choose to sell the offered securities directly. In this case, no underwriters or agents would be involved.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Institutional Purchasers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pricing supplement, as the case may be will provide the details of any such arrangement, including the offering price and commissions payable on the solicitations.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will enter into such delayed contracts only with institutional purchasers that we approve. These institutions may include commercial and savings banks, insurance companies, pension funds, investment companies and educational and charitable institutions.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Indemnification; Other Relationships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may have agreements with agents, underwriters, dealers and remarketing firms to indemnify them against certain civil liabilities, including liabilities under the Securities Act. Agents, underwriters, dealers and remarketing firms, and their affiliates, may engage in transactions with, or perform services for, us in the ordinary course of business. This includes commercial banking and investment banking transactions.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Market Making, Stabilization and Other Transactions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There is currently no market for any of the offered securities other than the shares of common stock and Series C Preferred Stock, which are listed on the NYSE. If certain of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intended to make a market in the offered securities, such underwriter would not be obligated to do so, and any such market making could be discontinued at any time without notice. Therefore, no assurance can be given as to whether an active trading market will develop for certain of the offered securities. We have no current plans for listing of the offered securities (other than the common stock and Series C Preferred Stock) on any securities exchange; any such listing with respect to any particular securities will be described in the applicable prospectus supplement or pricing supplement, as the case may be.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In connection with any offering of common stock or preferred stock, the underwriters may purchase and sell common stock or preferred stock in the open market. These transactions may include short sales, syndicate covering transactions and stabilizing transactions. Short sales involve syndicate sales of common stock or preferred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or preferred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common stock or preferred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In connection with any offering, the underwriters may also engage in penalty bids. Penalty bids permit the underwriters to reclaim a selling concession from a syndicate member when the securities originally sold by the syndicate </w:t>
      </w:r>
    </w:p>
    <w:p>
      <w:pPr>
        <w:pStyle w:val="TextBody"/>
        <w:bidi w:val="0"/>
        <w:spacing w:before="0" w:after="20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0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 xml:space="preserve">Certain legal matters, including the validity of the offered securities, will be passed upon for us by Holland &amp; Knight LLP, Miami, Florida, or such other counsel identified in any applicable prospectus supplement and certain U.S. federal income tax consequences will be passed upon for us by Mayer Brown LLP, New York, New York, or such other counsel identified in any applicable prospectus supplement.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consolidated financial statements, incorporated in this prospectus by reference from ARMOUR Residential REIT, Inc.’s and subsidiaries’ Annual Report on Form 10-K and the effectiveness of ARMOUR Residential REIT, Inc.’s and subsidiaries’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have filed a registration statement, of which this prospectus is a part, covering the securities offered hereby. As allowed by SEC rules, this prospectus does not contain all of the information set forth in the registration statement and the exhibits thereto. We refer you to the registration statement and the exhibits thereto for further information. This prospectus is qualified in its entirety by such other information.</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 xml:space="preserve">Our SEC filings, including our registration statement, are available to you free of charge on the SEC’s website at </w:t>
      </w:r>
      <w:r>
        <w:rPr>
          <w:rFonts w:ascii="Times New Roman;serif" w:hAnsi="Times New Roman;serif"/>
          <w:b w:val="false"/>
          <w:color w:val="000000"/>
          <w:sz w:val="20"/>
          <w:u w:val="single"/>
        </w:rPr>
        <w:t>www.sec.gov</w:t>
      </w:r>
      <w:r>
        <w:rPr>
          <w:rFonts w:ascii="Times New Roman;serif" w:hAnsi="Times New Roman;serif"/>
          <w:b w:val="false"/>
          <w:color w:val="000000"/>
          <w:sz w:val="20"/>
        </w:rPr>
        <w:t>.</w:t>
      </w:r>
    </w:p>
    <w:p>
      <w:pPr>
        <w:pStyle w:val="TextBody"/>
        <w:bidi w:val="0"/>
        <w:spacing w:lineRule="auto" w:line="288" w:before="0" w:after="200"/>
        <w:jc w:val="left"/>
        <w:rPr/>
      </w:pPr>
      <w:r>
        <w:rPr>
          <w:color w:val="000000"/>
        </w:rPr>
        <w:t>    </w:t>
      </w:r>
      <w:r>
        <w:rPr>
          <w:rFonts w:ascii="Times New Roman;serif" w:hAnsi="Times New Roman;serif"/>
          <w:b w:val="false"/>
          <w:color w:val="000000"/>
          <w:sz w:val="20"/>
        </w:rPr>
        <w:t xml:space="preserve">We file reports, proxy statements and other information with the SEC as required by the Exchange Act, which are available to view at our website on the Internet at </w:t>
      </w:r>
      <w:r>
        <w:rPr>
          <w:rFonts w:ascii="Times New Roman;serif" w:hAnsi="Times New Roman;serif"/>
          <w:b w:val="false"/>
          <w:color w:val="000000"/>
          <w:sz w:val="20"/>
          <w:u w:val="single"/>
        </w:rPr>
        <w:t>www.armourreit.com</w:t>
      </w:r>
      <w:r>
        <w:rPr>
          <w:rFonts w:ascii="Times New Roman;serif" w:hAnsi="Times New Roman;serif"/>
          <w:b w:val="false"/>
          <w:i/>
          <w:color w:val="000000"/>
          <w:sz w:val="20"/>
        </w:rPr>
        <w:t xml:space="preserve">. </w:t>
      </w:r>
      <w:r>
        <w:rPr>
          <w:rFonts w:ascii="Times New Roman;serif" w:hAnsi="Times New Roman;serif"/>
          <w:b w:val="false"/>
          <w:color w:val="000000"/>
          <w:sz w:val="20"/>
        </w:rPr>
        <w:t>We are not incorporating by reference into this prospectus the information on our website, and you should not consider our website to be a part of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INCORPORATION OF CERTAIN DOCUMENTS BY REFERENCE</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from the date of filing those documents. Any reports filed by us with the SEC on or after the date of this prospectus will automatically update and, where applicable, supersede any information contained in this prospectus or incorporated by reference in this prospectus. We have filed the documents listed below with the SEC under the Exchange Act, and these documents are incorporated herein by reference (other than information in such documents that is furnished and not deemed to be filed):</w:t>
      </w:r>
    </w:p>
    <w:p>
      <w:pPr>
        <w:pStyle w:val="TextBody"/>
        <w:bidi w:val="0"/>
        <w:spacing w:lineRule="auto" w:line="288" w:before="0" w:after="60"/>
        <w:ind w:left="0" w:right="0" w:hanging="360"/>
        <w:jc w:val="left"/>
        <w:rPr/>
      </w:pPr>
      <w:r>
        <w:rPr>
          <w:color w:val="000000"/>
        </w:rPr>
        <w:t>•</w:t>
      </w:r>
      <w:hyperlink r:id="rId31">
        <w:r>
          <w:rPr>
            <w:rStyle w:val="InternetLink"/>
            <w:rFonts w:ascii="Times New Roman;serif" w:hAnsi="Times New Roman;serif"/>
            <w:b w:val="false"/>
            <w:color w:val="000000"/>
            <w:sz w:val="20"/>
            <w:u w:val="single"/>
          </w:rPr>
          <w:t>Our Annual Report on Form 10-K as of and for the year ended December 31, 2023, filed on March 15, 2024</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0"/>
        </w:rPr>
        <w:t xml:space="preserve">Our Current Reports on Form 8-K, filed on </w:t>
      </w:r>
      <w:hyperlink r:id="rId32">
        <w:r>
          <w:rPr>
            <w:rStyle w:val="InternetLink"/>
            <w:rFonts w:ascii="Times New Roman;serif" w:hAnsi="Times New Roman;serif"/>
            <w:b w:val="false"/>
            <w:color w:val="000000"/>
            <w:sz w:val="20"/>
            <w:u w:val="single"/>
          </w:rPr>
          <w:t>January 2, 2024</w:t>
        </w:r>
      </w:hyperlink>
      <w:r>
        <w:rPr>
          <w:rFonts w:ascii="Times New Roman;serif" w:hAnsi="Times New Roman;serif"/>
          <w:b w:val="false"/>
          <w:color w:val="000000"/>
          <w:sz w:val="20"/>
        </w:rPr>
        <w:t xml:space="preserve">, </w:t>
      </w:r>
      <w:hyperlink r:id="rId33">
        <w:r>
          <w:rPr>
            <w:rStyle w:val="InternetLink"/>
            <w:rFonts w:ascii="Times New Roman;serif" w:hAnsi="Times New Roman;serif"/>
            <w:b w:val="false"/>
            <w:color w:val="000000"/>
            <w:sz w:val="20"/>
            <w:u w:val="single"/>
          </w:rPr>
          <w:t>February 1, 2024</w:t>
        </w:r>
      </w:hyperlink>
      <w:r>
        <w:rPr>
          <w:rFonts w:ascii="Times New Roman;serif" w:hAnsi="Times New Roman;serif"/>
          <w:b w:val="false"/>
          <w:color w:val="000000"/>
          <w:sz w:val="20"/>
        </w:rPr>
        <w:t xml:space="preserve">, </w:t>
      </w:r>
      <w:hyperlink r:id="rId34">
        <w:r>
          <w:rPr>
            <w:rStyle w:val="InternetLink"/>
            <w:rFonts w:ascii="Times New Roman;serif" w:hAnsi="Times New Roman;serif"/>
            <w:b w:val="false"/>
            <w:color w:val="000000"/>
            <w:sz w:val="20"/>
            <w:u w:val="single"/>
          </w:rPr>
          <w:t>February 5, 2024</w:t>
        </w:r>
      </w:hyperlink>
      <w:r>
        <w:rPr>
          <w:rFonts w:ascii="Times New Roman;serif" w:hAnsi="Times New Roman;serif"/>
          <w:b w:val="false"/>
          <w:color w:val="000000"/>
          <w:sz w:val="20"/>
        </w:rPr>
        <w:t xml:space="preserve">, </w:t>
      </w:r>
      <w:hyperlink r:id="rId35">
        <w:r>
          <w:rPr>
            <w:rStyle w:val="InternetLink"/>
            <w:rFonts w:ascii="Times New Roman;serif" w:hAnsi="Times New Roman;serif"/>
            <w:b w:val="false"/>
            <w:color w:val="000000"/>
            <w:sz w:val="20"/>
            <w:u w:val="single"/>
          </w:rPr>
          <w:t>February 14, 2024</w:t>
        </w:r>
      </w:hyperlink>
      <w:r>
        <w:rPr>
          <w:rFonts w:ascii="Times New Roman;serif" w:hAnsi="Times New Roman;serif"/>
          <w:b w:val="false"/>
          <w:color w:val="000000"/>
          <w:sz w:val="20"/>
        </w:rPr>
        <w:t xml:space="preserve">, </w:t>
      </w:r>
      <w:hyperlink r:id="rId36">
        <w:r>
          <w:rPr>
            <w:rStyle w:val="InternetLink"/>
            <w:rFonts w:ascii="Times New Roman;serif" w:hAnsi="Times New Roman;serif"/>
            <w:b w:val="false"/>
            <w:color w:val="000000"/>
            <w:sz w:val="20"/>
            <w:u w:val="single"/>
          </w:rPr>
          <w:t>March 1, 2024</w:t>
        </w:r>
      </w:hyperlink>
      <w:r>
        <w:rPr>
          <w:rFonts w:ascii="Times New Roman;serif" w:hAnsi="Times New Roman;serif"/>
          <w:b w:val="false"/>
          <w:color w:val="000000"/>
          <w:sz w:val="20"/>
        </w:rPr>
        <w:t xml:space="preserve">, </w:t>
      </w:r>
      <w:hyperlink r:id="rId37">
        <w:r>
          <w:rPr>
            <w:rStyle w:val="InternetLink"/>
            <w:rFonts w:ascii="Times New Roman;serif" w:hAnsi="Times New Roman;serif"/>
            <w:b w:val="false"/>
            <w:color w:val="000000"/>
            <w:sz w:val="20"/>
            <w:u w:val="single"/>
          </w:rPr>
          <w:t>March 19, 2024</w:t>
        </w:r>
      </w:hyperlink>
      <w:r>
        <w:rPr>
          <w:color w:val="000000"/>
        </w:rPr>
        <w:t xml:space="preserve"> </w:t>
      </w:r>
      <w:r>
        <w:rPr>
          <w:rFonts w:ascii="Times New Roman;serif" w:hAnsi="Times New Roman;serif"/>
          <w:b w:val="false"/>
          <w:color w:val="000000"/>
          <w:sz w:val="20"/>
        </w:rPr>
        <w:t xml:space="preserve">and </w:t>
      </w:r>
      <w:hyperlink r:id="rId38">
        <w:r>
          <w:rPr>
            <w:rStyle w:val="InternetLink"/>
            <w:rFonts w:ascii="Times New Roman;serif" w:hAnsi="Times New Roman;serif"/>
            <w:b w:val="false"/>
            <w:color w:val="000000"/>
            <w:sz w:val="20"/>
            <w:u w:val="single"/>
          </w:rPr>
          <w:t>March 25, 2024</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hyperlink r:id="rId39">
        <w:r>
          <w:rPr>
            <w:rStyle w:val="InternetLink"/>
            <w:rFonts w:ascii="Times New Roman;serif" w:hAnsi="Times New Roman;serif"/>
            <w:b w:val="false"/>
            <w:color w:val="000000"/>
            <w:sz w:val="20"/>
            <w:u w:val="single"/>
          </w:rPr>
          <w:t>The portions of our Definitive Proxy Statement on Schedule 14A, for our 2023 Annual Meeting of Stockholders filed with the SEC on March 10, 2023 that are incorporated by reference into our Annual Report on Form 10-K for the fiscal year ended December 31, 2022</w:t>
        </w:r>
      </w:hyperlink>
      <w:r>
        <w:rPr>
          <w:rFonts w:ascii="Times New Roman;serif" w:hAnsi="Times New Roman;serif"/>
          <w:b w:val="false"/>
          <w:color w:val="000000"/>
          <w:sz w:val="20"/>
        </w:rPr>
        <w:t>;</w:t>
      </w:r>
    </w:p>
    <w:p>
      <w:pPr>
        <w:pStyle w:val="TextBody"/>
        <w:bidi w:val="0"/>
        <w:spacing w:lineRule="auto" w:line="288" w:before="0" w:after="60"/>
        <w:ind w:left="0" w:right="0" w:hanging="360"/>
        <w:jc w:val="left"/>
        <w:rPr/>
      </w:pPr>
      <w:r>
        <w:rPr>
          <w:color w:val="000000"/>
        </w:rPr>
        <w:t>•</w:t>
      </w:r>
      <w:hyperlink r:id="rId40">
        <w:r>
          <w:rPr>
            <w:rStyle w:val="InternetLink"/>
            <w:rFonts w:ascii="Times New Roman;serif" w:hAnsi="Times New Roman;serif"/>
            <w:b w:val="false"/>
            <w:color w:val="000000"/>
            <w:sz w:val="20"/>
            <w:u w:val="single"/>
          </w:rPr>
          <w:t>The description of our common stock included in our Registration Statement on Form 8-A, filed on March 31, 2011</w:t>
        </w:r>
      </w:hyperlink>
      <w:r>
        <w:rPr>
          <w:rFonts w:ascii="Times New Roman;serif" w:hAnsi="Times New Roman;serif"/>
          <w:b w:val="false"/>
          <w:color w:val="000000"/>
          <w:sz w:val="20"/>
        </w:rPr>
        <w:t xml:space="preserve">; </w:t>
      </w:r>
    </w:p>
    <w:p>
      <w:pPr>
        <w:pStyle w:val="TextBody"/>
        <w:bidi w:val="0"/>
        <w:spacing w:lineRule="auto" w:line="288" w:before="0" w:after="0"/>
        <w:ind w:left="0" w:right="0" w:hanging="360"/>
        <w:jc w:val="left"/>
        <w:rPr/>
      </w:pPr>
      <w:r>
        <w:rPr>
          <w:color w:val="000000"/>
        </w:rPr>
        <w:t>•</w:t>
      </w:r>
      <w:hyperlink r:id="rId41">
        <w:r>
          <w:rPr>
            <w:rStyle w:val="InternetLink"/>
            <w:rFonts w:ascii="Times New Roman;serif" w:hAnsi="Times New Roman;serif"/>
            <w:b w:val="false"/>
            <w:color w:val="000000"/>
            <w:sz w:val="20"/>
            <w:u w:val="single"/>
          </w:rPr>
          <w:t>The description of our 7.00% Series C Cumulative Redeemable Preferred Stock included in our Registration Statement on Form 8-A, filed on January 28, 2020.</w:t>
        </w:r>
      </w:hyperlink>
    </w:p>
    <w:p>
      <w:pPr>
        <w:pStyle w:val="TextBody"/>
        <w:bidi w:val="0"/>
        <w:spacing w:before="0" w:after="0"/>
        <w:jc w:val="left"/>
        <w:rPr/>
      </w:pPr>
      <w:r>
        <w:rPr/>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 xml:space="preserve">All documents we file pursuant to Sections 13(a), 13(c), 14 or 15(d) of the Exchange Act on or after the date of this prospectus and prior to the termination of the offering of the securities to which this prospectus relates (other than information in such documents that is furnished and not deemed to be filed) shall be deemed to be incorporated by reference into this prospectus and to be a part hereof from the date of filing of those documents. All documents we file pursuant to Sections 13(a), 13(c), 14 or 15(d) of the Exchange Act after the date of the initial registration statement that contains this </w:t>
      </w:r>
    </w:p>
    <w:p>
      <w:pPr>
        <w:pStyle w:val="TextBody"/>
        <w:bidi w:val="0"/>
        <w:spacing w:before="0" w:after="20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prospectus and prior to the effectiveness of the registration statement shall be deemed to be incorporated by reference into this prospectus and to be a part hereof from the date of filing those documents.</w:t>
      </w:r>
    </w:p>
    <w:p>
      <w:pPr>
        <w:pStyle w:val="TextBody"/>
        <w:bidi w:val="0"/>
        <w:spacing w:lineRule="auto" w:line="288" w:before="0" w:after="200"/>
        <w:jc w:val="left"/>
        <w:rPr>
          <w:color w:val="000000"/>
        </w:rPr>
      </w:pPr>
      <w:r>
        <w:rPr>
          <w:color w:val="000000"/>
        </w:rPr>
        <w:t>    </w:t>
      </w:r>
      <w:r>
        <w:rPr>
          <w:rFonts w:ascii="Times New Roman;serif" w:hAnsi="Times New Roman;serif"/>
          <w:b w:val="false"/>
          <w:color w:val="000000"/>
          <w:sz w:val="20"/>
        </w:rPr>
        <w:t>We will provide to each person, including any beneficial owner, to whom a copy of this prospectus is delivered, a copy of any or all of the information that has been incorporated by reference in this prospectus but not delivered with this prospectus (other than the exhibits to such documents which are not specifically incorporated by reference therein); we will provide this information at no cost to the requester upon written or oral request to: Chief Financial Officer, ARMOUR Residential REIT, Inc., 3001 Ocean Drive, Suite 201, Vero Beach, Florida 32963, or (772) 617-4340.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before="0" w:after="120"/>
        <w:jc w:val="center"/>
        <w:rPr/>
      </w:pPr>
      <w:r>
        <w:rPr/>
        <w:drawing>
          <wp:inline distT="0" distB="0" distL="0" distR="0">
            <wp:extent cx="2514600" cy="619125"/>
            <wp:effectExtent l="0" t="0" r="0" b="0"/>
            <wp:docPr id="8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 descr=""/>
                    <pic:cNvPicPr>
                      <a:picLocks noChangeAspect="1" noChangeArrowheads="1"/>
                    </pic:cNvPicPr>
                  </pic:nvPicPr>
                  <pic:blipFill>
                    <a:blip r:embed="rId42"/>
                    <a:stretch>
                      <a:fillRect/>
                    </a:stretch>
                  </pic:blipFill>
                  <pic:spPr bwMode="auto">
                    <a:xfrm>
                      <a:off x="0" y="0"/>
                      <a:ext cx="2514600" cy="619125"/>
                    </a:xfrm>
                    <a:prstGeom prst="rect">
                      <a:avLst/>
                    </a:prstGeom>
                  </pic:spPr>
                </pic:pic>
              </a:graphicData>
            </a:graphic>
          </wp:inline>
        </w:drawing>
      </w:r>
    </w:p>
    <w:p>
      <w:pPr>
        <w:pStyle w:val="TextBody"/>
        <w:bidi w:val="0"/>
        <w:spacing w:before="0" w:after="120"/>
        <w:jc w:val="center"/>
        <w:rPr/>
      </w:pPr>
      <w:r>
        <w:rPr/>
      </w:r>
    </w:p>
    <w:p>
      <w:pPr>
        <w:pStyle w:val="TextBody"/>
        <w:bidi w:val="0"/>
        <w:spacing w:lineRule="auto" w:line="417" w:before="0" w:after="120"/>
        <w:jc w:val="center"/>
        <w:rPr>
          <w:rFonts w:ascii="Times New Roman;serif" w:hAnsi="Times New Roman;serif"/>
          <w:b/>
          <w:color w:val="000000"/>
          <w:sz w:val="24"/>
        </w:rPr>
      </w:pPr>
      <w:r>
        <w:rPr>
          <w:rFonts w:ascii="Times New Roman;serif" w:hAnsi="Times New Roman;serif"/>
          <w:b/>
          <w:color w:val="000000"/>
          <w:sz w:val="24"/>
        </w:rPr>
        <w:t>Up to 25,544,352 Shares</w:t>
      </w:r>
    </w:p>
    <w:p>
      <w:pPr>
        <w:pStyle w:val="TextBody"/>
        <w:bidi w:val="0"/>
        <w:spacing w:lineRule="auto" w:line="417" w:before="0" w:after="120"/>
        <w:jc w:val="center"/>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w:t>
      </w:r>
    </w:p>
    <w:p>
      <w:pPr>
        <w:pStyle w:val="TextBody"/>
        <w:bidi w:val="0"/>
        <w:spacing w:before="0" w:after="360"/>
        <w:jc w:val="center"/>
        <w:rPr/>
      </w:pPr>
      <w:r>
        <w:rPr/>
      </w:r>
    </w:p>
    <w:p>
      <w:pPr>
        <w:pStyle w:val="TextBody"/>
        <w:bidi w:val="0"/>
        <w:spacing w:lineRule="auto" w:line="331" w:before="0" w:after="360"/>
        <w:jc w:val="center"/>
        <w:rPr>
          <w:rFonts w:ascii="Times New Roman;serif" w:hAnsi="Times New Roman;serif"/>
          <w:b/>
          <w:color w:val="000000"/>
          <w:sz w:val="24"/>
        </w:rPr>
      </w:pPr>
      <w:r>
        <w:rPr>
          <w:rFonts w:ascii="Times New Roman;serif" w:hAnsi="Times New Roman;serif"/>
          <w:b/>
          <w:color w:val="000000"/>
          <w:sz w:val="24"/>
        </w:rPr>
        <w:t>Prospectus Supplement</w:t>
      </w:r>
    </w:p>
    <w:p>
      <w:pPr>
        <w:pStyle w:val="TextBody"/>
        <w:bidi w:val="0"/>
        <w:spacing w:lineRule="auto" w:line="331" w:before="0" w:after="360"/>
        <w:jc w:val="center"/>
        <w:rPr>
          <w:rFonts w:ascii="Times New Roman;serif" w:hAnsi="Times New Roman;serif"/>
          <w:b w:val="false"/>
          <w:color w:val="000000"/>
          <w:sz w:val="24"/>
        </w:rPr>
      </w:pPr>
      <w:r>
        <w:rPr>
          <w:rFonts w:ascii="Times New Roman;serif" w:hAnsi="Times New Roman;serif"/>
          <w:b w:val="false"/>
          <w:color w:val="000000"/>
          <w:sz w:val="24"/>
        </w:rPr>
        <w:t xml:space="preserve">___________________________________ </w:t>
      </w:r>
    </w:p>
    <w:p>
      <w:pPr>
        <w:pStyle w:val="TextBody"/>
        <w:bidi w:val="0"/>
        <w:spacing w:before="0" w:after="360"/>
        <w:jc w:val="center"/>
        <w:rPr/>
      </w:pPr>
      <w:r>
        <w:rPr/>
      </w:r>
    </w:p>
    <w:tbl>
      <w:tblPr>
        <w:tblW w:w="10205" w:type="dxa"/>
        <w:jc w:val="center"/>
        <w:tblInd w:w="0" w:type="dxa"/>
        <w:tblLayout w:type="fixed"/>
        <w:tblCellMar>
          <w:top w:w="28" w:type="dxa"/>
          <w:left w:w="28" w:type="dxa"/>
          <w:bottom w:w="28" w:type="dxa"/>
          <w:right w:w="28" w:type="dxa"/>
        </w:tblCellMar>
      </w:tblPr>
      <w:tblGrid>
        <w:gridCol w:w="625"/>
        <w:gridCol w:w="548"/>
        <w:gridCol w:w="551"/>
        <w:gridCol w:w="235"/>
        <w:gridCol w:w="235"/>
        <w:gridCol w:w="236"/>
        <w:gridCol w:w="379"/>
        <w:gridCol w:w="379"/>
        <w:gridCol w:w="380"/>
        <w:gridCol w:w="681"/>
        <w:gridCol w:w="681"/>
        <w:gridCol w:w="682"/>
        <w:gridCol w:w="295"/>
        <w:gridCol w:w="295"/>
        <w:gridCol w:w="296"/>
        <w:gridCol w:w="613"/>
        <w:gridCol w:w="613"/>
        <w:gridCol w:w="614"/>
        <w:gridCol w:w="545"/>
        <w:gridCol w:w="545"/>
        <w:gridCol w:w="777"/>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BUCKLER SECURITIES LLC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 RILEY SECURITIES</w:t>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BTIG</w:t>
            </w:r>
          </w:p>
        </w:tc>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Citizens Capital Markets</w:t>
            </w:r>
          </w:p>
        </w:tc>
        <w:tc>
          <w:tcPr>
            <w:tcW w:w="2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HUNTINGTON CAPITAL MARKETS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JONES</w:t>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LADENBURG THALMANN</w:t>
            </w:r>
          </w:p>
        </w:tc>
        <w:tc>
          <w:tcPr>
            <w:tcW w:w="18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STOCKBLOCK</w:t>
            </w:r>
          </w:p>
        </w:tc>
      </w:tr>
    </w:tbl>
    <w:p>
      <w:pPr>
        <w:pStyle w:val="TextBody"/>
        <w:bidi w:val="0"/>
        <w:spacing w:before="0" w:after="0"/>
        <w:jc w:val="center"/>
        <w:rPr/>
      </w:pPr>
      <w:r>
        <w:rPr/>
      </w:r>
    </w:p>
    <w:p>
      <w:pPr>
        <w:pStyle w:val="TextBody"/>
        <w:bidi w:val="0"/>
        <w:spacing w:lineRule="auto" w:line="417" w:before="300" w:after="200"/>
        <w:jc w:val="center"/>
        <w:rPr>
          <w:rFonts w:ascii="Times New Roman;serif" w:hAnsi="Times New Roman;serif"/>
          <w:b/>
          <w:color w:val="000000"/>
          <w:sz w:val="24"/>
        </w:rPr>
      </w:pPr>
      <w:r>
        <w:rPr>
          <w:rFonts w:ascii="Times New Roman;serif" w:hAnsi="Times New Roman;serif"/>
          <w:b/>
          <w:color w:val="000000"/>
          <w:sz w:val="24"/>
        </w:rPr>
        <w:t>July 24, 2026</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00"/>
                        <w:jc w:val="both"/>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 xml:space="preserve">CALCULATION OF FEES TABLE </w:t>
      </w:r>
    </w:p>
    <w:p>
      <w:pPr>
        <w:pStyle w:val="TextBody"/>
        <w:bidi w:val="0"/>
        <w:spacing w:lineRule="auto" w:line="288" w:before="100" w:after="200"/>
        <w:jc w:val="center"/>
        <w:rPr>
          <w:rFonts w:ascii="Times New Roman;serif" w:hAnsi="Times New Roman;serif"/>
          <w:b/>
          <w:color w:val="000000"/>
          <w:sz w:val="24"/>
        </w:rPr>
      </w:pPr>
      <w:r>
        <w:rPr>
          <w:rFonts w:ascii="Times New Roman;serif" w:hAnsi="Times New Roman;serif"/>
          <w:b/>
          <w:color w:val="000000"/>
          <w:sz w:val="24"/>
        </w:rPr>
        <w:t>FORM 424(b)(5)</w:t>
      </w:r>
    </w:p>
    <w:p>
      <w:pPr>
        <w:pStyle w:val="TextBody"/>
        <w:bidi w:val="0"/>
        <w:spacing w:lineRule="auto" w:line="288" w:before="100" w:after="200"/>
        <w:jc w:val="center"/>
        <w:rPr/>
      </w:pPr>
      <w:r>
        <w:rPr>
          <w:rFonts w:ascii="Times New Roman;serif" w:hAnsi="Times New Roman;serif"/>
          <w:b/>
          <w:color w:val="000000"/>
          <w:sz w:val="24"/>
        </w:rPr>
        <w:t xml:space="preserve">ARMOUR RESIDENTIAL REIT, INC. </w:t>
      </w:r>
      <w:r>
        <w:rPr>
          <w:rFonts w:ascii="Times New Roman;serif" w:hAnsi="Times New Roman;serif"/>
          <w:b w:val="false"/>
          <w:color w:val="000000"/>
          <w:sz w:val="24"/>
        </w:rPr>
        <w:br/>
      </w:r>
      <w:r>
        <w:rPr>
          <w:rFonts w:ascii="Times New Roman;serif" w:hAnsi="Times New Roman;serif"/>
          <w:b w:val="false"/>
          <w:color w:val="000000"/>
          <w:sz w:val="20"/>
        </w:rPr>
        <w:t xml:space="preserve">(Exact name of registrant as specified in its charter) </w:t>
      </w:r>
    </w:p>
    <w:p>
      <w:pPr>
        <w:pStyle w:val="TextBody"/>
        <w:bidi w:val="0"/>
        <w:spacing w:lineRule="auto" w:line="288" w:before="100" w:after="283"/>
        <w:jc w:val="center"/>
        <w:rPr>
          <w:rFonts w:ascii="Times New Roman;serif" w:hAnsi="Times New Roman;serif"/>
          <w:b/>
          <w:color w:val="000000"/>
          <w:sz w:val="24"/>
        </w:rPr>
      </w:pPr>
      <w:r>
        <w:rPr>
          <w:rFonts w:ascii="Times New Roman;serif" w:hAnsi="Times New Roman;serif"/>
          <w:b/>
          <w:color w:val="000000"/>
          <w:sz w:val="24"/>
        </w:rPr>
        <w:t>Table 1: Newly Registered Securities and Carry Forward Securities</w:t>
      </w:r>
    </w:p>
    <w:tbl>
      <w:tblPr>
        <w:tblW w:w="15704" w:type="dxa"/>
        <w:jc w:val="center"/>
        <w:tblInd w:w="0" w:type="dxa"/>
        <w:tblLayout w:type="fixed"/>
        <w:tblCellMar>
          <w:top w:w="28" w:type="dxa"/>
          <w:left w:w="28" w:type="dxa"/>
          <w:bottom w:w="28" w:type="dxa"/>
          <w:right w:w="28" w:type="dxa"/>
        </w:tblCellMar>
      </w:tblPr>
      <w:tblGrid>
        <w:gridCol w:w="444"/>
        <w:gridCol w:w="222"/>
        <w:gridCol w:w="145"/>
        <w:gridCol w:w="230"/>
        <w:gridCol w:w="230"/>
        <w:gridCol w:w="231"/>
        <w:gridCol w:w="109"/>
        <w:gridCol w:w="109"/>
        <w:gridCol w:w="109"/>
        <w:gridCol w:w="305"/>
        <w:gridCol w:w="230"/>
        <w:gridCol w:w="231"/>
        <w:gridCol w:w="109"/>
        <w:gridCol w:w="109"/>
        <w:gridCol w:w="109"/>
        <w:gridCol w:w="300"/>
        <w:gridCol w:w="300"/>
        <w:gridCol w:w="301"/>
        <w:gridCol w:w="109"/>
        <w:gridCol w:w="109"/>
        <w:gridCol w:w="109"/>
        <w:gridCol w:w="368"/>
        <w:gridCol w:w="368"/>
        <w:gridCol w:w="308"/>
        <w:gridCol w:w="109"/>
        <w:gridCol w:w="109"/>
        <w:gridCol w:w="109"/>
        <w:gridCol w:w="280"/>
        <w:gridCol w:w="280"/>
        <w:gridCol w:w="281"/>
        <w:gridCol w:w="109"/>
        <w:gridCol w:w="109"/>
        <w:gridCol w:w="109"/>
        <w:gridCol w:w="638"/>
        <w:gridCol w:w="638"/>
        <w:gridCol w:w="281"/>
        <w:gridCol w:w="109"/>
        <w:gridCol w:w="109"/>
        <w:gridCol w:w="109"/>
        <w:gridCol w:w="319"/>
        <w:gridCol w:w="319"/>
        <w:gridCol w:w="323"/>
        <w:gridCol w:w="109"/>
        <w:gridCol w:w="109"/>
        <w:gridCol w:w="109"/>
        <w:gridCol w:w="484"/>
        <w:gridCol w:w="387"/>
        <w:gridCol w:w="321"/>
        <w:gridCol w:w="109"/>
        <w:gridCol w:w="109"/>
        <w:gridCol w:w="109"/>
        <w:gridCol w:w="240"/>
        <w:gridCol w:w="240"/>
        <w:gridCol w:w="241"/>
        <w:gridCol w:w="109"/>
        <w:gridCol w:w="109"/>
        <w:gridCol w:w="109"/>
        <w:gridCol w:w="240"/>
        <w:gridCol w:w="240"/>
        <w:gridCol w:w="241"/>
        <w:gridCol w:w="109"/>
        <w:gridCol w:w="109"/>
        <w:gridCol w:w="109"/>
        <w:gridCol w:w="721"/>
        <w:gridCol w:w="327"/>
        <w:gridCol w:w="781"/>
        <w:gridCol w:w="399"/>
      </w:tblGrid>
      <w:tr>
        <w:trPr/>
        <w:tc>
          <w:tcPr>
            <w:tcW w:w="44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Security Class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Fee Calculation or Carry Forward Rule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br/>
              <w:t xml:space="preserve">Registered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Proposed Maximum </w:t>
              <w:br/>
              <w:t xml:space="preserve">Offering Price Per </w:t>
              <w:br/>
              <w:t xml:space="preserve">Share </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Maximum </w:t>
              <w:br/>
              <w:t xml:space="preserve">Aggregate Offering </w:t>
              <w:br/>
              <w:t xml:space="preserve">Price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Amount of</w:t>
            </w:r>
          </w:p>
          <w:p>
            <w:pPr>
              <w:pStyle w:val="TableContents"/>
              <w:bidi w:val="0"/>
              <w:spacing w:lineRule="auto" w:line="240" w:before="0" w:after="20"/>
              <w:jc w:val="center"/>
              <w:rPr/>
            </w:pPr>
            <w:r>
              <w:rPr>
                <w:rFonts w:ascii="Times New Roman;serif" w:hAnsi="Times New Roman;serif"/>
                <w:b w:val="false"/>
                <w:color w:val="000000"/>
                <w:sz w:val="18"/>
              </w:rPr>
              <w:t xml:space="preserve">Registration Fee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 Forward Form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 Forward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 Forward Initial 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Filing Fee Previously Paid in Connection with Unsold Securities to be Carried Forward</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3"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Newly Registered Securities</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to Be Paid</w:t>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Rule 457(r) and Other </w:t>
            </w:r>
            <w:r>
              <w:rPr>
                <w:rFonts w:ascii="Times New Roman;serif" w:hAnsi="Times New Roman;serif"/>
                <w:b w:val="false"/>
                <w:color w:val="000000"/>
                <w:sz w:val="12"/>
              </w:rPr>
              <w:t>(1)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25,000,000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16.43</w:t>
            </w:r>
          </w:p>
        </w:tc>
        <w:tc>
          <w:tcPr>
            <w:tcW w:w="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12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410,750,000.00 </w:t>
            </w:r>
          </w:p>
        </w:tc>
        <w:tc>
          <w:tcPr>
            <w:tcW w:w="28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0.00013810</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56,724.58 </w:t>
            </w:r>
          </w:p>
        </w:tc>
        <w:tc>
          <w:tcPr>
            <w:tcW w:w="32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3" w:type="dxa"/>
            <w:gridSpan w:val="6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 Forward Securities</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 Forward Securities</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Rule 415(a)(6) </w:t>
            </w:r>
            <w:r>
              <w:rPr>
                <w:rFonts w:ascii="Times New Roman;serif" w:hAnsi="Times New Roman;serif"/>
                <w:b w:val="false"/>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544,352 </w:t>
            </w:r>
          </w:p>
        </w:tc>
        <w:tc>
          <w:tcPr>
            <w:tcW w:w="308"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18.245</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9,931,702.24 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333-278327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1,371.57 </w:t>
            </w:r>
          </w:p>
        </w:tc>
        <w:tc>
          <w:tcPr>
            <w:tcW w:w="3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Offering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420,681,702.24 </w:t>
            </w:r>
          </w:p>
        </w:tc>
        <w:tc>
          <w:tcPr>
            <w:tcW w:w="2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56,724.58 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Fees Previously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Fee Offsets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Due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56,724.58 </w:t>
            </w:r>
          </w:p>
        </w:tc>
        <w:tc>
          <w:tcPr>
            <w:tcW w:w="3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349"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810"/>
        <w:jc w:val="left"/>
        <w:rPr>
          <w:rFonts w:ascii="Times New Roman;serif" w:hAnsi="Times New Roman;serif"/>
          <w:b w:val="false"/>
          <w:color w:val="000000"/>
          <w:sz w:val="18"/>
        </w:rPr>
      </w:pPr>
      <w:r>
        <w:rPr>
          <w:rFonts w:ascii="Times New Roman;serif" w:hAnsi="Times New Roman;serif"/>
          <w:b w:val="false"/>
          <w:color w:val="000000"/>
          <w:sz w:val="18"/>
        </w:rPr>
        <w:t>(1)Calculated in accordance with Rule 457(c) and Rule 457(r) under the Securities Act of 1933, as amended (the “Securities Act”). As of the date hereof, 544,352 shares offered under the registrant’s prospectus supplement, dated January 28, 2026, filed with the Securities and Exchange Commission on January 28, 2026 (Registration No. 333-278327) remain unsold (the “Unsold Shares”). A registration fee for the Unsold Shares was paid when such shares were initially registered on the Registrant’s prospectus supplement dated January 28, 2026 to the Registration Statement on Form S-3 (Registration Statement No. 333-278327) filed by the Registrant on March 28, 2024 under the Securities Act. Pursuant to Rule 415(a)(6) under the Securities Act, the Unsold Shares are included on and offered, in addition to the 25,000,000 shares registered hereby, under this prospectus supplement (Registration No. 333-278327). Accordingly, no filing fee is due for the Unsold Shares.</w:t>
      </w:r>
    </w:p>
    <w:p>
      <w:pPr>
        <w:pStyle w:val="TextBody"/>
        <w:bidi w:val="0"/>
        <w:spacing w:lineRule="auto" w:line="288" w:before="60" w:after="283"/>
        <w:ind w:left="0" w:right="0" w:hanging="810"/>
        <w:jc w:val="left"/>
        <w:rPr>
          <w:rFonts w:ascii="Times New Roman;serif" w:hAnsi="Times New Roman;serif"/>
          <w:b w:val="false"/>
          <w:color w:val="000000"/>
          <w:sz w:val="18"/>
        </w:rPr>
      </w:pPr>
      <w:r>
        <w:rPr>
          <w:rFonts w:ascii="Times New Roman;serif" w:hAnsi="Times New Roman;serif"/>
          <w:b w:val="false"/>
          <w:color w:val="000000"/>
          <w:sz w:val="18"/>
        </w:rPr>
        <w:t>(2)Calculated pursuant to Rule 457(c) and Rule 457(r) under the Securities Act, based upon the average of the high and low price per share of the common stock of the registrant as reported on the New York Stock Exchange on July 22, 2026.</w:t>
      </w:r>
    </w:p>
    <w:p>
      <w:pPr>
        <w:pStyle w:val="TextBody"/>
        <w:bidi w:val="0"/>
        <w:spacing w:lineRule="auto" w:line="288" w:before="60" w:after="283"/>
        <w:ind w:left="0" w:right="0" w:hanging="810"/>
        <w:jc w:val="left"/>
        <w:rPr>
          <w:rFonts w:ascii="Times New Roman;serif" w:hAnsi="Times New Roman;serif"/>
          <w:b w:val="false"/>
          <w:color w:val="000000"/>
          <w:sz w:val="18"/>
        </w:rPr>
      </w:pPr>
      <w:r>
        <w:rPr>
          <w:rFonts w:ascii="Times New Roman;serif" w:hAnsi="Times New Roman;serif"/>
          <w:b w:val="false"/>
          <w:color w:val="000000"/>
          <w:sz w:val="18"/>
        </w:rPr>
        <w:t xml:space="preserve">(3)Calculated in accordance with Rule 457(c) and Rule 457(r) under the Securities Act, based upon the average of the high and low price per share of the common stock of the Registrant as reported on the New York Stock Exchange on January 26, 2026.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428205/000142820526000029/arr-20251231.htm" TargetMode="External"/><Relationship Id="rId4" Type="http://schemas.openxmlformats.org/officeDocument/2006/relationships/hyperlink" Target="https://www.sec.gov/ix?doc=/Archives/edgar/data/0001428205/000142820526000059/arr-20260331.htm" TargetMode="External"/><Relationship Id="rId5" Type="http://schemas.openxmlformats.org/officeDocument/2006/relationships/hyperlink" Target="https://www.sec.gov/ix?doc=/Archives/edgar/data/0001428205/000142820526000059/arr-20260331.htm" TargetMode="External"/><Relationship Id="rId6" Type="http://schemas.openxmlformats.org/officeDocument/2006/relationships/hyperlink" Target="https://www.sec.gov/ix?doc=/Archives/edgar/data/0001428205/000142820526000090/arr-20260630.htm" TargetMode="External"/><Relationship Id="rId7" Type="http://schemas.openxmlformats.org/officeDocument/2006/relationships/hyperlink" Target="https://www.sec.gov/ix?doc=/Archives/edgar/data/0001428205/000142820526000090/arr-20260630.htm" TargetMode="External"/><Relationship Id="rId8" Type="http://schemas.openxmlformats.org/officeDocument/2006/relationships/hyperlink" Target="https://www.sec.gov/ix?doc=/Archives/edgar/data/0001428205/000142820526000090/arr-20260630.htm" TargetMode="External"/><Relationship Id="rId9" Type="http://schemas.openxmlformats.org/officeDocument/2006/relationships/hyperlink" Target="https://www.sec.gov/ix?doc=/Archives/edgar/data/0001428205/000142820526000090/arr-20260630.htm" TargetMode="External"/><Relationship Id="rId10" Type="http://schemas.openxmlformats.org/officeDocument/2006/relationships/hyperlink" Target="https://www.sec.gov/ix?doc=/Archives/edgar/data/0001428205/000142820526000090/arr-20260630.htm" TargetMode="External"/><Relationship Id="rId11" Type="http://schemas.openxmlformats.org/officeDocument/2006/relationships/hyperlink" Target="https://www.sec.gov/ix?doc=/Archives/edgar/data/0001428205/000142820526000090/arr-20260630.htm" TargetMode="External"/><Relationship Id="rId12" Type="http://schemas.openxmlformats.org/officeDocument/2006/relationships/hyperlink" Target="https://www.sec.gov/ix?doc=/Archives/edgar/data/0001428205/000142820526000090/arr-20260630.htm" TargetMode="External"/><Relationship Id="rId13" Type="http://schemas.openxmlformats.org/officeDocument/2006/relationships/hyperlink" Target="https://www.sec.gov/ix?doc=/Archives/edgar/data/0001428205/000142820526000040/arr-20260319.htm" TargetMode="External"/><Relationship Id="rId14" Type="http://schemas.openxmlformats.org/officeDocument/2006/relationships/hyperlink" Target="https://www.sec.gov/ix?doc=/Archives/edgar/data/1428205/000142820526000003/arr-20260102.htm" TargetMode="External"/><Relationship Id="rId15" Type="http://schemas.openxmlformats.org/officeDocument/2006/relationships/hyperlink" Target="https://www.sec.gov/ix?doc=/Archives/edgar/data/0001428205/000142820526000012/arr-20260128.htm" TargetMode="External"/><Relationship Id="rId16" Type="http://schemas.openxmlformats.org/officeDocument/2006/relationships/hyperlink" Target="https://www.sec.gov/ix?doc=/Archives/edgar/data/0001428205/000142820526000014/arr-20260129.htm" TargetMode="External"/><Relationship Id="rId17" Type="http://schemas.openxmlformats.org/officeDocument/2006/relationships/hyperlink" Target="https://www.sec.gov/ix?doc=/Archives/edgar/data/0001428205/000142820526000020/arr-20260217.htm" TargetMode="External"/><Relationship Id="rId18" Type="http://schemas.openxmlformats.org/officeDocument/2006/relationships/hyperlink" Target="https://www.sec.gov/ix?doc=/Archives/edgar/data/0001428205/000142820526000045/arr-20260325.htm" TargetMode="External"/><Relationship Id="rId19" Type="http://schemas.openxmlformats.org/officeDocument/2006/relationships/hyperlink" Target="https://www.sec.gov/ix?doc=/Archives/edgar/data/0001428205/000142820526000047/arr-20260401.htm" TargetMode="External"/><Relationship Id="rId20" Type="http://schemas.openxmlformats.org/officeDocument/2006/relationships/hyperlink" Target="https://www.sec.gov/ix?doc=/Archives/edgar/data/0001428205/000142820526000053/arr-20260421.htm" TargetMode="External"/><Relationship Id="rId21" Type="http://schemas.openxmlformats.org/officeDocument/2006/relationships/hyperlink" Target="https://www.sec.gov/ix?doc=/Archives/edgar/data/0001428205/000142820526000063/arr-20260430.htm" TargetMode="External"/><Relationship Id="rId22" Type="http://schemas.openxmlformats.org/officeDocument/2006/relationships/hyperlink" Target="https://www.sec.gov/ix?doc=/Archives/edgar/data/0001428205/000142820526000070/arr-20260528.htm" TargetMode="External"/><Relationship Id="rId23" Type="http://schemas.openxmlformats.org/officeDocument/2006/relationships/hyperlink" Target="https://www.sec.gov/ix?doc=/Archives/edgar/data/0001428205/000142820526000074/arr-20260624.htm" TargetMode="External"/><Relationship Id="rId24" Type="http://schemas.openxmlformats.org/officeDocument/2006/relationships/hyperlink" Target="https://www.sec.gov/ix?doc=/Archives/edgar/data/0001428205/000142820526000076/arr-20260701.htm" TargetMode="External"/><Relationship Id="rId25" Type="http://schemas.openxmlformats.org/officeDocument/2006/relationships/hyperlink" Target="https://www.sec.gov/ix?doc=/Archives/edgar/data/0001428205/000142820526000082/arr-20260721.htm" TargetMode="External"/><Relationship Id="rId26" Type="http://schemas.openxmlformats.org/officeDocument/2006/relationships/hyperlink" Target="https://www.sec.gov/Archives/edgar/data/1428205/000139843211000323/i11301.htm" TargetMode="External"/><Relationship Id="rId27" Type="http://schemas.openxmlformats.org/officeDocument/2006/relationships/hyperlink" Target="https://www.sec.gov/Archives/edgar/data/1428205/000142820526000029/a2025-ex41descriptionofsec.htm" TargetMode="External"/><Relationship Id="rId28" Type="http://schemas.openxmlformats.org/officeDocument/2006/relationships/hyperlink" Target="https://www.sec.gov/Archives/edgar/data/1428205/000139843211000323/i11301.htm" TargetMode="External"/><Relationship Id="rId29" Type="http://schemas.openxmlformats.org/officeDocument/2006/relationships/hyperlink" Target="https://www.sec.gov/Archives/edgar/data/1428205/000142820526000029/a2025-ex41descriptionofsec.htm" TargetMode="External"/><Relationship Id="rId30" Type="http://schemas.openxmlformats.org/officeDocument/2006/relationships/image" Target="media/image1.jpeg"/><Relationship Id="rId31" Type="http://schemas.openxmlformats.org/officeDocument/2006/relationships/hyperlink" Target="https://www.sec.gov/ix?doc=/Archives/edgar/data/1428205/000142820524000061/arr-20231231.htm" TargetMode="External"/><Relationship Id="rId32" Type="http://schemas.openxmlformats.org/officeDocument/2006/relationships/hyperlink" Target="https://www.sec.gov/ix?doc=/Archives/edgar/data/0001428205/000142820524000002/arr-20240102.htm" TargetMode="External"/><Relationship Id="rId33" Type="http://schemas.openxmlformats.org/officeDocument/2006/relationships/hyperlink" Target="https://www.sec.gov/ix?doc=/Archives/edgar/data/0001428205/000142820524000009/arr-20240201.htm" TargetMode="External"/><Relationship Id="rId34" Type="http://schemas.openxmlformats.org/officeDocument/2006/relationships/hyperlink" Target="https://www.sec.gov/ix?doc=/Archives/edgar/data/1428205/000142820524000011/arr-20240205.htm" TargetMode="External"/><Relationship Id="rId35" Type="http://schemas.openxmlformats.org/officeDocument/2006/relationships/hyperlink" Target="https://www.sec.gov/ix?doc=/Archives/edgar/data/1428205/000142820524000013/arr-20240214.htm" TargetMode="External"/><Relationship Id="rId36" Type="http://schemas.openxmlformats.org/officeDocument/2006/relationships/hyperlink" Target="https://www.sec.gov/ix?doc=/Archives/edgar/data/0001428205/000142820524000051/arr-20240301.htm" TargetMode="External"/><Relationship Id="rId37" Type="http://schemas.openxmlformats.org/officeDocument/2006/relationships/hyperlink" Target="https://www.sec.gov/ix?doc=/Archives/edgar/data/0001428205/000142820524000063/arr-20240318.htm" TargetMode="External"/><Relationship Id="rId38" Type="http://schemas.openxmlformats.org/officeDocument/2006/relationships/hyperlink" Target="https://www.sec.gov/ix?doc=/Archives/edgar/data/0001428205/000142820524000068/arr-20240325.htm" TargetMode="External"/><Relationship Id="rId39" Type="http://schemas.openxmlformats.org/officeDocument/2006/relationships/hyperlink" Target="https://www.sec.gov/ix?doc=/Archives/edgar/data/0001428205/000142820523000071/arr-20230323.htm" TargetMode="External"/><Relationship Id="rId40" Type="http://schemas.openxmlformats.org/officeDocument/2006/relationships/hyperlink" Target="https://www.sec.gov/Archives/edgar/data/1428205/000139843211000323/i11301.htm" TargetMode="External"/><Relationship Id="rId41" Type="http://schemas.openxmlformats.org/officeDocument/2006/relationships/hyperlink" Target="https://www.sec.gov/Archives/edgar/data/1428205/000142820520000058/form8-a12bseriescpreferred.htm" TargetMode="External"/><Relationship Id="rId42" Type="http://schemas.openxmlformats.org/officeDocument/2006/relationships/image" Target="media/image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81</Pages>
  <Words>49827</Words>
  <Characters>255639</Characters>
  <CharactersWithSpaces>305163</CharactersWithSpaces>
  <Paragraphs>1126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