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filed with the Securities and Exchange Commission on May 8, 2026 </w:t>
      </w:r>
    </w:p>
    <w:p>
      <w:pPr>
        <w:pStyle w:val="TextBody"/>
        <w:bidi w:val="0"/>
        <w:spacing w:lineRule="auto" w:line="288" w:before="0" w:after="0"/>
        <w:jc w:val="right"/>
        <w:rPr/>
      </w:pPr>
      <w:r>
        <w:rPr>
          <w:rFonts w:ascii="Times New Roman;serif" w:hAnsi="Times New Roman;serif"/>
          <w:b w:val="false"/>
          <w:color w:val="000000"/>
          <w:sz w:val="20"/>
        </w:rPr>
        <w:t>Registration No. 333-</w:t>
      </w:r>
      <w:r>
        <w:rPr>
          <w:color w:val="000000"/>
          <w:u w:val="single"/>
        </w:rPr>
        <w:t xml:space="preserve"> </w:t>
      </w:r>
    </w:p>
    <w:p>
      <w:pPr>
        <w:pStyle w:val="TextBody"/>
        <w:bidi w:val="0"/>
        <w:spacing w:lineRule="auto" w:line="288" w:before="0" w:after="60"/>
        <w:jc w:val="both"/>
        <w:rPr>
          <w:color w:val="000000"/>
          <w:u w:val="single"/>
        </w:rPr>
      </w:pPr>
      <w:r>
        <w:rPr>
          <w:color w:val="000000"/>
          <w:u w:val="single"/>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br/>
        <w:t xml:space="preserve">SECURITIES AND EXCHANGE COMMISSION </w:t>
        <w:b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S-8 </w:t>
        <w:br/>
        <w:t xml:space="preserve">REGISTRATION STATEMENT </w:t>
        <w:br/>
        <w:t>UNDER THE SECURITIES ACT OF 1933</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w:t>
      </w:r>
    </w:p>
    <w:p>
      <w:pPr>
        <w:pStyle w:val="TextBody"/>
        <w:bidi w:val="0"/>
        <w:spacing w:lineRule="auto" w:line="288" w:before="0" w:after="0"/>
        <w:jc w:val="center"/>
        <w:rPr/>
      </w:pPr>
      <w:r>
        <w:rPr>
          <w:rFonts w:ascii="Times New Roman;serif" w:hAnsi="Times New Roman;serif"/>
          <w:b/>
          <w:color w:val="000000"/>
          <w:sz w:val="28"/>
        </w:rPr>
        <w:t xml:space="preserve">ARMOUR RESIDENTIAL REIT, INC. </w:t>
      </w:r>
      <w:r>
        <w:rPr>
          <w:rFonts w:ascii="Times New Roman;serif" w:hAnsi="Times New Roman;serif"/>
          <w:b w:val="false"/>
          <w:color w:val="000000"/>
          <w:sz w:val="20"/>
        </w:rPr>
        <w:br/>
      </w: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w:t>
      </w:r>
    </w:p>
    <w:tbl>
      <w:tblPr>
        <w:tblW w:w="4691" w:type="dxa"/>
        <w:jc w:val="center"/>
        <w:tblInd w:w="0" w:type="dxa"/>
        <w:tblLayout w:type="fixed"/>
        <w:tblCellMar>
          <w:top w:w="28" w:type="dxa"/>
          <w:left w:w="28" w:type="dxa"/>
          <w:bottom w:w="28" w:type="dxa"/>
          <w:right w:w="28" w:type="dxa"/>
        </w:tblCellMar>
      </w:tblPr>
      <w:tblGrid>
        <w:gridCol w:w="1058"/>
        <w:gridCol w:w="930"/>
        <w:gridCol w:w="936"/>
        <w:gridCol w:w="109"/>
        <w:gridCol w:w="109"/>
        <w:gridCol w:w="109"/>
        <w:gridCol w:w="421"/>
        <w:gridCol w:w="421"/>
        <w:gridCol w:w="598"/>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Maryland</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26-1908763</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29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3001 Ocean Drive, Suite 201</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Vero Beach, Florida</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32963</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29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ARMOUR Residential REIT, Inc.</w:t>
        <w:br/>
        <w:t>Fourth Amended and Restated 2009 Stock Incentive Plan</w:t>
      </w:r>
    </w:p>
    <w:p>
      <w:pPr>
        <w:pStyle w:val="TextBody"/>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(Full Title of the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Gordon M. Harper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Chief Financial Officer and Secretary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ARMOUR Residential REIT,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3001 Ocean Drive, Suite 201 </w:t>
      </w:r>
    </w:p>
    <w:p>
      <w:pPr>
        <w:pStyle w:val="TextBody"/>
        <w:bidi w:val="0"/>
        <w:spacing w:lineRule="auto" w:line="288" w:before="0" w:after="0"/>
        <w:jc w:val="center"/>
        <w:rPr/>
      </w:pPr>
      <w:r>
        <w:rPr>
          <w:rFonts w:ascii="Times New Roman;serif" w:hAnsi="Times New Roman;serif"/>
          <w:b/>
          <w:color w:val="000000"/>
          <w:sz w:val="18"/>
        </w:rPr>
        <w:t>Vero Beach, Florida 32963</w:t>
      </w:r>
      <w:r>
        <w:rPr>
          <w:color w:val="000000"/>
        </w:rPr>
        <w:t xml:space="preserve"> </w:t>
      </w:r>
      <w:r>
        <w:rPr>
          <w:rFonts w:ascii="Times New Roman;serif" w:hAnsi="Times New Roman;serif"/>
          <w:b w:val="false"/>
          <w:color w:val="000000"/>
          <w:sz w:val="20"/>
        </w:rPr>
        <w:br/>
      </w:r>
      <w:r>
        <w:rPr>
          <w:rFonts w:ascii="Times New Roman;serif" w:hAnsi="Times New Roman;serif"/>
          <w:b w:val="false"/>
          <w:color w:val="000000"/>
          <w:sz w:val="15"/>
        </w:rPr>
        <w:t>(Name and Address of Agent for Service)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rPr>
        <w:t>(772) 617-4340</w:t>
      </w:r>
      <w:r>
        <w:rPr>
          <w:color w:val="000000"/>
        </w:rPr>
        <w:t xml:space="preserve"> </w:t>
      </w:r>
      <w:r>
        <w:rPr>
          <w:rFonts w:ascii="Times New Roman;serif" w:hAnsi="Times New Roman;serif"/>
          <w:b w:val="false"/>
          <w:color w:val="000000"/>
          <w:sz w:val="20"/>
        </w:rPr>
        <w:br/>
      </w:r>
      <w:r>
        <w:rPr>
          <w:rFonts w:ascii="Times New Roman;serif" w:hAnsi="Times New Roman;serif"/>
          <w:b w:val="false"/>
          <w:color w:val="000000"/>
          <w:sz w:val="15"/>
        </w:rPr>
        <w:t xml:space="preserve">(Telephone number, including area code, of agent for service)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w:t>
      </w:r>
    </w:p>
    <w:p>
      <w:pPr>
        <w:pStyle w:val="TextBody"/>
        <w:bidi w:val="0"/>
        <w:spacing w:lineRule="auto" w:line="288" w:before="120" w:after="283"/>
        <w:jc w:val="center"/>
        <w:rPr/>
      </w:pPr>
      <w:r>
        <w:rPr>
          <w:rFonts w:ascii="Times New Roman;serif" w:hAnsi="Times New Roman;serif"/>
          <w:b/>
          <w:i/>
          <w:color w:val="000000"/>
          <w:sz w:val="18"/>
        </w:rPr>
        <w:t xml:space="preserve">With a copy to: </w:t>
      </w:r>
      <w:r>
        <w:rPr>
          <w:rFonts w:ascii="Times New Roman;serif" w:hAnsi="Times New Roman;serif"/>
          <w:b w:val="false"/>
          <w:color w:val="000000"/>
          <w:sz w:val="20"/>
        </w:rPr>
        <w:br/>
      </w:r>
      <w:r>
        <w:rPr>
          <w:rFonts w:ascii="Times New Roman;serif" w:hAnsi="Times New Roman;serif"/>
          <w:b/>
          <w:color w:val="000000"/>
          <w:sz w:val="18"/>
        </w:rPr>
        <w:t xml:space="preserve">Bradley D. Houser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Holland &amp; Knight LLP </w:t>
        <w:br/>
        <w:t xml:space="preserve">701 Brickell Avenue, Suite 3300 </w:t>
        <w:br/>
        <w:t xml:space="preserve">Miami, Florida 33131 </w:t>
        <w:br/>
        <w:t xml:space="preserve">(305) 374-8500 </w:t>
        <w:br/>
        <w:t xml:space="preserve">Facsimile (305) 789-7799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ind w:left="0" w:right="0" w:firstLine="720"/>
        <w:jc w:val="both"/>
        <w:rPr/>
      </w:pPr>
      <w:r>
        <w:rPr/>
      </w:r>
    </w:p>
    <w:tbl>
      <w:tblPr>
        <w:tblW w:w="5385"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100" w:after="283"/>
        <w:jc w:val="center"/>
        <w:rPr/>
      </w:pPr>
      <w:r>
        <w:rPr/>
      </w:r>
    </w:p>
    <w:p>
      <w:pPr>
        <w:pStyle w:val="TextBody"/>
        <w:bidi w:val="0"/>
        <w:spacing w:lineRule="auto" w:line="288" w:before="60" w:after="283"/>
        <w:jc w:val="center"/>
        <w:rPr>
          <w:color w:val="000000"/>
        </w:rPr>
      </w:pPr>
      <w:r>
        <w:rPr>
          <w:color w:val="000000"/>
        </w:rPr>
        <w:t>    </w:t>
      </w:r>
      <w:r>
        <w:rPr>
          <w:rFonts w:ascii="Times New Roman;serif" w:hAnsi="Times New Roman;serif"/>
          <w:b/>
          <w:color w:val="000000"/>
          <w:sz w:val="20"/>
        </w:rPr>
        <w:t>This Registration Statement will become effective upon filing in accordance with Rule 462(a)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the stockholders of ARMOUR Residential REIT, Inc. (the “Company”) approved an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amendment and restatement of the Company’s Third Amended and Restated 2009 Stock Incentive Plan (the “Plan”) at the Company’s 2026 annual meeting of stockholders to increase the aggregate number of shares of the Company’s common stock, $0.001 par value (the “Common Stock”), authorized for issuance under the Plan by 1,000,000 shares of Common Stock from 800,000 shares of Common Stock to 1,800,000 shares of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previously filed Registration Statements on Form S-8 on February 18, 2011 (File No. 333-</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172364) registering the issuance of the initial 250,000 shares of the Company’s Common Stock under the Plan and on June 22, 2011 (File No. 333-175712) registering an additional 1,750,000 shares of the Company’s Common Stock under the Plan for an aggregate of 2,000,000 shares of Common Stock, and on May 16, 2014, the Company filed a Registration Statement on Form S-8 (File No. 333-196055) registering an additional 13,000,000 shares of the Company’s Common Stock under the Plan (collectively, as amended from time to time, the “Earlier Registration Statements”). The Company also filed a post-effective amendment to these Earlier Registration Statements on July 31, 2015 to proportionately reduce the number of shares of Common Stock covered by the Earlier Registration Statements to be issued pursuant to the Plan to 1,875,000 shares of Common Stock to reflect the Company’s one-for-eight reverse stock split of the Common Stock. Further, the Company filed a Registration Statement on Form S-8 on May 25, 2021 (File No. 333-256462) registering the issuance of an additional 2,125,000 shares of the Company’s Common Stock under the Plan for an aggregate of 4,000,000 shares of Common Stock (the “2021 Registration Statement”), which amount was proportionately adjusted to 800,000 shares of the Company’s Common Stock in connection with the Company’s one-for-five reverse stock split of the Common Stock. The additional shares to be registered by this Registration Statement are of the same class as those securities covered by the Earlier Registration Statements and the 2021 Registration Statement, which are incorporated herein by reference in accordance with Instruction E to the General Instructions to Form S-8.</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PART I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SECTION 10(a) PROSPECTUS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document(s) containing the information required by Part I of Form S-8 will be sent or given to participants as specified by Rule 428(b)(1) under the Securities Act of 1933, as amended (the “Securities Act”). In accordance with Rule 428(b)(1) and the requirements of Part I of Form S-8, such documents are not being filed with the Securities and Exchange Commission (the “Commission” or “SEC”)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constitute a prospectus that meets the requirements of Section 10(a) of the Securities Act. Upon written or oral request, the Company will provide, without charge, the documents incorporated by reference in Item 3 of Part II of this Registration Statement. The Company will also provide, without charge, upon written or oral request, other documents required to be delivered to employees pursuant to Rule 428(b). Written requests should be sent to Gordon M. Harper, Chief Financial Officer and Secretary, ARMOUR Residential REIT, Inc., 3001 Ocean Drive, Suite 201, Vero Beach, Florida 32963 and oral requests should be made by calling (772) 617-4340.</w:t>
      </w:r>
    </w:p>
    <w:p>
      <w:pPr>
        <w:pStyle w:val="TextBody"/>
        <w:bidi w:val="0"/>
        <w:spacing w:before="0" w:after="24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532130"/>
                <wp:effectExtent l="0" t="0" r="0" b="0"/>
                <wp:wrapNone/>
                <wp:docPr id="2" name="Frame2"/>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both"/>
                              <w:rPr>
                                <w:color w:val="000000"/>
                              </w:rPr>
                            </w:pPr>
                            <w:r>
                              <w:rPr>
                                <w:color w:val="000000"/>
                              </w:rPr>
                              <w:t>    </w:t>
                            </w:r>
                            <w:r>
                              <w:br w:type="page"/>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3.    Incorporation of Documents by Reference.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provide information about our business and other important information to you by “incorporating by reference” the information we file with the SEC, which means that we can disclose the information to you by referring in this prospectus to the documents we file with the SEC. Under the SEC’s regulations, any statement contained in a document incorporated by reference in this prospectus is automatically updated and superseded by any information contained in this prospectus, or in any subsequently filed document of the types described below.</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hereby incorporate by reference into this Registration Statement the following documents or portions thereof as indicated which we have filed with the Commission:</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hyperlink r:id="rId2">
        <w:r>
          <w:rPr>
            <w:rStyle w:val="InternetLink"/>
            <w:rFonts w:ascii="Times New Roman;serif" w:hAnsi="Times New Roman;serif"/>
            <w:b w:val="false"/>
            <w:color w:val="000000"/>
            <w:sz w:val="20"/>
            <w:u w:val="single"/>
          </w:rPr>
          <w:t>Our Annual Report on Form 10-K as of and for the year ended December 31, 2025, filed with the SEC on February 18, 2026</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Quarterly Report on Form 10-Q for</w:t>
      </w:r>
      <w:hyperlink r:id="rId3">
        <w:r>
          <w:rPr>
            <w:rStyle w:val="InternetLink"/>
            <w:color w:val="000000"/>
            <w:u w:val="single"/>
          </w:rPr>
          <w:t xml:space="preserve"> </w:t>
        </w:r>
      </w:hyperlink>
      <w:hyperlink r:id="rId4">
        <w:r>
          <w:rPr>
            <w:rStyle w:val="InternetLink"/>
            <w:rFonts w:ascii="Times New Roman;serif" w:hAnsi="Times New Roman;serif"/>
            <w:b w:val="false"/>
            <w:color w:val="000000"/>
            <w:sz w:val="20"/>
            <w:u w:val="single"/>
          </w:rPr>
          <w:t>the quarter ended March 31, 2026, filed with the SEC on April 22, 2026</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hyperlink r:id="rId5">
        <w:r>
          <w:rPr>
            <w:rStyle w:val="InternetLink"/>
            <w:rFonts w:ascii="Times New Roman;serif" w:hAnsi="Times New Roman;serif"/>
            <w:b w:val="false"/>
            <w:color w:val="000000"/>
            <w:sz w:val="20"/>
            <w:u w:val="single"/>
          </w:rPr>
          <w:t>The portions of our Definitive Proxy Statement on Schedule 14A, for our 2026 Annual Meeting of Stockholders, filed with the SEC on March 19, 2026, that are incorporated by reference into our Annual Report on Form 10-K for the fiscal year ended December 31, 2025</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Our Current Reports on Form 8-K, filed on </w:t>
      </w:r>
      <w:hyperlink r:id="rId6">
        <w:r>
          <w:rPr>
            <w:rStyle w:val="InternetLink"/>
            <w:rFonts w:ascii="Times New Roman;serif" w:hAnsi="Times New Roman;serif"/>
            <w:b w:val="false"/>
            <w:color w:val="000000"/>
            <w:sz w:val="20"/>
            <w:u w:val="single"/>
          </w:rPr>
          <w:t>January 2,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00"/>
            <w:sz w:val="20"/>
            <w:u w:val="single"/>
          </w:rPr>
          <w:t>January 28,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00"/>
            <w:sz w:val="20"/>
            <w:u w:val="single"/>
          </w:rPr>
          <w:t>January 29,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00"/>
            <w:sz w:val="20"/>
            <w:u w:val="single"/>
          </w:rPr>
          <w:t>February 17, 2026</w:t>
        </w:r>
      </w:hyperlink>
      <w:r>
        <w:rPr>
          <w:rFonts w:ascii="Times New Roman;serif" w:hAnsi="Times New Roman;serif"/>
          <w:b w:val="false"/>
          <w:color w:val="000000"/>
          <w:sz w:val="20"/>
        </w:rPr>
        <w:t xml:space="preserve">, </w:t>
      </w:r>
      <w:hyperlink r:id="rId10">
        <w:r>
          <w:rPr>
            <w:rStyle w:val="InternetLink"/>
          </w:rPr>
          <w:t>March 25, 202</w:t>
        </w:r>
      </w:hyperlink>
      <w:hyperlink r:id="rId11">
        <w:r>
          <w:rPr>
            <w:rStyle w:val="InternetLink"/>
          </w:rPr>
          <w:t>6</w:t>
        </w:r>
      </w:hyperlink>
      <w:r>
        <w:rPr>
          <w:rFonts w:ascii="Times New Roman;serif" w:hAnsi="Times New Roman;serif"/>
          <w:b w:val="false"/>
          <w:color w:val="000000"/>
          <w:sz w:val="20"/>
        </w:rPr>
        <w:t xml:space="preserve">, </w:t>
      </w:r>
      <w:hyperlink r:id="rId12">
        <w:r>
          <w:rPr>
            <w:rStyle w:val="InternetLink"/>
          </w:rPr>
          <w:t>A</w:t>
        </w:r>
      </w:hyperlink>
      <w:hyperlink r:id="rId13">
        <w:r>
          <w:rPr>
            <w:rStyle w:val="InternetLink"/>
          </w:rPr>
          <w:t>p</w:t>
        </w:r>
      </w:hyperlink>
      <w:hyperlink r:id="rId14">
        <w:r>
          <w:rPr>
            <w:rStyle w:val="InternetLink"/>
          </w:rPr>
          <w:t>ril 1, 2026</w:t>
        </w:r>
      </w:hyperlink>
      <w:r>
        <w:rPr>
          <w:rFonts w:ascii="Times New Roman;serif" w:hAnsi="Times New Roman;serif"/>
          <w:b w:val="false"/>
          <w:color w:val="000000"/>
          <w:sz w:val="20"/>
        </w:rPr>
        <w:t xml:space="preserve">, </w:t>
      </w:r>
      <w:hyperlink r:id="rId15">
        <w:r>
          <w:rPr>
            <w:rStyle w:val="InternetLink"/>
          </w:rPr>
          <w:t>April 21,</w:t>
        </w:r>
      </w:hyperlink>
      <w:hyperlink r:id="rId16">
        <w:r>
          <w:rPr>
            <w:rStyle w:val="InternetLink"/>
          </w:rPr>
          <w:t xml:space="preserve"> 2026</w:t>
        </w:r>
      </w:hyperlink>
      <w:r>
        <w:rPr>
          <w:color w:val="000000"/>
        </w:rPr>
        <w:t xml:space="preserve"> </w:t>
      </w:r>
      <w:r>
        <w:rPr>
          <w:rFonts w:ascii="Times New Roman;serif" w:hAnsi="Times New Roman;serif"/>
          <w:b w:val="false"/>
          <w:color w:val="000000"/>
          <w:sz w:val="20"/>
        </w:rPr>
        <w:t xml:space="preserve">and </w:t>
      </w:r>
      <w:hyperlink r:id="rId17">
        <w:r>
          <w:rPr>
            <w:rStyle w:val="InternetLink"/>
          </w:rPr>
          <w:t>April 3</w:t>
        </w:r>
      </w:hyperlink>
      <w:hyperlink r:id="rId18">
        <w:r>
          <w:rPr>
            <w:rStyle w:val="InternetLink"/>
          </w:rPr>
          <w:t>0, 2026</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hyperlink r:id="rId19">
        <w:r>
          <w:rPr>
            <w:rStyle w:val="InternetLink"/>
            <w:rFonts w:ascii="Times New Roman;serif" w:hAnsi="Times New Roman;serif"/>
            <w:b w:val="false"/>
            <w:color w:val="000000"/>
            <w:sz w:val="20"/>
            <w:u w:val="single"/>
          </w:rPr>
          <w:t>The description of our common stock included in our Registration Statement on Form 8-A, filed on March 31, 2011</w:t>
        </w:r>
      </w:hyperlink>
      <w:r>
        <w:rPr>
          <w:color w:val="000000"/>
        </w:rPr>
        <w:t xml:space="preserve"> </w:t>
      </w:r>
      <w:hyperlink r:id="rId20">
        <w:r>
          <w:rPr>
            <w:rStyle w:val="InternetLink"/>
            <w:rFonts w:ascii="Times New Roman;serif" w:hAnsi="Times New Roman;serif"/>
            <w:b w:val="false"/>
            <w:color w:val="000000"/>
            <w:sz w:val="20"/>
            <w:u w:val="single"/>
          </w:rPr>
          <w:t>(as updated by Exhibit 4.1 to our Annual Report on Form 10-K for the fiscal year ended December 31, 2025</w:t>
        </w:r>
      </w:hyperlink>
      <w:r>
        <w:rPr>
          <w:rFonts w:ascii="Times New Roman;serif" w:hAnsi="Times New Roman;serif"/>
          <w:b w:val="false"/>
          <w:color w:val="000000"/>
          <w:sz w:val="20"/>
        </w:rPr>
        <w:t xml:space="preserve">); </w:t>
      </w:r>
    </w:p>
    <w:p>
      <w:pPr>
        <w:pStyle w:val="TextBody"/>
        <w:bidi w:val="0"/>
        <w:spacing w:lineRule="auto" w:line="288" w:before="0" w:after="60"/>
        <w:ind w:left="0" w:right="0" w:hanging="360"/>
        <w:jc w:val="left"/>
        <w:rPr/>
      </w:pPr>
      <w:r>
        <w:rPr>
          <w:color w:val="000000"/>
        </w:rPr>
        <w:t>•</w:t>
      </w:r>
      <w:hyperlink r:id="rId21">
        <w:r>
          <w:rPr>
            <w:rStyle w:val="InternetLink"/>
            <w:rFonts w:ascii="Times New Roman;serif" w:hAnsi="Times New Roman;serif"/>
            <w:b w:val="false"/>
            <w:color w:val="000000"/>
            <w:sz w:val="20"/>
            <w:u w:val="single"/>
          </w:rPr>
          <w:t>The description of our 7.00% Series C Cumulative Redeemable Preferred Stock included in our Registration Statement on Form 8-A, filed on January 28, 2020</w:t>
        </w:r>
      </w:hyperlink>
      <w:r>
        <w:rPr>
          <w:color w:val="000000"/>
        </w:rPr>
        <w:t xml:space="preserve"> </w:t>
      </w:r>
      <w:hyperlink r:id="rId22">
        <w:r>
          <w:rPr>
            <w:rStyle w:val="InternetLink"/>
            <w:rFonts w:ascii="Times New Roman;serif" w:hAnsi="Times New Roman;serif"/>
            <w:b w:val="false"/>
            <w:color w:val="000000"/>
            <w:sz w:val="20"/>
            <w:u w:val="single"/>
          </w:rPr>
          <w:t>(as updated by Exhibit 4.1 to our Annual Report on Form 10-K for the fiscal year ended December 31, 2025</w:t>
        </w:r>
      </w:hyperlink>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In addition, all documents subsequently filed by us pursuant to Sections 13(a), 13(c), 14 and 15(d) of the Securities Exchange Act of 1934, as amended (the “Exchange Act”), other than information furnished pursuant to Item 2.02 or Item 7.01 of Form 8-K, prior to the filing of a post-effective amendment which indicates that all securities offered have been sold or which deregisters all securities then remaining unsold, shall be deemed to be incorporated by reference into this registration statement and to be a part hereof from the date of filing of such documents. Any statement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contained in this registration statement shall be deemed to be modified or superseded to the extent that a statement contained in a subsequently filed document that is or is deemed to be incorporated by reference in this registration statement modifies or supersedes such prior statement.Any statement so modified or superseded shall not be deemed, except as so modified or superseded, to constitute a part of this registration statement.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incorporated by reference or provided in this prospectus or any supplement. We have not authorized anyone else to provide you with different information. You should not assume that the information in this prospectus or any supplement is accurate as of any date other than the date on the front of those documents.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4.    Description of Securities.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 xml:space="preserve">Not applicable.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5.    Interests of Named Experts and Counsel.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 xml:space="preserve">Not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32130"/>
                <wp:effectExtent l="0" t="0" r="0" b="0"/>
                <wp:wrapNone/>
                <wp:docPr id="3" name="Frame3"/>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6.    Indemnification of Directors and Officers.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Maryland law permits a Maryland corporation to include in its charter a provision eliminating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Maryland General Corporation Law (the “MGCL”) requires us (unless our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act or omission of the director or officer was material to the matter giving rise to the proceeding and (1) was committed in bad faith or (2) was the result of active and deliberate dishonesty;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director or officer actually received an improper personal benefit in money, property or services; or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 the case of any criminal proceeding, the director or officer had reasonable cause to believe that the act or omission was unlawful.</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under the MGCL, a Maryland corporation may not indemnify a director or officer in a suit by or in the right of the corporation in which the director or officer was adjudged liable to the corporation or in a proceeding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us or in our right, or for a judgment of liability on the basis that personal benefit was improperly received, is limited to expenses.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MGCL permits a corporation to advance reasonable expenses to a director or officer upon the corporation’s receipt of: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written affirmation by the director or officer of his or her good faith belief that he or she has met the standard of conduct necessary for indemnification by the corporation;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written undertaking by the director or officer or on the director’s or officer’s behalf to repay the amount paid or reimbursed by the corporation if it is ultimately determined that the director or officer did not meet the standard of conduct.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authorizes us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present or former director or officer of ours who is made or threatened to be made a party to the proceeding by reason of his or her service in that capacity;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individual who, while a director or officer of ours and at our request, serves or has served another corporation, REIT, partnership, joint venture, trust, employee benefit plan or other enterprise as a director, officer, partner or trustee of such corporation, REIT, partnership, joint venture, trust, employee benefit plan or other enterprise and who is made or threatened to be made a party to the proceeding by reason of his or her service in that capacity.</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and bylaws also permit us, with the approval of our board of directors, to indemnify and advance expenses to any person who served a predecessor of ours in any of the capacities described above and to any employee or agent of ours or a predecessor of ours.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32130"/>
                <wp:effectExtent l="0" t="0" r="0" b="0"/>
                <wp:wrapNone/>
                <wp:docPr id="4" name="Frame4"/>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pStyle w:val="TextBody"/>
        <w:bidi w:val="0"/>
        <w:spacing w:lineRule="auto" w:line="288" w:before="0" w:after="240"/>
        <w:jc w:val="left"/>
        <w:rPr/>
      </w:pPr>
      <w:r>
        <w:rPr>
          <w:rFonts w:ascii="Times New Roman;serif" w:hAnsi="Times New Roman;serif"/>
          <w:b/>
          <w:color w:val="000000"/>
          <w:sz w:val="20"/>
        </w:rPr>
        <w:t>Item 7.</w:t>
      </w:r>
      <w:r>
        <w:rPr>
          <w:color w:val="000000"/>
        </w:rPr>
        <w:t xml:space="preserve">     </w:t>
      </w:r>
      <w:r>
        <w:rPr>
          <w:rFonts w:ascii="Times New Roman;serif" w:hAnsi="Times New Roman;serif"/>
          <w:b/>
          <w:color w:val="000000"/>
          <w:sz w:val="20"/>
        </w:rPr>
        <w:t>Exemption From Registration Claimed.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32130"/>
                <wp:effectExtent l="0" t="0" r="0" b="0"/>
                <wp:wrapNone/>
                <wp:docPr id="5" name="Frame5"/>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8.    Exhibits.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99"/>
        <w:gridCol w:w="2623"/>
        <w:gridCol w:w="374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Articles of Amendment and Restatement of Articles of Incorporation (Incorporated by reference to Exhibit 3.4 to ARMOUR's Current Report on Form 8-K filed with the SEC on November 12, 2009)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Articles of Amendment to Articles of Amendment and Restatement (Incorporated by reference to Exhibit 3.1 to ARMOUR's Current Report on Form 8-K filed with the SEC on August 8, 2011)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Articles of Amendment to Articles of Amendment and Restatement (Incorporated by reference to Exhibit 3.1 to ARMOUR's Current Report on Form 8-K filed with the SEC on December 1, 2011)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Articles of Amendment to Articles of Amendment and Restatement of ARMOUR Residential REIT, Inc. (Incorporated by reference to Exhibit 3.3 to ARMOUR’s Quarterly Report on Form 10-Q filed with the SEC on November 1, 2012)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Articles of Amendment to Articles of Amendment and Restatement of ARMOUR Residential REIT, Inc., effective July 31, 2015 (Incorporated by reference to Exhibit 3.1 to ARMOUR’s Current Report on Form 8-K filed with the SEC on August 3, 2015)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Articles of Amendment to Articles of Amendment and Restatement of ARMOUR Residential REIT, Inc., effective July 31, 2015 (Incorporated by reference to Exhibit 3.2 to ARMOUR’s Current Report on Form 8-K filed with the SEC on August 3, 2015)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Articles Supplementary of 7.00% Series C Cumulative Redeemable Preferred Stock (incorporated by reference to Exhibit 3.11 to ARMOUR's Registration Statement on Form 8-A (Reg. No. 001-34766), filed with the SEC on January 28, 2020).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Articles of Amendment to Articles of Amendment and Restatement of ARMOUR Residential REIT, Inc., effective August 20, 2021, (Incorporated by reference to Exhibit 3.1 to ARMOUR's Current Report on Form 8-K filed with the SEC on August 20,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Articles of Amendment (incorporated by reference to Exhibit 3.1 to ARMOUR's Current Report on Form 8-K, filed on July 27, 2022)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Articles of Amendment to Articles of Amendment and Restatement of ARMOUR Residential REIT, Inc., effective February 14, 2023 (incorporated by reference to Exhibit 3.10 to ARMOUR’s Annual Report on Form 10-K, filed February 15,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Articles of Amendment to Articles of Amendment and Restatement of ARMOUR Residential REIT, Inc. (Incorporated by reference to Exhibit 3.1 to ARMOUR's Current Report on Form 8-K filed with the SEC on October 2,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Articles of Amendment to the Articles of Amendment and Restatement of ARMOUR Residential REIT, Inc. (Incorporated by reference to Exhibit 3.2 to ARMOUR's Current Report on Form 8-K filed with the SEC on October 2,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Articles of Amendment to Articles of Amendment and Restatement (Incorporated by reference to Exhibit 3.1 to ARMOUR's Current Report on Form 8-K filed with the SEC on August 23,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Articles of Amendment to Articles of Amendment and Restatement (Incorporated by reference to Exhibit 3.1 to ARMOUR's Current Report on Form 8-K filed with the SEC on August 5,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Amended and Restated Bylaws of ARMOUR Residential REIT, Inc. (Incorporated by reference to Exhibit 3.1 to ARMOUR’s Quarterly Report on Form 10-Q filed with the SEC on October 29, 2014)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First Amendment to Amended and Restated Bylaws (incorporated by reference to Exhibit 3.1 to ARMOUR's Quarterly Report on Form 10-Q filed with the SEC on April 25, 2018).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Specimen Common Stock Certificate of ARMOUR Residential REIT, Inc. (Incorporated by reference to Exhibit 4.2 to ARMOUR’s Registration Statement on Form S-4/A (Reg. No. 333-160870) filed with the SEC on October 13, 2009)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Specimen 7.000% Series C Cumulative Redeemable Preferred Stock Certificate of ARMOUR Residential REIT, Inc. (Incorporated by reference to Exhibit 4.3 to ARMOUR’s Registration Statement on Form 8-A (Reg. No. 001-34766) filed with the SEC on January 28, 2020)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ARMOUR Residential REIT, Inc.’s Fourth Amended and Restated 2009 Stock Incentive Plan (incorporated by reference to Appendix A to ARMOUR’s Definitive Proxy Statement on Schedule 14A filed March 19,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s-8phantomsharesex51.htm">
              <w:r>
                <w:rPr>
                  <w:rStyle w:val="InternetLink"/>
                  <w:rFonts w:ascii="Times New Roman;serif" w:hAnsi="Times New Roman;serif"/>
                  <w:b w:val="false"/>
                  <w:color w:val="0000FF"/>
                  <w:sz w:val="20"/>
                  <w:u w:val="single"/>
                </w:rPr>
                <w:t>Opinion of Holland &amp; Knight LLP</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s-8phantomsharesex51.htm">
              <w:r>
                <w:rPr>
                  <w:rStyle w:val="InternetLink"/>
                  <w:rFonts w:ascii="Times New Roman;serif" w:hAnsi="Times New Roman;serif"/>
                  <w:b w:val="false"/>
                  <w:color w:val="0000FF"/>
                  <w:sz w:val="20"/>
                  <w:u w:val="single"/>
                </w:rPr>
                <w:t>Consent of Holland &amp; Knight LLP (included in Exhibit 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s-8phantomsharesex231.htm">
              <w:r>
                <w:rPr>
                  <w:rStyle w:val="InternetLink"/>
                  <w:rFonts w:ascii="Times New Roman;serif" w:hAnsi="Times New Roman;serif"/>
                  <w:b w:val="false"/>
                  <w:color w:val="0000FF"/>
                  <w:sz w:val="20"/>
                  <w:u w:val="single"/>
                </w:rPr>
                <w:t>Consent of Deloitte &amp; Touche LLP</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(set forth on the signature page to this Registration Statement)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32130"/>
                <wp:effectExtent l="0" t="0" r="0" b="0"/>
                <wp:wrapNone/>
                <wp:docPr id="6" name="Frame6"/>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Item 9.    Undertakings.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 xml:space="preserve">The undersigned Registrant hereby undertakes: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To include any prospectus required by section 10(a)(3) of the Securities Act; </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in the effective Registration Statement;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 provided, however, that paragraphs (1)(i) and (1)(ii)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32130"/>
                <wp:effectExtent l="0" t="0" r="0" b="0"/>
                <wp:wrapNone/>
                <wp:docPr id="7" name="Frame7"/>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0" w:after="180"/>
        <w:jc w:val="left"/>
        <w:rPr/>
      </w:pPr>
      <w:r>
        <w:rPr>
          <w:color w:val="000000"/>
        </w:rPr>
        <w:t>    </w:t>
      </w: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Vero Beach, State of Florida, on this 8</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May, 2026.</w:t>
      </w:r>
    </w:p>
    <w:tbl>
      <w:tblPr>
        <w:tblW w:w="6296" w:type="dxa"/>
        <w:jc w:val="center"/>
        <w:tblInd w:w="0" w:type="dxa"/>
        <w:tblLayout w:type="fixed"/>
        <w:tblCellMar>
          <w:top w:w="28" w:type="dxa"/>
          <w:left w:w="28" w:type="dxa"/>
          <w:bottom w:w="28" w:type="dxa"/>
          <w:right w:w="28" w:type="dxa"/>
        </w:tblCellMar>
      </w:tblPr>
      <w:tblGrid>
        <w:gridCol w:w="124"/>
        <w:gridCol w:w="109"/>
        <w:gridCol w:w="109"/>
        <w:gridCol w:w="1743"/>
        <w:gridCol w:w="1743"/>
        <w:gridCol w:w="24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180"/>
              <w:jc w:val="both"/>
              <w:rPr/>
            </w:pPr>
            <w:r>
              <w:rPr>
                <w:rFonts w:ascii="Times New Roman;serif" w:hAnsi="Times New Roman;serif"/>
                <w:b/>
                <w:color w:val="000000"/>
                <w:sz w:val="20"/>
              </w:rPr>
              <w:t>ARMOUR RESIDENTIAL REIT, INC</w:t>
            </w: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Gordon M. Harper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Gordon M. Harper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Secretary (Principal Financial Officer)</w:t>
            </w:r>
          </w:p>
        </w:tc>
      </w:tr>
    </w:tbl>
    <w:p>
      <w:pPr>
        <w:pStyle w:val="TextBody"/>
        <w:bidi w:val="0"/>
        <w:spacing w:lineRule="auto" w:line="288" w:before="0" w:after="180"/>
        <w:jc w:val="left"/>
        <w:rPr>
          <w:color w:val="000000"/>
        </w:rPr>
      </w:pPr>
      <w:r>
        <w:rPr>
          <w:color w:val="000000"/>
        </w:rPr>
        <w: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MEN BY THESE PRESENTS, that each person whose signature appears below constitutes and appoints Scott J. Ulm and Gordon M. Harper, and each of them acting alone, his true and lawful attorneys-in-fact and agents,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their substitute or substitutes, may lawfully do or cause to be done by virtue hereof.</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32130"/>
                <wp:effectExtent l="0" t="0" r="0" b="0"/>
                <wp:wrapNone/>
                <wp:docPr id="8" name="Frame8"/>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9817" w:type="dxa"/>
        <w:jc w:val="left"/>
        <w:tblInd w:w="0" w:type="dxa"/>
        <w:tblLayout w:type="fixed"/>
        <w:tblCellMar>
          <w:top w:w="28" w:type="dxa"/>
          <w:left w:w="28" w:type="dxa"/>
          <w:bottom w:w="28" w:type="dxa"/>
          <w:right w:w="28" w:type="dxa"/>
        </w:tblCellMar>
      </w:tblPr>
      <w:tblGrid>
        <w:gridCol w:w="719"/>
        <w:gridCol w:w="629"/>
        <w:gridCol w:w="632"/>
        <w:gridCol w:w="109"/>
        <w:gridCol w:w="109"/>
        <w:gridCol w:w="109"/>
        <w:gridCol w:w="1991"/>
        <w:gridCol w:w="1991"/>
        <w:gridCol w:w="2017"/>
        <w:gridCol w:w="109"/>
        <w:gridCol w:w="109"/>
        <w:gridCol w:w="109"/>
        <w:gridCol w:w="346"/>
        <w:gridCol w:w="346"/>
        <w:gridCol w:w="492"/>
      </w:tblGrid>
      <w:tr>
        <w:trPr/>
        <w:tc>
          <w:tcPr>
            <w:tcW w:w="7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0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 Ulm</w:t>
            </w:r>
          </w:p>
        </w:tc>
        <w:tc>
          <w:tcPr>
            <w:tcW w:w="6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Scott J. Ulm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Vice Chairman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Secretary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C. Staton</w:t>
            </w:r>
          </w:p>
        </w:tc>
        <w:tc>
          <w:tcPr>
            <w:tcW w:w="6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Daniel C. Staton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 Bell</w:t>
            </w:r>
          </w:p>
        </w:tc>
        <w:tc>
          <w:tcPr>
            <w:tcW w:w="6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Marc H. 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Z. Jamie Behar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 Jamie Behar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Carolyn Downey</w:t>
            </w:r>
          </w:p>
        </w:tc>
        <w:tc>
          <w:tcPr>
            <w:tcW w:w="6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Carolyn Downey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Robert C. Hain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Robert C. Hain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John P. Hollihan,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John P. Hollihan,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Stewart J. Paperin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Stewart J. Paperin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32130"/>
                <wp:effectExtent l="0" t="0" r="0" b="0"/>
                <wp:wrapNone/>
                <wp:docPr id="9" name="Frame9"/>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CALCULATION OF FEES TABLE </w:t>
      </w:r>
    </w:p>
    <w:p>
      <w:pPr>
        <w:pStyle w:val="TextBody"/>
        <w:bidi w:val="0"/>
        <w:spacing w:lineRule="auto" w:line="288" w:before="100" w:after="20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88" w:before="100" w:after="200"/>
        <w:jc w:val="center"/>
        <w:rPr/>
      </w:pPr>
      <w:r>
        <w:rPr>
          <w:rFonts w:ascii="Times New Roman;serif" w:hAnsi="Times New Roman;serif"/>
          <w:b/>
          <w:color w:val="000000"/>
          <w:sz w:val="24"/>
        </w:rPr>
        <w:t xml:space="preserve">ARMOUR RESIDENTIAL REIT, INC. </w:t>
      </w:r>
      <w:r>
        <w:rPr>
          <w:rFonts w:ascii="Times New Roman;serif" w:hAnsi="Times New Roman;serif"/>
          <w:b w:val="false"/>
          <w:color w:val="000000"/>
          <w:sz w:val="24"/>
        </w:rPr>
        <w:br/>
      </w:r>
      <w:r>
        <w:rPr>
          <w:rFonts w:ascii="Times New Roman;serif" w:hAnsi="Times New Roman;serif"/>
          <w:b w:val="false"/>
          <w:color w:val="000000"/>
          <w:sz w:val="20"/>
        </w:rPr>
        <w:t xml:space="preserve">(Exact name of registrant as specified in its charter)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Table 1: Newly Registered Securities and Carry Forward Securities</w:t>
      </w:r>
    </w:p>
    <w:tbl>
      <w:tblPr>
        <w:tblW w:w="10488" w:type="dxa"/>
        <w:jc w:val="center"/>
        <w:tblInd w:w="0" w:type="dxa"/>
        <w:tblLayout w:type="fixed"/>
        <w:tblCellMar>
          <w:top w:w="28" w:type="dxa"/>
          <w:left w:w="28" w:type="dxa"/>
          <w:bottom w:w="28" w:type="dxa"/>
          <w:right w:w="28" w:type="dxa"/>
        </w:tblCellMar>
      </w:tblPr>
      <w:tblGrid>
        <w:gridCol w:w="163"/>
        <w:gridCol w:w="143"/>
        <w:gridCol w:w="145"/>
        <w:gridCol w:w="230"/>
        <w:gridCol w:w="230"/>
        <w:gridCol w:w="231"/>
        <w:gridCol w:w="109"/>
        <w:gridCol w:w="109"/>
        <w:gridCol w:w="109"/>
        <w:gridCol w:w="305"/>
        <w:gridCol w:w="230"/>
        <w:gridCol w:w="231"/>
        <w:gridCol w:w="109"/>
        <w:gridCol w:w="109"/>
        <w:gridCol w:w="109"/>
        <w:gridCol w:w="300"/>
        <w:gridCol w:w="300"/>
        <w:gridCol w:w="301"/>
        <w:gridCol w:w="109"/>
        <w:gridCol w:w="109"/>
        <w:gridCol w:w="109"/>
        <w:gridCol w:w="285"/>
        <w:gridCol w:w="285"/>
        <w:gridCol w:w="286"/>
        <w:gridCol w:w="109"/>
        <w:gridCol w:w="109"/>
        <w:gridCol w:w="109"/>
        <w:gridCol w:w="196"/>
        <w:gridCol w:w="646"/>
        <w:gridCol w:w="109"/>
        <w:gridCol w:w="109"/>
        <w:gridCol w:w="109"/>
        <w:gridCol w:w="109"/>
        <w:gridCol w:w="196"/>
        <w:gridCol w:w="1186"/>
        <w:gridCol w:w="109"/>
        <w:gridCol w:w="109"/>
        <w:gridCol w:w="109"/>
        <w:gridCol w:w="109"/>
        <w:gridCol w:w="319"/>
        <w:gridCol w:w="319"/>
        <w:gridCol w:w="323"/>
        <w:gridCol w:w="109"/>
        <w:gridCol w:w="109"/>
        <w:gridCol w:w="109"/>
        <w:gridCol w:w="196"/>
        <w:gridCol w:w="781"/>
        <w:gridCol w:w="154"/>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Security Class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Fee Calculation or Carry Forward Rule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Amount </w:t>
              <w:br/>
              <w:t xml:space="preserve">Registered </w:t>
            </w:r>
            <w:r>
              <w:rPr>
                <w:rFonts w:ascii="Times New Roman;serif" w:hAnsi="Times New Roman;serif"/>
                <w:b w:val="false"/>
                <w:color w:val="000000"/>
                <w:sz w:val="12"/>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Proposed Maximum </w:t>
              <w:br/>
              <w:t xml:space="preserve">Offering Price Per </w:t>
              <w:br/>
              <w:t xml:space="preserve">Share </w:t>
            </w:r>
            <w:r>
              <w:rPr>
                <w:rFonts w:ascii="Times New Roman;serif" w:hAnsi="Times New Roman;serif"/>
                <w:b w:val="false"/>
                <w:color w:val="000000"/>
                <w:sz w:val="12"/>
              </w:rPr>
              <w:t>(2)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Maximum </w:t>
              <w:br/>
              <w:t xml:space="preserve">Aggregate Offering </w:t>
              <w:br/>
              <w:t xml:space="preserve">Price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Amount of</w:t>
            </w:r>
          </w:p>
          <w:p>
            <w:pPr>
              <w:pStyle w:val="TableContents"/>
              <w:bidi w:val="0"/>
              <w:spacing w:lineRule="auto" w:line="240" w:before="0" w:after="20"/>
              <w:jc w:val="center"/>
              <w:rPr/>
            </w:pPr>
            <w:r>
              <w:rPr>
                <w:rFonts w:ascii="Times New Roman;serif" w:hAnsi="Times New Roman;serif"/>
                <w:b w:val="false"/>
                <w:color w:val="000000"/>
                <w:sz w:val="18"/>
              </w:rPr>
              <w:t xml:space="preserve">Registration Fee </w:t>
            </w:r>
            <w:r>
              <w:rPr>
                <w:rFonts w:ascii="Times New Roman;serif" w:hAnsi="Times New Roman;serif"/>
                <w:b w:val="false"/>
                <w:color w:val="000000"/>
                <w:sz w:val="12"/>
              </w:rPr>
              <w:t>(2)</w:t>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Newly Registered Securities</w:t>
            </w:r>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to Be Paid</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Common Stock, $0.001 par value </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17,265,000.00 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0.00013810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Offering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Fee Offsets: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(1)Pursuant to Rule 416 under the Securities Act of 1933, as amended (the “Securities Act”), also registered hereby are such additional and indeterminate number of shares of common stock as may become issuable under our Fourth Amended and Restated 2009 Stock Incentive Plan by reason of any stock dividend, stock split, recapitalization or other similar transaction.</w:t>
      </w:r>
    </w:p>
    <w:p>
      <w:pPr>
        <w:pStyle w:val="TextBody"/>
        <w:bidi w:val="0"/>
        <w:spacing w:lineRule="auto" w:line="288" w:before="60" w:after="283"/>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(2)Calculated pursuant to Rule 457(c) and Rule 457(h) under the Securities Act, based upon the average of the high and low price per share of our common stock as reported on the New York Stock Exchange on May 5, 2026.</w:t>
      </w:r>
    </w:p>
    <w:p>
      <w:pPr>
        <w:pStyle w:val="TextBody"/>
        <w:bidi w:val="0"/>
        <w:spacing w:before="60" w:after="283"/>
        <w:ind w:left="0" w:right="0" w:hanging="45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lineRule="auto" w:line="288" w:before="0" w:after="0"/>
        <w:ind w:left="0" w:right="0" w:firstLine="360"/>
        <w:jc w:val="left"/>
        <w:rPr>
          <w:rFonts w:ascii="Times New Roman;serif" w:hAnsi="Times New Roman;serif"/>
          <w:b/>
          <w:color w:val="001A63"/>
          <w:sz w:val="32"/>
        </w:rPr>
      </w:pPr>
      <w:r>
        <w:rPr>
          <w:rFonts w:ascii="Times New Roman;serif" w:hAnsi="Times New Roman;serif"/>
          <w:b/>
          <w:color w:val="001A63"/>
          <w:sz w:val="32"/>
        </w:rPr>
        <w:t>Holland &amp; Knight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2776"/>
          <w:sz w:val="16"/>
        </w:rPr>
      </w:pPr>
      <w:r>
        <w:rPr>
          <w:rFonts w:ascii="Arial;sans-serif" w:hAnsi="Arial;sans-serif"/>
          <w:b w:val="false"/>
          <w:color w:val="002776"/>
          <w:sz w:val="16"/>
        </w:rPr>
        <w:t>701 Brickell Avenue, Suite 3300 | Miami, FL 33131 | T 305.374.8500 | F 305.789.7799</w:t>
      </w:r>
    </w:p>
    <w:p>
      <w:pPr>
        <w:pStyle w:val="TextBody"/>
        <w:bidi w:val="0"/>
        <w:spacing w:lineRule="auto" w:line="288" w:before="0" w:after="0"/>
        <w:ind w:left="0" w:right="0" w:firstLine="360"/>
        <w:jc w:val="left"/>
        <w:rPr>
          <w:rFonts w:ascii="Arial;sans-serif" w:hAnsi="Arial;sans-serif"/>
          <w:b w:val="false"/>
          <w:color w:val="002776"/>
          <w:sz w:val="16"/>
        </w:rPr>
      </w:pPr>
      <w:r>
        <w:rPr>
          <w:rFonts w:ascii="Arial;sans-serif" w:hAnsi="Arial;sans-serif"/>
          <w:b w:val="false"/>
          <w:color w:val="002776"/>
          <w:sz w:val="16"/>
        </w:rPr>
        <w:t>Holland &amp; Knight LLP | www.hklaw.com</w:t>
      </w:r>
    </w:p>
    <w:p>
      <w:pPr>
        <w:pStyle w:val="TextBody"/>
        <w:bidi w:val="0"/>
        <w:spacing w:before="0" w:after="0"/>
        <w:jc w:val="left"/>
        <w:rPr/>
      </w:pPr>
      <w:r>
        <w:rPr/>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May 8, 2026</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ARMOUR Residential REIT, Inc.</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3001 Ocean Drive, Suite 201</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Vero Beach, FL 32963</w:t>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 Registration Statement on Form S-8</w:t>
      </w:r>
    </w:p>
    <w:p>
      <w:pPr>
        <w:pStyle w:val="TextBody"/>
        <w:bidi w:val="0"/>
        <w:spacing w:lineRule="auto" w:line="288" w:before="20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acted as counsel for ARMOUR Residential REIT, Inc., a Maryland corporation (the “Company”), in connection with the Registration Statement on Form S-8 (the “Registration Statement”), filed by the Company with the Securities and Exchange Commission (the “Commission”) pursuant to the Securities Act of 1933, as amended (the “Securities Act”), relating to the registration by the Company of 1,000,000 shares of the Company's common stock, par value $0.001 per share (the “Shares”), that may be issued under the Company's Fourth Amended and Restated 2009 Stock Incentive Plan (the “Plan”). This opinion is being issued pursuant to the requirements of the Act.</w:t>
      </w:r>
    </w:p>
    <w:p>
      <w:pPr>
        <w:pStyle w:val="TextBody"/>
        <w:bidi w:val="0"/>
        <w:spacing w:before="0" w:after="0"/>
        <w:ind w:left="0" w:right="0" w:firstLine="49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 acting, we have examined the originals or copies, certified or otherwise identified to our satisfaction, of such documents as we have considered necessary in order to enable us to render this opinion, including: (i) the Registration Statement, (ii) the Company's Articles of Incorporation, as amended to date (the “Articles”), (iii) the Company's By-laws, as amended to date, (iv) resolutions of the Board of Directors of the Company relating to the Registration Statement and the proposed registration, issuance and sale of the Shares (the “Resolutions”), (v) certificates of public officials and certificates of officers or other representatives of the Company, and (vi) such other documents, certificates and records as we have deemed necessary or appropriate to form the basis for the opinions set forth herein.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rendering the opinions set forth herein, we have relied, without investigation, on each of the following assumptions: (a) the legal capacity of each natural person to take all actions required of each such person in connection with the Registration Statement and the registration, issuance and sale of the Shares; (b) the genuineness of each signature, the completeness of each document submitted to us, the authenticity of each document reviewed by us as an original, the conformity to the original of each document reviewed by us as a duplicate or a certified or conformed copy and the authenticity of the original of each document received by us as a duplicate or a certified or conformed copy; (c) as to matters of fact, the truthfulness, accuracy and completeness of the information, representations and warranties of the Company made in the Registration Statement and in the records, documents, instruments, certificates and statements we have reviewed; (d) the due execution and delivery of all documents (except that no such assumption is made as to the Company) where due execution and delivery are a prerequisite to the effectiveness thereof and (e) that there has been no undisclosed waiver of any right, remedy or provision contained in such documents. As to any facts material to the opinion expressed herein, which were not independently established or verified, we have relied, to the extent we have deemed reasonably appropriate, upon statements and representations of officers or directors of the Company.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foregoing, and subject to the assumptions, qualifications and limitations stated herein, we are of the opinion that the Shares have been duly authorized by the Company and, when issued and paid for in the manner described in the Plan, the Shares will be validly issued, fully paid and non-assessable.</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opinion expressed herein is limited to the federal securities laws of the United States of America and the corporate laws of the State of Maryland and we express no opinion as to matters governed by laws of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jurisdiction other than the federal securities laws of the United States of America and the corporate laws of the State of Maryland, as in effect on the date 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opinion letter speaks only as of the date hereof and 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letter with the Commission in connection with the filing of the Registration Statement referred to above. In giving this consent, we do not admit that we are within the category of persons whose consent is required under Section 7 of the Act or the rules and regulations of the Commission issued thereunder.</w:t>
      </w:r>
    </w:p>
    <w:p>
      <w:pPr>
        <w:pStyle w:val="TextBody"/>
        <w:bidi w:val="0"/>
        <w:spacing w:before="0" w:after="180"/>
        <w:ind w:left="0" w:right="0" w:firstLine="720"/>
        <w:jc w:val="left"/>
        <w:rPr/>
      </w:pPr>
      <w:r>
        <w:rPr/>
      </w:r>
    </w:p>
    <w:p>
      <w:pPr>
        <w:pStyle w:val="TextBody"/>
        <w:bidi w:val="0"/>
        <w:spacing w:lineRule="auto" w:line="288" w:before="200" w:after="200"/>
        <w:jc w:val="left"/>
        <w:rPr>
          <w:color w:val="000000"/>
        </w:rPr>
      </w:pPr>
      <w:r>
        <w:rPr>
          <w:color w:val="000000"/>
        </w:rPr>
        <w:t>                                    </w:t>
      </w:r>
      <w:r>
        <w:rPr>
          <w:rFonts w:ascii="Times New Roman;serif" w:hAnsi="Times New Roman;serif"/>
          <w:b w:val="false"/>
          <w:color w:val="000000"/>
          <w:sz w:val="20"/>
        </w:rPr>
        <w:t xml:space="preserve">Very truly yours, </w:t>
      </w:r>
    </w:p>
    <w:p>
      <w:pPr>
        <w:pStyle w:val="TextBody"/>
        <w:bidi w:val="0"/>
        <w:spacing w:lineRule="auto" w:line="288" w:before="200" w:after="200"/>
        <w:jc w:val="left"/>
        <w:rPr>
          <w:color w:val="000000"/>
        </w:rPr>
      </w:pPr>
      <w:r>
        <w:rPr>
          <w:color w:val="000000"/>
        </w:rPr>
        <w:t>                                    </w:t>
      </w:r>
      <w:r>
        <w:rPr>
          <w:rFonts w:ascii="Times New Roman;serif" w:hAnsi="Times New Roman;serif"/>
          <w:b w:val="false"/>
          <w:color w:val="000000"/>
          <w:sz w:val="20"/>
        </w:rPr>
        <w:t>/s/ HOLLAND &amp; KNIGHT LLP</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HOLLAND &amp; KNIGHT LLP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We consent to the incorporation by reference in Registration Statement on Form S-8 of our reports dated February 18, 2026, relating to the financial statements of ARMOUR Residential REIT, Inc. and the effectiveness of ARMOUR Residential REIT, Inc.’s internal control over financial reporting appearing in the Annual Report on Form 10-K for the year ended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Miami, Florida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428205/000142820526000029/arr-20251231.htm" TargetMode="External"/><Relationship Id="rId3" Type="http://schemas.openxmlformats.org/officeDocument/2006/relationships/hyperlink" Target="https://www.sec.gov/ix?doc=/Archives/edgar/data/0001428205/000142820526000059/arr-20260331.htm" TargetMode="External"/><Relationship Id="rId4" Type="http://schemas.openxmlformats.org/officeDocument/2006/relationships/hyperlink" Target="https://www.sec.gov/ix?doc=/Archives/edgar/data/0001428205/000142820526000059/arr-20260331.htm" TargetMode="External"/><Relationship Id="rId5" Type="http://schemas.openxmlformats.org/officeDocument/2006/relationships/hyperlink" Target="https://www.sec.gov/ix?doc=/Archives/edgar/data/0001428205/000142820526000040/arr-20260319.htm" TargetMode="External"/><Relationship Id="rId6" Type="http://schemas.openxmlformats.org/officeDocument/2006/relationships/hyperlink" Target="https://www.sec.gov/ix?doc=/Archives/edgar/data/1428205/000142820526000003/arr-20260102.htm" TargetMode="External"/><Relationship Id="rId7" Type="http://schemas.openxmlformats.org/officeDocument/2006/relationships/hyperlink" Target="https://www.sec.gov/ix?doc=/Archives/edgar/data/0001428205/000142820526000012/arr-20260128.htm" TargetMode="External"/><Relationship Id="rId8" Type="http://schemas.openxmlformats.org/officeDocument/2006/relationships/hyperlink" Target="https://www.sec.gov/ix?doc=/Archives/edgar/data/0001428205/000142820526000014/arr-20260129.htm" TargetMode="External"/><Relationship Id="rId9" Type="http://schemas.openxmlformats.org/officeDocument/2006/relationships/hyperlink" Target="https://www.sec.gov/ix?doc=/Archives/edgar/data/0001428205/000142820526000020/arr-20260217.htm" TargetMode="External"/><Relationship Id="rId10" Type="http://schemas.openxmlformats.org/officeDocument/2006/relationships/hyperlink" Target="https://www.sec.gov/ix?doc=/Archives/edgar/data/0001428205/000142820526000045/arr-20260325.htm" TargetMode="External"/><Relationship Id="rId11" Type="http://schemas.openxmlformats.org/officeDocument/2006/relationships/hyperlink" Target="https://www.sec.gov/ix?doc=/Archives/edgar/data/0001428205/000142820526000045/arr-20260325.htm" TargetMode="External"/><Relationship Id="rId12" Type="http://schemas.openxmlformats.org/officeDocument/2006/relationships/hyperlink" Target="https://www.sec.gov/ix?doc=/Archives/edgar/data/0001428205/000142820526000047/arr-20260401.htm" TargetMode="External"/><Relationship Id="rId13" Type="http://schemas.openxmlformats.org/officeDocument/2006/relationships/hyperlink" Target="https://www.sec.gov/ix?doc=/Archives/edgar/data/0001428205/000142820526000047/arr-20260401.htm" TargetMode="External"/><Relationship Id="rId14" Type="http://schemas.openxmlformats.org/officeDocument/2006/relationships/hyperlink" Target="https://www.sec.gov/ix?doc=/Archives/edgar/data/0001428205/000142820526000047/arr-20260401.htm" TargetMode="External"/><Relationship Id="rId15" Type="http://schemas.openxmlformats.org/officeDocument/2006/relationships/hyperlink" Target="https://www.sec.gov/ix?doc=/Archives/edgar/data/0001428205/000142820526000053/arr-20260421.htm" TargetMode="External"/><Relationship Id="rId16" Type="http://schemas.openxmlformats.org/officeDocument/2006/relationships/hyperlink" Target="https://www.sec.gov/ix?doc=/Archives/edgar/data/0001428205/000142820526000053/arr-20260421.htm" TargetMode="External"/><Relationship Id="rId17" Type="http://schemas.openxmlformats.org/officeDocument/2006/relationships/hyperlink" Target="https://www.sec.gov/ix?doc=/Archives/edgar/data/0001428205/000142820526000063/arr-20260430.htm" TargetMode="External"/><Relationship Id="rId18" Type="http://schemas.openxmlformats.org/officeDocument/2006/relationships/hyperlink" Target="https://www.sec.gov/ix?doc=/Archives/edgar/data/0001428205/000142820526000063/arr-20260430.htm" TargetMode="External"/><Relationship Id="rId19" Type="http://schemas.openxmlformats.org/officeDocument/2006/relationships/hyperlink" Target="https://www.sec.gov/Archives/edgar/data/1428205/000139843211000323/i11301.htm" TargetMode="External"/><Relationship Id="rId20" Type="http://schemas.openxmlformats.org/officeDocument/2006/relationships/hyperlink" Target="https://www.sec.gov/Archives/edgar/data/1428205/000142820526000029/a2025-ex41descriptionofsec.htm" TargetMode="External"/><Relationship Id="rId21" Type="http://schemas.openxmlformats.org/officeDocument/2006/relationships/hyperlink" Target="https://www.sec.gov/Archives/edgar/data/1428205/000139843211000323/i11301.htm" TargetMode="External"/><Relationship Id="rId22" Type="http://schemas.openxmlformats.org/officeDocument/2006/relationships/hyperlink" Target="https://www.sec.gov/Archives/edgar/data/1428205/000142820526000029/a2025-ex41descriptionofsec.htm" TargetMode="External"/><Relationship Id="rId23" Type="http://schemas.openxmlformats.org/officeDocument/2006/relationships/hyperlink" Target="https://www.sec.gov/Archives/edgar/data/1428205/000139843209000475/ex3_4.htm" TargetMode="External"/><Relationship Id="rId24" Type="http://schemas.openxmlformats.org/officeDocument/2006/relationships/hyperlink" Target="https://www.sec.gov/Archives/edgar/data/1428205/000139843211000648/exh3_1.htm" TargetMode="External"/><Relationship Id="rId25" Type="http://schemas.openxmlformats.org/officeDocument/2006/relationships/hyperlink" Target="https://www.sec.gov/Archives/edgar/data/1428205/000139843211000961/ex3-1.htm" TargetMode="External"/><Relationship Id="rId26" Type="http://schemas.openxmlformats.org/officeDocument/2006/relationships/hyperlink" Target="https://www.sec.gov/Archives/edgar/data/1428205/000143774912010817/arr20121025_10qex3-3.htm" TargetMode="External"/><Relationship Id="rId27" Type="http://schemas.openxmlformats.org/officeDocument/2006/relationships/hyperlink" Target="https://www.sec.gov/Archives/edgar/data/1428205/000142820515000191/arr1strticlesfiling.htm" TargetMode="External"/><Relationship Id="rId28" Type="http://schemas.openxmlformats.org/officeDocument/2006/relationships/hyperlink" Target="https://www.sec.gov/Archives/edgar/data/1428205/000142820515000191/arr2ndarticlesfiling.htm" TargetMode="External"/><Relationship Id="rId29" Type="http://schemas.openxmlformats.org/officeDocument/2006/relationships/hyperlink" Target="https://www.sec.gov/Archives/edgar/data/0001428205/000142820520000058/prefcarticlessupplementary.htm" TargetMode="External"/><Relationship Id="rId30" Type="http://schemas.openxmlformats.org/officeDocument/2006/relationships/hyperlink" Target="https://www.sec.gov/Archives/edgar/data/0001428205/000142820521000213/a82021exhibit31.htm" TargetMode="External"/><Relationship Id="rId31" Type="http://schemas.openxmlformats.org/officeDocument/2006/relationships/hyperlink" Target="https://www.sec.gov/Archives/edgar/data/1428205/000142820522000112/articlesofamendmentforincr.htm" TargetMode="External"/><Relationship Id="rId32" Type="http://schemas.openxmlformats.org/officeDocument/2006/relationships/hyperlink" Target="https://www.sec.gov/Archives/edgar/data/1428205/000142820523000032/arr10-k2022xexhibit310.htm" TargetMode="External"/><Relationship Id="rId33" Type="http://schemas.openxmlformats.org/officeDocument/2006/relationships/hyperlink" Target="https://www.sec.gov/Archives/edgar/data/1428205/000142820523000170/ex-31articlesofamendment20.htm" TargetMode="External"/><Relationship Id="rId34" Type="http://schemas.openxmlformats.org/officeDocument/2006/relationships/hyperlink" Target="https://www.sec.gov/Archives/edgar/data/1428205/000142820523000170/ex-32articlesofamendment20.htm" TargetMode="External"/><Relationship Id="rId35" Type="http://schemas.openxmlformats.org/officeDocument/2006/relationships/hyperlink" Target="https://www.sec.gov/Archives/edgar/data/1428205/000142820524000204/exhibit31articlesofamendme.htm" TargetMode="External"/><Relationship Id="rId36" Type="http://schemas.openxmlformats.org/officeDocument/2006/relationships/hyperlink" Target="https://www.sec.gov/Archives/edgar/data/1428205/000142820525000175/exhibit31articlesofamendme.htm" TargetMode="External"/><Relationship Id="rId37" Type="http://schemas.openxmlformats.org/officeDocument/2006/relationships/hyperlink" Target="https://www.sec.gov/Archives/edgar/data/1428205/000142820514000170/arramendedandrestatedbylaw.htm" TargetMode="External"/><Relationship Id="rId38" Type="http://schemas.openxmlformats.org/officeDocument/2006/relationships/hyperlink" Target="https://www.sec.gov/Archives/edgar/data/0001428205/000142820518000111/arr-q12018xex31.htm" TargetMode="External"/><Relationship Id="rId39" Type="http://schemas.openxmlformats.org/officeDocument/2006/relationships/hyperlink" Target="https://www.sec.gov/Archives/edgar/data/1428205/000139843209000399/ex4_2.htm" TargetMode="External"/><Relationship Id="rId40" Type="http://schemas.openxmlformats.org/officeDocument/2006/relationships/hyperlink" Target="https://www.sec.gov/Archives/edgar/data/0001428205/000142820520000058/seriescstockcertificate.htm" TargetMode="External"/><Relationship Id="rId41" Type="http://schemas.openxmlformats.org/officeDocument/2006/relationships/hyperlink" Target="https://www.sec.gov/ix?doc=/Archives/edgar/data/0001428205/000142820526000040/arr-20260319.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5058</Words>
  <Characters>26586</Characters>
  <CharactersWithSpaces>31657</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