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Calibri" w:cs="Calibri" w:eastAsia="Calibri" w:hAnsi="Calibri"/>
          <w:sz w:val="17"/>
          <w:szCs w:val="17"/>
          <w:b w:val="1"/>
          <w:bCs w:val="1"/>
          <w:color w:val="auto"/>
        </w:rPr>
        <w:drawing>
          <wp:anchor simplePos="0" relativeHeight="251657728" behindDoc="1" locked="0" layoutInCell="0" allowOverlap="1">
            <wp:simplePos x="0" y="0"/>
            <wp:positionH relativeFrom="page">
              <wp:posOffset>598170</wp:posOffset>
            </wp:positionH>
            <wp:positionV relativeFrom="page">
              <wp:posOffset>711200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669925</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t>UNITED STATES</w:t>
      </w:r>
    </w:p>
    <w:p>
      <w:pPr>
        <w:jc w:val="center"/>
        <w:ind w:right="100"/>
        <w:spacing w:after="0" w:line="238" w:lineRule="auto"/>
        <w:rPr>
          <w:sz w:val="20"/>
          <w:szCs w:val="20"/>
          <w:color w:val="auto"/>
        </w:rPr>
      </w:pPr>
      <w:r>
        <w:rPr>
          <w:rFonts w:ascii="Calibri" w:cs="Calibri" w:eastAsia="Calibri" w:hAnsi="Calibri"/>
          <w:sz w:val="17"/>
          <w:szCs w:val="17"/>
          <w:b w:val="1"/>
          <w:bCs w:val="1"/>
          <w:color w:val="auto"/>
        </w:rPr>
        <w:t>SECURITIES AND EXCHANGE COMMISSION</w:t>
      </w:r>
    </w:p>
    <w:p>
      <w:pPr>
        <w:jc w:val="center"/>
        <w:ind w:right="100"/>
        <w:spacing w:after="0"/>
        <w:rPr>
          <w:sz w:val="20"/>
          <w:szCs w:val="20"/>
          <w:color w:val="auto"/>
        </w:rPr>
      </w:pPr>
      <w:r>
        <w:rPr>
          <w:rFonts w:ascii="Calibri" w:cs="Calibri" w:eastAsia="Calibri" w:hAnsi="Calibri"/>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2818130</wp:posOffset>
            </wp:positionH>
            <wp:positionV relativeFrom="paragraph">
              <wp:posOffset>62865</wp:posOffset>
            </wp:positionV>
            <wp:extent cx="1907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7540" cy="8255"/>
                    </a:xfrm>
                    <a:prstGeom prst="rect">
                      <a:avLst/>
                    </a:prstGeom>
                    <a:noFill/>
                  </pic:spPr>
                </pic:pic>
              </a:graphicData>
            </a:graphic>
          </wp:anchor>
        </w:drawing>
      </w:r>
    </w:p>
    <w:p>
      <w:pPr>
        <w:spacing w:after="0" w:line="143" w:lineRule="exact"/>
        <w:rPr>
          <w:sz w:val="24"/>
          <w:szCs w:val="24"/>
          <w:color w:val="auto"/>
        </w:rPr>
      </w:pPr>
    </w:p>
    <w:p>
      <w:pPr>
        <w:jc w:val="center"/>
        <w:ind w:left="600"/>
        <w:spacing w:after="0"/>
        <w:rPr>
          <w:sz w:val="20"/>
          <w:szCs w:val="20"/>
          <w:color w:val="auto"/>
        </w:rPr>
      </w:pPr>
      <w:r>
        <w:rPr>
          <w:rFonts w:ascii="Calibri" w:cs="Calibri" w:eastAsia="Calibri" w:hAnsi="Calibri"/>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2818130</wp:posOffset>
            </wp:positionH>
            <wp:positionV relativeFrom="paragraph">
              <wp:posOffset>66675</wp:posOffset>
            </wp:positionV>
            <wp:extent cx="1907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7540" cy="8255"/>
                    </a:xfrm>
                    <a:prstGeom prst="rect">
                      <a:avLst/>
                    </a:prstGeom>
                    <a:noFill/>
                  </pic:spPr>
                </pic:pic>
              </a:graphicData>
            </a:graphic>
          </wp:anchor>
        </w:drawing>
      </w:r>
    </w:p>
    <w:p>
      <w:pPr>
        <w:spacing w:after="0" w:line="197" w:lineRule="exact"/>
        <w:rPr>
          <w:sz w:val="24"/>
          <w:szCs w:val="24"/>
          <w:color w:val="auto"/>
        </w:rPr>
      </w:pPr>
    </w:p>
    <w:p>
      <w:pPr>
        <w:ind w:left="1080" w:hanging="310"/>
        <w:spacing w:after="0"/>
        <w:tabs>
          <w:tab w:leader="none" w:pos="1080" w:val="left"/>
        </w:tabs>
        <w:numPr>
          <w:ilvl w:val="0"/>
          <w:numId w:val="1"/>
        </w:numPr>
        <w:rPr>
          <w:rFonts w:ascii="MS PGothic" w:cs="MS PGothic" w:eastAsia="MS PGothic" w:hAnsi="MS PGothic"/>
          <w:sz w:val="15"/>
          <w:szCs w:val="15"/>
          <w:color w:val="auto"/>
        </w:rPr>
      </w:pPr>
      <w:r>
        <w:rPr>
          <w:rFonts w:ascii="Calibri" w:cs="Calibri" w:eastAsia="Calibri" w:hAnsi="Calibri"/>
          <w:sz w:val="15"/>
          <w:szCs w:val="15"/>
          <w:b w:val="1"/>
          <w:bCs w:val="1"/>
          <w:color w:val="auto"/>
        </w:rPr>
        <w:t>ANNUAL REPORT PURSUANT TO SECTION 13 OR 15(d) OF THE SECURITIES EXCHANGE ACT OF 1934</w:t>
      </w:r>
    </w:p>
    <w:p>
      <w:pPr>
        <w:spacing w:after="0" w:line="93" w:lineRule="exact"/>
        <w:rPr>
          <w:rFonts w:ascii="MS PGothic" w:cs="MS PGothic" w:eastAsia="MS PGothic" w:hAnsi="MS PGothic"/>
          <w:sz w:val="15"/>
          <w:szCs w:val="15"/>
          <w:color w:val="auto"/>
        </w:rPr>
      </w:pPr>
    </w:p>
    <w:p>
      <w:pPr>
        <w:ind w:left="4080"/>
        <w:spacing w:after="0"/>
        <w:rPr>
          <w:rFonts w:ascii="MS PGothic" w:cs="MS PGothic" w:eastAsia="MS PGothic" w:hAnsi="MS PGothic"/>
          <w:sz w:val="15"/>
          <w:szCs w:val="15"/>
          <w:color w:val="auto"/>
        </w:rPr>
      </w:pPr>
      <w:r>
        <w:rPr>
          <w:rFonts w:ascii="Calibri" w:cs="Calibri" w:eastAsia="Calibri" w:hAnsi="Calibri"/>
          <w:sz w:val="17"/>
          <w:szCs w:val="17"/>
          <w:b w:val="1"/>
          <w:bCs w:val="1"/>
          <w:color w:val="auto"/>
        </w:rPr>
        <w:t>For the Fiscal Year Ended December 31, 2023</w:t>
      </w:r>
    </w:p>
    <w:p>
      <w:pPr>
        <w:spacing w:after="0" w:line="70" w:lineRule="exact"/>
        <w:rPr>
          <w:sz w:val="24"/>
          <w:szCs w:val="24"/>
          <w:color w:val="auto"/>
        </w:rPr>
      </w:pPr>
    </w:p>
    <w:p>
      <w:pPr>
        <w:jc w:val="center"/>
        <w:ind w:right="-59"/>
        <w:spacing w:after="0"/>
        <w:rPr>
          <w:sz w:val="20"/>
          <w:szCs w:val="20"/>
          <w:color w:val="auto"/>
        </w:rPr>
      </w:pPr>
      <w:r>
        <w:rPr>
          <w:rFonts w:ascii="Calibri" w:cs="Calibri" w:eastAsia="Calibri" w:hAnsi="Calibri"/>
          <w:sz w:val="15"/>
          <w:szCs w:val="15"/>
          <w:color w:val="auto"/>
        </w:rPr>
        <w:t>OR</w:t>
      </w:r>
    </w:p>
    <w:p>
      <w:pPr>
        <w:spacing w:after="0" w:line="98" w:lineRule="exact"/>
        <w:rPr>
          <w:sz w:val="24"/>
          <w:szCs w:val="24"/>
          <w:color w:val="auto"/>
        </w:rPr>
      </w:pPr>
    </w:p>
    <w:p>
      <w:pPr>
        <w:ind w:left="620" w:hanging="320"/>
        <w:spacing w:after="0"/>
        <w:tabs>
          <w:tab w:leader="none" w:pos="620" w:val="left"/>
        </w:tabs>
        <w:numPr>
          <w:ilvl w:val="0"/>
          <w:numId w:val="2"/>
        </w:numPr>
        <w:rPr>
          <w:rFonts w:ascii="MS PGothic" w:cs="MS PGothic" w:eastAsia="MS PGothic" w:hAnsi="MS PGothic"/>
          <w:sz w:val="17"/>
          <w:szCs w:val="17"/>
          <w:color w:val="auto"/>
        </w:rPr>
      </w:pPr>
      <w:r>
        <w:rPr>
          <w:rFonts w:ascii="Calibri" w:cs="Calibri" w:eastAsia="Calibri" w:hAnsi="Calibri"/>
          <w:sz w:val="15"/>
          <w:szCs w:val="15"/>
          <w:b w:val="1"/>
          <w:bCs w:val="1"/>
          <w:color w:val="auto"/>
        </w:rPr>
        <w:t>TRANSITION REPORT PURSUANT TO SECTION 13 OR 15(d) OF THE SECURITIES EXCHANGE ACT OF 1934</w:t>
      </w:r>
    </w:p>
    <w:p>
      <w:pPr>
        <w:spacing w:after="0" w:line="101" w:lineRule="exact"/>
        <w:rPr>
          <w:sz w:val="24"/>
          <w:szCs w:val="24"/>
          <w:color w:val="auto"/>
        </w:rPr>
      </w:pPr>
    </w:p>
    <w:tbl>
      <w:tblPr>
        <w:tblLayout w:type="fixed"/>
        <w:tblInd w:w="160" w:type="dxa"/>
        <w:tblCellMar>
          <w:top w:w="0" w:type="dxa"/>
          <w:left w:w="0" w:type="dxa"/>
          <w:bottom w:w="0" w:type="dxa"/>
          <w:right w:w="0" w:type="dxa"/>
        </w:tblCellMar>
      </w:tblPr>
      <w:tr>
        <w:trPr>
          <w:trHeight w:val="183"/>
        </w:trPr>
        <w:tc>
          <w:tcPr>
            <w:tcW w:w="5620" w:type="dxa"/>
            <w:vAlign w:val="bottom"/>
            <w:gridSpan w:val="3"/>
          </w:tcPr>
          <w:p>
            <w:pPr>
              <w:ind w:left="3700"/>
              <w:spacing w:after="0"/>
              <w:rPr>
                <w:sz w:val="20"/>
                <w:szCs w:val="20"/>
                <w:color w:val="auto"/>
              </w:rPr>
            </w:pPr>
            <w:r>
              <w:rPr>
                <w:rFonts w:ascii="Calibri" w:cs="Calibri" w:eastAsia="Calibri" w:hAnsi="Calibri"/>
                <w:sz w:val="15"/>
                <w:szCs w:val="15"/>
                <w:b w:val="1"/>
                <w:bCs w:val="1"/>
                <w:color w:val="auto"/>
              </w:rPr>
              <w:t>For the transiton period from</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Pr>
          <w:p>
            <w:pPr>
              <w:ind w:left="20"/>
              <w:spacing w:after="0"/>
              <w:rPr>
                <w:sz w:val="20"/>
                <w:szCs w:val="20"/>
                <w:color w:val="auto"/>
              </w:rPr>
            </w:pPr>
            <w:r>
              <w:rPr>
                <w:rFonts w:ascii="Calibri" w:cs="Calibri" w:eastAsia="Calibri" w:hAnsi="Calibri"/>
                <w:sz w:val="15"/>
                <w:szCs w:val="15"/>
                <w:b w:val="1"/>
                <w:bCs w:val="1"/>
                <w:color w:val="auto"/>
              </w:rPr>
              <w:t>to</w:t>
            </w:r>
          </w:p>
        </w:tc>
        <w:tc>
          <w:tcPr>
            <w:tcW w:w="700" w:type="dxa"/>
            <w:vAlign w:val="bottom"/>
            <w:tcBorders>
              <w:bottom w:val="single" w:sz="8" w:color="auto"/>
            </w:tcBorders>
            <w:gridSpan w:val="2"/>
          </w:tcPr>
          <w:p>
            <w:pPr>
              <w:spacing w:after="0"/>
              <w:rPr>
                <w:sz w:val="15"/>
                <w:szCs w:val="15"/>
                <w:color w:val="auto"/>
              </w:rPr>
            </w:pPr>
          </w:p>
        </w:tc>
        <w:tc>
          <w:tcPr>
            <w:tcW w:w="3920" w:type="dxa"/>
            <w:vAlign w:val="bottom"/>
          </w:tcPr>
          <w:p>
            <w:pPr>
              <w:spacing w:after="0"/>
              <w:rPr>
                <w:sz w:val="15"/>
                <w:szCs w:val="15"/>
                <w:color w:val="auto"/>
              </w:rPr>
            </w:pPr>
          </w:p>
        </w:tc>
      </w:tr>
      <w:tr>
        <w:trPr>
          <w:trHeight w:val="366"/>
        </w:trPr>
        <w:tc>
          <w:tcPr>
            <w:tcW w:w="3940" w:type="dxa"/>
            <w:vAlign w:val="bottom"/>
          </w:tcPr>
          <w:p>
            <w:pPr>
              <w:spacing w:after="0"/>
              <w:rPr>
                <w:sz w:val="24"/>
                <w:szCs w:val="24"/>
                <w:color w:val="auto"/>
              </w:rPr>
            </w:pPr>
          </w:p>
        </w:tc>
        <w:tc>
          <w:tcPr>
            <w:tcW w:w="3320" w:type="dxa"/>
            <w:vAlign w:val="bottom"/>
            <w:gridSpan w:val="10"/>
          </w:tcPr>
          <w:p>
            <w:pPr>
              <w:jc w:val="center"/>
              <w:ind w:left="276"/>
              <w:spacing w:after="0"/>
              <w:rPr>
                <w:sz w:val="20"/>
                <w:szCs w:val="20"/>
                <w:color w:val="auto"/>
              </w:rPr>
            </w:pPr>
            <w:r>
              <w:rPr>
                <w:rFonts w:ascii="Calibri" w:cs="Calibri" w:eastAsia="Calibri" w:hAnsi="Calibri"/>
                <w:sz w:val="15"/>
                <w:szCs w:val="15"/>
                <w:b w:val="1"/>
                <w:bCs w:val="1"/>
                <w:color w:val="auto"/>
              </w:rPr>
              <w:t>Commission File Number 001-34766</w:t>
            </w:r>
          </w:p>
        </w:tc>
        <w:tc>
          <w:tcPr>
            <w:tcW w:w="3920" w:type="dxa"/>
            <w:vAlign w:val="bottom"/>
          </w:tcPr>
          <w:p>
            <w:pPr>
              <w:spacing w:after="0"/>
              <w:rPr>
                <w:sz w:val="24"/>
                <w:szCs w:val="24"/>
                <w:color w:val="auto"/>
              </w:rPr>
            </w:pPr>
          </w:p>
        </w:tc>
      </w:tr>
      <w:tr>
        <w:trPr>
          <w:trHeight w:val="334"/>
        </w:trPr>
        <w:tc>
          <w:tcPr>
            <w:tcW w:w="3940" w:type="dxa"/>
            <w:vAlign w:val="bottom"/>
          </w:tcPr>
          <w:p>
            <w:pPr>
              <w:spacing w:after="0"/>
              <w:rPr>
                <w:sz w:val="24"/>
                <w:szCs w:val="24"/>
                <w:color w:val="auto"/>
              </w:rPr>
            </w:pPr>
          </w:p>
        </w:tc>
        <w:tc>
          <w:tcPr>
            <w:tcW w:w="3320" w:type="dxa"/>
            <w:vAlign w:val="bottom"/>
            <w:gridSpan w:val="10"/>
          </w:tcPr>
          <w:p>
            <w:pPr>
              <w:jc w:val="center"/>
              <w:ind w:right="100"/>
              <w:spacing w:after="0"/>
              <w:rPr>
                <w:sz w:val="20"/>
                <w:szCs w:val="20"/>
                <w:color w:val="auto"/>
              </w:rPr>
            </w:pPr>
            <w:r>
              <w:rPr>
                <w:rFonts w:ascii="Calibri" w:cs="Calibri" w:eastAsia="Calibri" w:hAnsi="Calibri"/>
                <w:sz w:val="21"/>
                <w:szCs w:val="21"/>
                <w:b w:val="1"/>
                <w:bCs w:val="1"/>
                <w:color w:val="auto"/>
                <w:w w:val="97"/>
              </w:rPr>
              <w:t>ARMOUR RESIDENTIAL REIT, INC.</w:t>
            </w:r>
          </w:p>
        </w:tc>
        <w:tc>
          <w:tcPr>
            <w:tcW w:w="3920" w:type="dxa"/>
            <w:vAlign w:val="bottom"/>
          </w:tcPr>
          <w:p>
            <w:pPr>
              <w:spacing w:after="0"/>
              <w:rPr>
                <w:sz w:val="24"/>
                <w:szCs w:val="24"/>
                <w:color w:val="auto"/>
              </w:rPr>
            </w:pPr>
          </w:p>
        </w:tc>
      </w:tr>
      <w:tr>
        <w:trPr>
          <w:trHeight w:val="246"/>
        </w:trPr>
        <w:tc>
          <w:tcPr>
            <w:tcW w:w="7260" w:type="dxa"/>
            <w:vAlign w:val="bottom"/>
            <w:gridSpan w:val="11"/>
          </w:tcPr>
          <w:p>
            <w:pPr>
              <w:jc w:val="center"/>
              <w:ind w:left="3746"/>
              <w:spacing w:after="0"/>
              <w:rPr>
                <w:sz w:val="20"/>
                <w:szCs w:val="20"/>
                <w:color w:val="auto"/>
              </w:rPr>
            </w:pPr>
            <w:r>
              <w:rPr>
                <w:rFonts w:ascii="Calibri" w:cs="Calibri" w:eastAsia="Calibri" w:hAnsi="Calibri"/>
                <w:sz w:val="15"/>
                <w:szCs w:val="15"/>
                <w:color w:val="auto"/>
              </w:rPr>
              <w:t>(Exact name of registrant as specifed in its charter)</w:t>
            </w:r>
          </w:p>
        </w:tc>
        <w:tc>
          <w:tcPr>
            <w:tcW w:w="3920" w:type="dxa"/>
            <w:vAlign w:val="bottom"/>
          </w:tcPr>
          <w:p>
            <w:pPr>
              <w:spacing w:after="0"/>
              <w:rPr>
                <w:sz w:val="21"/>
                <w:szCs w:val="21"/>
                <w:color w:val="auto"/>
              </w:rPr>
            </w:pPr>
          </w:p>
        </w:tc>
      </w:tr>
      <w:tr>
        <w:trPr>
          <w:trHeight w:val="361"/>
        </w:trPr>
        <w:tc>
          <w:tcPr>
            <w:tcW w:w="5620" w:type="dxa"/>
            <w:vAlign w:val="bottom"/>
            <w:gridSpan w:val="3"/>
          </w:tcPr>
          <w:p>
            <w:pPr>
              <w:jc w:val="center"/>
              <w:ind w:left="66"/>
              <w:spacing w:after="0"/>
              <w:rPr>
                <w:sz w:val="20"/>
                <w:szCs w:val="20"/>
                <w:color w:val="auto"/>
              </w:rPr>
            </w:pPr>
            <w:r>
              <w:rPr>
                <w:rFonts w:ascii="Calibri" w:cs="Calibri" w:eastAsia="Calibri" w:hAnsi="Calibri"/>
                <w:sz w:val="15"/>
                <w:szCs w:val="15"/>
                <w:color w:val="auto"/>
              </w:rPr>
              <w:t>Maryland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tcPr>
          <w:p>
            <w:pPr>
              <w:jc w:val="right"/>
              <w:ind w:right="2188"/>
              <w:spacing w:after="0"/>
              <w:rPr>
                <w:sz w:val="20"/>
                <w:szCs w:val="20"/>
                <w:color w:val="auto"/>
              </w:rPr>
            </w:pPr>
            <w:r>
              <w:rPr>
                <w:rFonts w:ascii="Calibri" w:cs="Calibri" w:eastAsia="Calibri" w:hAnsi="Calibri"/>
                <w:sz w:val="15"/>
                <w:szCs w:val="15"/>
                <w:b w:val="1"/>
                <w:bCs w:val="1"/>
                <w:color w:val="auto"/>
              </w:rPr>
              <w:t>26-1908763</w:t>
            </w:r>
          </w:p>
        </w:tc>
      </w:tr>
      <w:tr>
        <w:trPr>
          <w:trHeight w:val="26"/>
        </w:trPr>
        <w:tc>
          <w:tcPr>
            <w:tcW w:w="3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177"/>
        </w:trPr>
        <w:tc>
          <w:tcPr>
            <w:tcW w:w="5620" w:type="dxa"/>
            <w:vAlign w:val="bottom"/>
            <w:gridSpan w:val="3"/>
          </w:tcPr>
          <w:p>
            <w:pPr>
              <w:jc w:val="center"/>
              <w:ind w:left="66"/>
              <w:spacing w:after="0" w:line="177" w:lineRule="exact"/>
              <w:rPr>
                <w:sz w:val="20"/>
                <w:szCs w:val="20"/>
                <w:color w:val="auto"/>
              </w:rPr>
            </w:pPr>
            <w:r>
              <w:rPr>
                <w:rFonts w:ascii="Calibri" w:cs="Calibri" w:eastAsia="Calibri" w:hAnsi="Calibri"/>
                <w:sz w:val="15"/>
                <w:szCs w:val="15"/>
                <w:color w:val="auto"/>
              </w:rPr>
              <w:t>(State or other jurisdicton of incorporaton or organizaton)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20" w:type="dxa"/>
            <w:vAlign w:val="bottom"/>
          </w:tcPr>
          <w:p>
            <w:pPr>
              <w:jc w:val="center"/>
              <w:ind w:right="1248"/>
              <w:spacing w:after="0" w:line="177" w:lineRule="exact"/>
              <w:rPr>
                <w:sz w:val="20"/>
                <w:szCs w:val="20"/>
                <w:color w:val="auto"/>
              </w:rPr>
            </w:pPr>
            <w:r>
              <w:rPr>
                <w:rFonts w:ascii="Calibri" w:cs="Calibri" w:eastAsia="Calibri" w:hAnsi="Calibri"/>
                <w:sz w:val="15"/>
                <w:szCs w:val="15"/>
                <w:color w:val="auto"/>
              </w:rPr>
              <w:t>(I.R.S. Employer Identfcaton No.)</w:t>
            </w:r>
          </w:p>
        </w:tc>
      </w:tr>
      <w:tr>
        <w:trPr>
          <w:trHeight w:val="370"/>
        </w:trPr>
        <w:tc>
          <w:tcPr>
            <w:tcW w:w="3940" w:type="dxa"/>
            <w:vAlign w:val="bottom"/>
          </w:tcPr>
          <w:p>
            <w:pPr>
              <w:spacing w:after="0"/>
              <w:rPr>
                <w:sz w:val="24"/>
                <w:szCs w:val="24"/>
                <w:color w:val="auto"/>
              </w:rPr>
            </w:pPr>
          </w:p>
        </w:tc>
        <w:tc>
          <w:tcPr>
            <w:tcW w:w="3240" w:type="dxa"/>
            <w:vAlign w:val="bottom"/>
            <w:tcBorders>
              <w:bottom w:val="single" w:sz="8" w:color="auto"/>
            </w:tcBorders>
            <w:gridSpan w:val="9"/>
          </w:tcPr>
          <w:p>
            <w:pPr>
              <w:jc w:val="center"/>
              <w:spacing w:after="0"/>
              <w:rPr>
                <w:sz w:val="20"/>
                <w:szCs w:val="20"/>
                <w:color w:val="auto"/>
              </w:rPr>
            </w:pPr>
            <w:r>
              <w:rPr>
                <w:rFonts w:ascii="Calibri" w:cs="Calibri" w:eastAsia="Calibri" w:hAnsi="Calibri"/>
                <w:sz w:val="15"/>
                <w:szCs w:val="15"/>
                <w:b w:val="1"/>
                <w:bCs w:val="1"/>
                <w:color w:val="auto"/>
              </w:rPr>
              <w:t>3001 Ocean Drive, Suite 201, Vero Beach, FL 32963</w:t>
            </w: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98"/>
        </w:trPr>
        <w:tc>
          <w:tcPr>
            <w:tcW w:w="3940" w:type="dxa"/>
            <w:vAlign w:val="bottom"/>
          </w:tcPr>
          <w:p>
            <w:pPr>
              <w:spacing w:after="0"/>
              <w:rPr>
                <w:sz w:val="17"/>
                <w:szCs w:val="17"/>
                <w:color w:val="auto"/>
              </w:rPr>
            </w:pPr>
          </w:p>
        </w:tc>
        <w:tc>
          <w:tcPr>
            <w:tcW w:w="3320" w:type="dxa"/>
            <w:vAlign w:val="bottom"/>
            <w:gridSpan w:val="10"/>
          </w:tcPr>
          <w:p>
            <w:pPr>
              <w:jc w:val="center"/>
              <w:ind w:right="140"/>
              <w:spacing w:after="0"/>
              <w:rPr>
                <w:sz w:val="20"/>
                <w:szCs w:val="20"/>
                <w:color w:val="auto"/>
              </w:rPr>
            </w:pPr>
            <w:r>
              <w:rPr>
                <w:rFonts w:ascii="Calibri" w:cs="Calibri" w:eastAsia="Calibri" w:hAnsi="Calibri"/>
                <w:sz w:val="15"/>
                <w:szCs w:val="15"/>
                <w:color w:val="auto"/>
              </w:rPr>
              <w:t>(Address of principal executve ofces)(zip code)</w:t>
            </w:r>
          </w:p>
        </w:tc>
        <w:tc>
          <w:tcPr>
            <w:tcW w:w="3920" w:type="dxa"/>
            <w:vAlign w:val="bottom"/>
          </w:tcPr>
          <w:p>
            <w:pPr>
              <w:spacing w:after="0"/>
              <w:rPr>
                <w:sz w:val="17"/>
                <w:szCs w:val="17"/>
                <w:color w:val="auto"/>
              </w:rPr>
            </w:pPr>
          </w:p>
        </w:tc>
      </w:tr>
      <w:tr>
        <w:trPr>
          <w:trHeight w:val="271"/>
        </w:trPr>
        <w:tc>
          <w:tcPr>
            <w:tcW w:w="5060" w:type="dxa"/>
            <w:vAlign w:val="bottom"/>
            <w:gridSpan w:val="2"/>
          </w:tcPr>
          <w:p>
            <w:pPr>
              <w:spacing w:after="0"/>
              <w:rPr>
                <w:sz w:val="23"/>
                <w:szCs w:val="23"/>
                <w:color w:val="auto"/>
              </w:rPr>
            </w:pPr>
          </w:p>
        </w:tc>
        <w:tc>
          <w:tcPr>
            <w:tcW w:w="960" w:type="dxa"/>
            <w:vAlign w:val="bottom"/>
            <w:tcBorders>
              <w:bottom w:val="single" w:sz="8" w:color="auto"/>
            </w:tcBorders>
            <w:gridSpan w:val="5"/>
          </w:tcPr>
          <w:p>
            <w:pPr>
              <w:jc w:val="center"/>
              <w:spacing w:after="0"/>
              <w:rPr>
                <w:sz w:val="20"/>
                <w:szCs w:val="20"/>
                <w:color w:val="auto"/>
              </w:rPr>
            </w:pPr>
            <w:r>
              <w:rPr>
                <w:rFonts w:ascii="Calibri" w:cs="Calibri" w:eastAsia="Calibri" w:hAnsi="Calibri"/>
                <w:sz w:val="15"/>
                <w:szCs w:val="15"/>
                <w:b w:val="1"/>
                <w:bCs w:val="1"/>
                <w:color w:val="auto"/>
              </w:rPr>
              <w:t>(772) 617-4340</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186"/>
        </w:trPr>
        <w:tc>
          <w:tcPr>
            <w:tcW w:w="7260" w:type="dxa"/>
            <w:vAlign w:val="bottom"/>
            <w:gridSpan w:val="11"/>
          </w:tcPr>
          <w:p>
            <w:pPr>
              <w:jc w:val="center"/>
              <w:ind w:left="3706"/>
              <w:spacing w:after="0"/>
              <w:rPr>
                <w:sz w:val="20"/>
                <w:szCs w:val="20"/>
                <w:color w:val="auto"/>
              </w:rPr>
            </w:pPr>
            <w:r>
              <w:rPr>
                <w:rFonts w:ascii="Calibri" w:cs="Calibri" w:eastAsia="Calibri" w:hAnsi="Calibri"/>
                <w:sz w:val="15"/>
                <w:szCs w:val="15"/>
                <w:color w:val="auto"/>
              </w:rPr>
              <w:t>(Registrant’s telephone number, including area code)</w:t>
            </w:r>
          </w:p>
        </w:tc>
        <w:tc>
          <w:tcPr>
            <w:tcW w:w="3920" w:type="dxa"/>
            <w:vAlign w:val="bottom"/>
          </w:tcPr>
          <w:p>
            <w:pPr>
              <w:spacing w:after="0"/>
              <w:rPr>
                <w:sz w:val="16"/>
                <w:szCs w:val="16"/>
                <w:color w:val="auto"/>
              </w:rPr>
            </w:pPr>
          </w:p>
        </w:tc>
      </w:tr>
      <w:tr>
        <w:trPr>
          <w:trHeight w:val="335"/>
        </w:trPr>
        <w:tc>
          <w:tcPr>
            <w:tcW w:w="11180" w:type="dxa"/>
            <w:vAlign w:val="bottom"/>
            <w:gridSpan w:val="12"/>
          </w:tcPr>
          <w:p>
            <w:pPr>
              <w:jc w:val="center"/>
              <w:ind w:left="286"/>
              <w:spacing w:after="0"/>
              <w:rPr>
                <w:sz w:val="20"/>
                <w:szCs w:val="20"/>
                <w:color w:val="auto"/>
              </w:rPr>
            </w:pPr>
            <w:r>
              <w:rPr>
                <w:rFonts w:ascii="Calibri" w:cs="Calibri" w:eastAsia="Calibri" w:hAnsi="Calibri"/>
                <w:sz w:val="15"/>
                <w:szCs w:val="15"/>
                <w:b w:val="1"/>
                <w:bCs w:val="1"/>
                <w:color w:val="auto"/>
              </w:rPr>
              <w:t>Securites registered pursuant to Secton 12(b) of the Act:</w:t>
            </w:r>
          </w:p>
        </w:tc>
      </w:tr>
      <w:tr>
        <w:trPr>
          <w:trHeight w:val="280"/>
        </w:trPr>
        <w:tc>
          <w:tcPr>
            <w:tcW w:w="5620" w:type="dxa"/>
            <w:vAlign w:val="bottom"/>
            <w:gridSpan w:val="3"/>
          </w:tcPr>
          <w:p>
            <w:pPr>
              <w:ind w:left="2340"/>
              <w:spacing w:after="0"/>
              <w:rPr>
                <w:sz w:val="20"/>
                <w:szCs w:val="20"/>
                <w:color w:val="auto"/>
              </w:rPr>
            </w:pPr>
            <w:r>
              <w:rPr>
                <w:rFonts w:ascii="Calibri" w:cs="Calibri" w:eastAsia="Calibri" w:hAnsi="Calibri"/>
                <w:sz w:val="14"/>
                <w:szCs w:val="14"/>
                <w:b w:val="1"/>
                <w:bCs w:val="1"/>
                <w:color w:val="auto"/>
              </w:rPr>
              <w:t>Title of Class</w:t>
            </w:r>
          </w:p>
        </w:tc>
        <w:tc>
          <w:tcPr>
            <w:tcW w:w="1640" w:type="dxa"/>
            <w:vAlign w:val="bottom"/>
            <w:gridSpan w:val="8"/>
          </w:tcPr>
          <w:p>
            <w:pPr>
              <w:jc w:val="center"/>
              <w:ind w:right="680"/>
              <w:spacing w:after="0"/>
              <w:rPr>
                <w:sz w:val="20"/>
                <w:szCs w:val="20"/>
                <w:color w:val="auto"/>
              </w:rPr>
            </w:pPr>
            <w:r>
              <w:rPr>
                <w:rFonts w:ascii="Calibri" w:cs="Calibri" w:eastAsia="Calibri" w:hAnsi="Calibri"/>
                <w:sz w:val="14"/>
                <w:szCs w:val="14"/>
                <w:b w:val="1"/>
                <w:bCs w:val="1"/>
                <w:color w:val="auto"/>
                <w:w w:val="95"/>
              </w:rPr>
              <w:t>Trading Symbols</w:t>
            </w:r>
          </w:p>
        </w:tc>
        <w:tc>
          <w:tcPr>
            <w:tcW w:w="3920" w:type="dxa"/>
            <w:vAlign w:val="bottom"/>
          </w:tcPr>
          <w:p>
            <w:pPr>
              <w:jc w:val="center"/>
              <w:ind w:left="468"/>
              <w:spacing w:after="0"/>
              <w:rPr>
                <w:sz w:val="20"/>
                <w:szCs w:val="20"/>
                <w:color w:val="auto"/>
              </w:rPr>
            </w:pPr>
            <w:r>
              <w:rPr>
                <w:rFonts w:ascii="Calibri" w:cs="Calibri" w:eastAsia="Calibri" w:hAnsi="Calibri"/>
                <w:sz w:val="14"/>
                <w:szCs w:val="14"/>
                <w:b w:val="1"/>
                <w:bCs w:val="1"/>
                <w:color w:val="auto"/>
                <w:w w:val="98"/>
              </w:rPr>
              <w:t>Name of Exchange on which registered</w:t>
            </w:r>
          </w:p>
        </w:tc>
      </w:tr>
      <w:tr>
        <w:trPr>
          <w:trHeight w:val="193"/>
        </w:trPr>
        <w:tc>
          <w:tcPr>
            <w:tcW w:w="5620" w:type="dxa"/>
            <w:vAlign w:val="bottom"/>
            <w:gridSpan w:val="3"/>
          </w:tcPr>
          <w:p>
            <w:pPr>
              <w:ind w:left="480"/>
              <w:spacing w:after="0"/>
              <w:rPr>
                <w:sz w:val="20"/>
                <w:szCs w:val="20"/>
                <w:color w:val="auto"/>
              </w:rPr>
            </w:pPr>
            <w:r>
              <w:rPr>
                <w:rFonts w:ascii="Calibri" w:cs="Calibri" w:eastAsia="Calibri" w:hAnsi="Calibri"/>
                <w:sz w:val="14"/>
                <w:szCs w:val="14"/>
                <w:color w:val="auto"/>
              </w:rPr>
              <w:t>Preferred Stock, 7.00% Series C Cumulatve Redeemable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6"/>
          </w:tcPr>
          <w:p>
            <w:pPr>
              <w:jc w:val="center"/>
              <w:ind w:right="820"/>
              <w:spacing w:after="0"/>
              <w:rPr>
                <w:sz w:val="20"/>
                <w:szCs w:val="20"/>
                <w:color w:val="auto"/>
              </w:rPr>
            </w:pPr>
            <w:r>
              <w:rPr>
                <w:rFonts w:ascii="Calibri" w:cs="Calibri" w:eastAsia="Calibri" w:hAnsi="Calibri"/>
                <w:sz w:val="14"/>
                <w:szCs w:val="14"/>
                <w:color w:val="auto"/>
                <w:w w:val="96"/>
              </w:rPr>
              <w:t>ARR-PRC</w:t>
            </w:r>
          </w:p>
        </w:tc>
        <w:tc>
          <w:tcPr>
            <w:tcW w:w="3920" w:type="dxa"/>
            <w:vAlign w:val="bottom"/>
          </w:tcPr>
          <w:p>
            <w:pPr>
              <w:jc w:val="center"/>
              <w:ind w:left="468"/>
              <w:spacing w:after="0"/>
              <w:rPr>
                <w:sz w:val="20"/>
                <w:szCs w:val="20"/>
                <w:color w:val="auto"/>
              </w:rPr>
            </w:pPr>
            <w:r>
              <w:rPr>
                <w:rFonts w:ascii="Calibri" w:cs="Calibri" w:eastAsia="Calibri" w:hAnsi="Calibri"/>
                <w:sz w:val="14"/>
                <w:szCs w:val="14"/>
                <w:color w:val="auto"/>
                <w:w w:val="97"/>
              </w:rPr>
              <w:t>New York Stock Exchange</w:t>
            </w:r>
          </w:p>
        </w:tc>
      </w:tr>
      <w:tr>
        <w:trPr>
          <w:trHeight w:val="193"/>
        </w:trPr>
        <w:tc>
          <w:tcPr>
            <w:tcW w:w="5620" w:type="dxa"/>
            <w:vAlign w:val="bottom"/>
            <w:gridSpan w:val="3"/>
          </w:tcPr>
          <w:p>
            <w:pPr>
              <w:ind w:left="480"/>
              <w:spacing w:after="0"/>
              <w:rPr>
                <w:sz w:val="20"/>
                <w:szCs w:val="20"/>
                <w:color w:val="auto"/>
              </w:rPr>
            </w:pPr>
            <w:r>
              <w:rPr>
                <w:rFonts w:ascii="Calibri" w:cs="Calibri" w:eastAsia="Calibri" w:hAnsi="Calibri"/>
                <w:sz w:val="14"/>
                <w:szCs w:val="14"/>
                <w:color w:val="auto"/>
              </w:rPr>
              <w:t>Common Stock, $0.001 par value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5"/>
          </w:tcPr>
          <w:p>
            <w:pPr>
              <w:jc w:val="center"/>
              <w:ind w:right="920"/>
              <w:spacing w:after="0"/>
              <w:rPr>
                <w:sz w:val="20"/>
                <w:szCs w:val="20"/>
                <w:color w:val="auto"/>
              </w:rPr>
            </w:pPr>
            <w:r>
              <w:rPr>
                <w:rFonts w:ascii="Calibri" w:cs="Calibri" w:eastAsia="Calibri" w:hAnsi="Calibri"/>
                <w:sz w:val="14"/>
                <w:szCs w:val="14"/>
                <w:color w:val="auto"/>
              </w:rPr>
              <w:t>ARR</w:t>
            </w:r>
          </w:p>
        </w:tc>
        <w:tc>
          <w:tcPr>
            <w:tcW w:w="3920" w:type="dxa"/>
            <w:vAlign w:val="bottom"/>
          </w:tcPr>
          <w:p>
            <w:pPr>
              <w:jc w:val="center"/>
              <w:ind w:left="468"/>
              <w:spacing w:after="0"/>
              <w:rPr>
                <w:sz w:val="20"/>
                <w:szCs w:val="20"/>
                <w:color w:val="auto"/>
              </w:rPr>
            </w:pPr>
            <w:r>
              <w:rPr>
                <w:rFonts w:ascii="Calibri" w:cs="Calibri" w:eastAsia="Calibri" w:hAnsi="Calibri"/>
                <w:sz w:val="14"/>
                <w:szCs w:val="14"/>
                <w:color w:val="auto"/>
                <w:w w:val="97"/>
              </w:rPr>
              <w:t>New York Stock Exchange</w:t>
            </w:r>
          </w:p>
        </w:tc>
      </w:tr>
    </w:tbl>
    <w:p>
      <w:pPr>
        <w:spacing w:after="0" w:line="116" w:lineRule="exact"/>
        <w:rPr>
          <w:sz w:val="24"/>
          <w:szCs w:val="24"/>
          <w:color w:val="auto"/>
        </w:rPr>
      </w:pPr>
    </w:p>
    <w:p>
      <w:pPr>
        <w:ind w:left="3580"/>
        <w:spacing w:after="0"/>
        <w:rPr>
          <w:sz w:val="20"/>
          <w:szCs w:val="20"/>
          <w:color w:val="auto"/>
        </w:rPr>
      </w:pPr>
      <w:r>
        <w:rPr>
          <w:rFonts w:ascii="Calibri" w:cs="Calibri" w:eastAsia="Calibri" w:hAnsi="Calibri"/>
          <w:sz w:val="15"/>
          <w:szCs w:val="15"/>
          <w:b w:val="1"/>
          <w:bCs w:val="1"/>
          <w:color w:val="auto"/>
        </w:rPr>
        <w:t xml:space="preserve">Securites registered pursuant to Secton 12(g) of the Act: </w:t>
      </w:r>
      <w:r>
        <w:rPr>
          <w:rFonts w:ascii="Calibri" w:cs="Calibri" w:eastAsia="Calibri" w:hAnsi="Calibri"/>
          <w:sz w:val="15"/>
          <w:szCs w:val="15"/>
          <w:color w:val="auto"/>
        </w:rPr>
        <w:t>None.</w:t>
      </w:r>
    </w:p>
    <w:p>
      <w:pPr>
        <w:spacing w:after="0" w:line="2" w:lineRule="exact"/>
        <w:rPr>
          <w:sz w:val="24"/>
          <w:szCs w:val="24"/>
          <w:color w:val="auto"/>
        </w:rPr>
      </w:pPr>
    </w:p>
    <w:p>
      <w:pPr>
        <w:ind w:right="4000"/>
        <w:spacing w:after="0" w:line="225" w:lineRule="exact"/>
        <w:rPr>
          <w:sz w:val="20"/>
          <w:szCs w:val="20"/>
          <w:color w:val="auto"/>
        </w:rPr>
      </w:pPr>
      <w:r>
        <w:rPr>
          <w:rFonts w:ascii="Calibri" w:cs="Calibri" w:eastAsia="Calibri" w:hAnsi="Calibri"/>
          <w:sz w:val="13"/>
          <w:szCs w:val="13"/>
          <w:color w:val="auto"/>
        </w:rPr>
        <w:t xml:space="preserve">Indicate by check mark if the registrant is a well-known seasoned issuer, as defned in Rule 405 of the Securites Act. Yes </w:t>
      </w:r>
      <w:r>
        <w:rPr>
          <w:rFonts w:ascii="MS PGothic" w:cs="MS PGothic" w:eastAsia="MS PGothic" w:hAnsi="MS PGothic"/>
          <w:sz w:val="13"/>
          <w:szCs w:val="13"/>
          <w:color w:val="auto"/>
        </w:rPr>
        <w:t>☒</w:t>
      </w:r>
      <w:r>
        <w:rPr>
          <w:rFonts w:ascii="Calibri" w:cs="Calibri" w:eastAsia="Calibri" w:hAnsi="Calibri"/>
          <w:sz w:val="13"/>
          <w:szCs w:val="13"/>
          <w:color w:val="auto"/>
        </w:rPr>
        <w:t xml:space="preserve"> No </w:t>
      </w:r>
      <w:r>
        <w:rPr>
          <w:rFonts w:ascii="MS PGothic" w:cs="MS PGothic" w:eastAsia="MS PGothic" w:hAnsi="MS PGothic"/>
          <w:sz w:val="13"/>
          <w:szCs w:val="13"/>
          <w:color w:val="auto"/>
        </w:rPr>
        <w:t>☐</w:t>
      </w:r>
      <w:r>
        <w:rPr>
          <w:rFonts w:ascii="Calibri" w:cs="Calibri" w:eastAsia="Calibri" w:hAnsi="Calibri"/>
          <w:sz w:val="13"/>
          <w:szCs w:val="13"/>
          <w:color w:val="auto"/>
        </w:rPr>
        <w:t xml:space="preserve"> Indicate by check mark if the registrant is not required to fle reports pursuant to Secton 13 or Secton 15(d) of the Act. Yes </w:t>
      </w:r>
      <w:r>
        <w:rPr>
          <w:rFonts w:ascii="MS PGothic" w:cs="MS PGothic" w:eastAsia="MS PGothic" w:hAnsi="MS PGothic"/>
          <w:sz w:val="13"/>
          <w:szCs w:val="13"/>
          <w:color w:val="auto"/>
        </w:rPr>
        <w:t>☐</w:t>
      </w:r>
      <w:r>
        <w:rPr>
          <w:rFonts w:ascii="Calibri" w:cs="Calibri" w:eastAsia="Calibri" w:hAnsi="Calibri"/>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ind w:right="100"/>
        <w:spacing w:after="0" w:line="179" w:lineRule="exact"/>
        <w:rPr>
          <w:sz w:val="20"/>
          <w:szCs w:val="20"/>
          <w:color w:val="auto"/>
        </w:rPr>
      </w:pPr>
      <w:r>
        <w:rPr>
          <w:rFonts w:ascii="Calibri" w:cs="Calibri" w:eastAsia="Calibri" w:hAnsi="Calibri"/>
          <w:sz w:val="14"/>
          <w:szCs w:val="14"/>
          <w:color w:val="auto"/>
        </w:rPr>
        <w:t xml:space="preserve">Indicate by check mark whether the registrant (1) has fled all reports required to be fled by Secton 13 or 15(d) of the Securites Exchange Act of 1934 during the preceding twelve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29" w:lineRule="exact"/>
        <w:rPr>
          <w:sz w:val="24"/>
          <w:szCs w:val="24"/>
          <w:color w:val="auto"/>
        </w:rPr>
      </w:pPr>
    </w:p>
    <w:p>
      <w:pPr>
        <w:ind w:right="240"/>
        <w:spacing w:after="0" w:line="173" w:lineRule="exact"/>
        <w:rPr>
          <w:sz w:val="20"/>
          <w:szCs w:val="20"/>
          <w:color w:val="auto"/>
        </w:rPr>
      </w:pPr>
      <w:r>
        <w:rPr>
          <w:rFonts w:ascii="Calibri" w:cs="Calibri" w:eastAsia="Calibri" w:hAnsi="Calibri"/>
          <w:sz w:val="14"/>
          <w:szCs w:val="14"/>
          <w:color w:val="auto"/>
        </w:rPr>
        <w:t xml:space="preserve">Indicate by check mark whether the registrant has submited electronically every Interactve Data File required to be submited pursuant to Rule 405 of Regulaton S-T (§232.405 of this chapter) during the preceding twelve months (or for such shorter period that the registrant was required to submit such fles).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29" w:lineRule="exact"/>
        <w:rPr>
          <w:sz w:val="24"/>
          <w:szCs w:val="24"/>
          <w:color w:val="auto"/>
        </w:rPr>
      </w:pPr>
    </w:p>
    <w:p>
      <w:pPr>
        <w:ind w:right="160"/>
        <w:spacing w:after="0" w:line="232" w:lineRule="auto"/>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18" w:lineRule="exact"/>
        <w:rPr>
          <w:sz w:val="24"/>
          <w:szCs w:val="24"/>
          <w:color w:val="auto"/>
        </w:rPr>
      </w:pPr>
    </w:p>
    <w:p>
      <w:pPr>
        <w:spacing w:after="0" w:line="171" w:lineRule="exact"/>
        <w:tabs>
          <w:tab w:leader="none" w:pos="2780" w:val="left"/>
          <w:tab w:leader="none" w:pos="4340" w:val="left"/>
        </w:tabs>
        <w:rPr>
          <w:sz w:val="20"/>
          <w:szCs w:val="20"/>
          <w:color w:val="auto"/>
        </w:rPr>
      </w:pPr>
      <w:r>
        <w:rPr>
          <w:rFonts w:ascii="Calibri" w:cs="Calibri" w:eastAsia="Calibri" w:hAnsi="Calibri"/>
          <w:sz w:val="14"/>
          <w:szCs w:val="14"/>
          <w:color w:val="auto"/>
        </w:rPr>
        <w:t xml:space="preserve">Large accelerated fler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Accelerated fler </w:t>
      </w:r>
      <w:r>
        <w:rPr>
          <w:rFonts w:ascii="MS PGothic" w:cs="MS PGothic" w:eastAsia="MS PGothic" w:hAnsi="MS PGothic"/>
          <w:sz w:val="14"/>
          <w:szCs w:val="14"/>
          <w:color w:val="auto"/>
        </w:rPr>
        <w:t>☐</w:t>
      </w:r>
      <w:r>
        <w:rPr>
          <w:sz w:val="20"/>
          <w:szCs w:val="20"/>
          <w:color w:val="auto"/>
        </w:rPr>
        <w:tab/>
      </w:r>
      <w:r>
        <w:rPr>
          <w:rFonts w:ascii="Calibri" w:cs="Calibri" w:eastAsia="Calibri" w:hAnsi="Calibri"/>
          <w:sz w:val="14"/>
          <w:szCs w:val="14"/>
          <w:color w:val="auto"/>
        </w:rPr>
        <w:t xml:space="preserve">Non-accelerated fler </w:t>
      </w:r>
      <w:r>
        <w:rPr>
          <w:rFonts w:ascii="MS PGothic" w:cs="MS PGothic" w:eastAsia="MS PGothic" w:hAnsi="MS PGothic"/>
          <w:sz w:val="14"/>
          <w:szCs w:val="14"/>
          <w:color w:val="auto"/>
        </w:rPr>
        <w:t>☐</w:t>
      </w:r>
      <w:r>
        <w:rPr>
          <w:sz w:val="20"/>
          <w:szCs w:val="20"/>
          <w:color w:val="auto"/>
        </w:rPr>
        <w:tab/>
      </w:r>
      <w:r>
        <w:rPr>
          <w:rFonts w:ascii="Calibri" w:cs="Calibri" w:eastAsia="Calibri" w:hAnsi="Calibri"/>
          <w:sz w:val="13"/>
          <w:szCs w:val="13"/>
          <w:color w:val="auto"/>
        </w:rPr>
        <w:t xml:space="preserve">Smaller reportng company </w:t>
      </w:r>
      <w:r>
        <w:rPr>
          <w:rFonts w:ascii="MS PGothic" w:cs="MS PGothic" w:eastAsia="MS PGothic" w:hAnsi="MS PGothic"/>
          <w:sz w:val="13"/>
          <w:szCs w:val="13"/>
          <w:color w:val="auto"/>
        </w:rPr>
        <w:t>☐</w:t>
      </w:r>
      <w:r>
        <w:rPr>
          <w:rFonts w:ascii="Calibri" w:cs="Calibri" w:eastAsia="Calibri" w:hAnsi="Calibri"/>
          <w:sz w:val="13"/>
          <w:szCs w:val="13"/>
          <w:color w:val="auto"/>
        </w:rPr>
        <w:t xml:space="preserve"> Emerging growth company </w:t>
      </w:r>
      <w:r>
        <w:rPr>
          <w:rFonts w:ascii="MS PGothic" w:cs="MS PGothic" w:eastAsia="MS PGothic" w:hAnsi="MS PGothic"/>
          <w:sz w:val="13"/>
          <w:szCs w:val="13"/>
          <w:color w:val="auto"/>
        </w:rPr>
        <w:t>☐</w:t>
      </w:r>
    </w:p>
    <w:p>
      <w:pPr>
        <w:spacing w:after="0" w:line="87" w:lineRule="exact"/>
        <w:rPr>
          <w:sz w:val="24"/>
          <w:szCs w:val="24"/>
          <w:color w:val="auto"/>
        </w:rPr>
      </w:pPr>
    </w:p>
    <w:p>
      <w:pPr>
        <w:ind w:right="100"/>
        <w:spacing w:after="0" w:line="173" w:lineRule="exact"/>
        <w:rPr>
          <w:sz w:val="20"/>
          <w:szCs w:val="20"/>
          <w:color w:val="auto"/>
        </w:rPr>
      </w:pPr>
      <w:r>
        <w:rPr>
          <w:rFonts w:ascii="Calibri" w:cs="Calibri" w:eastAsia="Calibri" w:hAnsi="Calibri"/>
          <w:sz w:val="14"/>
          <w:szCs w:val="14"/>
          <w:color w:val="auto"/>
        </w:rPr>
        <w:t xml:space="preserve">If an emerging growth company, indicate by a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right="100"/>
        <w:spacing w:after="0" w:line="179" w:lineRule="exact"/>
        <w:rPr>
          <w:sz w:val="20"/>
          <w:szCs w:val="20"/>
          <w:color w:val="auto"/>
        </w:rPr>
      </w:pPr>
      <w:r>
        <w:rPr>
          <w:rFonts w:ascii="Calibri" w:cs="Calibri" w:eastAsia="Calibri" w:hAnsi="Calibri"/>
          <w:sz w:val="14"/>
          <w:szCs w:val="14"/>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4"/>
          <w:szCs w:val="14"/>
          <w:color w:val="auto"/>
        </w:rPr>
        <w:t>☒</w:t>
      </w:r>
    </w:p>
    <w:p>
      <w:pPr>
        <w:spacing w:after="0" w:line="29" w:lineRule="exact"/>
        <w:rPr>
          <w:sz w:val="24"/>
          <w:szCs w:val="24"/>
          <w:color w:val="auto"/>
        </w:rPr>
      </w:pPr>
    </w:p>
    <w:p>
      <w:pPr>
        <w:ind w:right="100"/>
        <w:spacing w:after="0" w:line="179" w:lineRule="exact"/>
        <w:rPr>
          <w:sz w:val="20"/>
          <w:szCs w:val="20"/>
          <w:color w:val="auto"/>
        </w:rPr>
      </w:pPr>
      <w:r>
        <w:rPr>
          <w:rFonts w:ascii="Calibri" w:cs="Calibri" w:eastAsia="Calibri" w:hAnsi="Calibri"/>
          <w:sz w:val="14"/>
          <w:szCs w:val="14"/>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4"/>
          <w:szCs w:val="14"/>
          <w:color w:val="auto"/>
        </w:rPr>
        <w:t>☐</w:t>
      </w:r>
    </w:p>
    <w:p>
      <w:pPr>
        <w:spacing w:after="0" w:line="16" w:lineRule="exact"/>
        <w:rPr>
          <w:sz w:val="24"/>
          <w:szCs w:val="24"/>
          <w:color w:val="auto"/>
        </w:rPr>
      </w:pPr>
    </w:p>
    <w:p>
      <w:pPr>
        <w:ind w:right="100"/>
        <w:spacing w:after="0" w:line="179" w:lineRule="exact"/>
        <w:rPr>
          <w:sz w:val="20"/>
          <w:szCs w:val="20"/>
          <w:color w:val="auto"/>
        </w:rPr>
      </w:pPr>
      <w:r>
        <w:rPr>
          <w:rFonts w:ascii="Calibri" w:cs="Calibri" w:eastAsia="Calibri" w:hAnsi="Calibri"/>
          <w:sz w:val="14"/>
          <w:szCs w:val="14"/>
          <w:color w:val="auto"/>
        </w:rPr>
        <w:t xml:space="preserve">Indicate by check mark whether any of those error correctons are restatements that required a recovery analysis of incentve-based compensaton received by any of the registrant's executve ofcers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1" w:lineRule="exact"/>
        <w:rPr>
          <w:sz w:val="20"/>
          <w:szCs w:val="20"/>
          <w:color w:val="auto"/>
        </w:rPr>
      </w:pPr>
      <w:r>
        <w:rPr>
          <w:rFonts w:ascii="Calibri" w:cs="Calibri" w:eastAsia="Calibri" w:hAnsi="Calibri"/>
          <w:sz w:val="14"/>
          <w:szCs w:val="14"/>
          <w:color w:val="auto"/>
        </w:rPr>
        <w:t xml:space="preserve">Indicate by check mark whether the registrant is a shell company (as defned in Rule 12b-2 of the Act).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76" w:lineRule="exact"/>
        <w:rPr>
          <w:sz w:val="24"/>
          <w:szCs w:val="24"/>
          <w:color w:val="auto"/>
        </w:rPr>
      </w:pPr>
    </w:p>
    <w:p>
      <w:pPr>
        <w:ind w:right="220"/>
        <w:spacing w:after="0" w:line="232" w:lineRule="auto"/>
        <w:rPr>
          <w:sz w:val="20"/>
          <w:szCs w:val="20"/>
          <w:color w:val="auto"/>
        </w:rPr>
      </w:pPr>
      <w:r>
        <w:rPr>
          <w:rFonts w:ascii="Calibri" w:cs="Calibri" w:eastAsia="Calibri" w:hAnsi="Calibri"/>
          <w:sz w:val="14"/>
          <w:szCs w:val="14"/>
          <w:color w:val="auto"/>
        </w:rPr>
        <w:t>On June 30, 2023, the aggregate value of the registrant's common stock held by non-afliates of the registrant was approximately, $1,094,476,261 based on the closing sales price of our common stock on such date as reported on the NYSE.</w:t>
      </w:r>
    </w:p>
    <w:p>
      <w:pPr>
        <w:spacing w:after="0" w:line="36" w:lineRule="exact"/>
        <w:rPr>
          <w:sz w:val="24"/>
          <w:szCs w:val="24"/>
          <w:color w:val="auto"/>
        </w:rPr>
      </w:pPr>
    </w:p>
    <w:p>
      <w:pPr>
        <w:spacing w:after="0"/>
        <w:rPr>
          <w:sz w:val="20"/>
          <w:szCs w:val="20"/>
          <w:color w:val="auto"/>
        </w:rPr>
      </w:pPr>
      <w:r>
        <w:rPr>
          <w:rFonts w:ascii="Calibri" w:cs="Calibri" w:eastAsia="Calibri" w:hAnsi="Calibri"/>
          <w:sz w:val="14"/>
          <w:szCs w:val="14"/>
          <w:color w:val="auto"/>
        </w:rPr>
        <w:t>The number of outstanding shares of the Registrant’s common stock as of March 14, 2024 was 48,749,890.</w:t>
      </w:r>
    </w:p>
    <w:p>
      <w:pPr>
        <w:spacing w:after="0" w:line="100" w:lineRule="exact"/>
        <w:rPr>
          <w:sz w:val="24"/>
          <w:szCs w:val="24"/>
          <w:color w:val="auto"/>
        </w:rPr>
      </w:pPr>
    </w:p>
    <w:p>
      <w:pPr>
        <w:jc w:val="center"/>
        <w:ind w:right="100"/>
        <w:spacing w:after="0"/>
        <w:rPr>
          <w:sz w:val="20"/>
          <w:szCs w:val="20"/>
          <w:color w:val="auto"/>
        </w:rPr>
      </w:pPr>
      <w:r>
        <w:rPr>
          <w:rFonts w:ascii="Calibri" w:cs="Calibri" w:eastAsia="Calibri" w:hAnsi="Calibri"/>
          <w:sz w:val="14"/>
          <w:szCs w:val="14"/>
          <w:u w:val="single" w:color="auto"/>
          <w:color w:val="auto"/>
        </w:rPr>
        <w:t>Documents Incorporated By Reference</w:t>
      </w:r>
    </w:p>
    <w:p>
      <w:pPr>
        <w:spacing w:after="0" w:line="108" w:lineRule="exact"/>
        <w:rPr>
          <w:sz w:val="24"/>
          <w:szCs w:val="24"/>
          <w:color w:val="auto"/>
        </w:rPr>
      </w:pPr>
    </w:p>
    <w:p>
      <w:pPr>
        <w:ind w:right="640"/>
        <w:spacing w:after="0" w:line="232" w:lineRule="auto"/>
        <w:rPr>
          <w:sz w:val="20"/>
          <w:szCs w:val="20"/>
          <w:color w:val="auto"/>
        </w:rPr>
      </w:pPr>
      <w:r>
        <w:rPr>
          <w:rFonts w:ascii="Calibri" w:cs="Calibri" w:eastAsia="Calibri" w:hAnsi="Calibri"/>
          <w:sz w:val="14"/>
          <w:szCs w:val="14"/>
          <w:color w:val="auto"/>
        </w:rPr>
        <w:t>Certain portons of the registrant’s defnitve proxy statement pursuant to Regulaton 14A of the Securites Exchange Act of 1934 for its 2024 annual meetng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579755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60325</wp:posOffset>
            </wp:positionV>
            <wp:extent cx="680593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5930" cy="2476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36195</wp:posOffset>
            </wp:positionV>
            <wp:extent cx="6805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340"/>
          </w:cols>
          <w:pgMar w:left="320" w:top="1199" w:right="239" w:bottom="1440" w:gutter="0" w:footer="0" w:header="0"/>
        </w:sectPr>
      </w:pPr>
    </w:p>
    <w:bookmarkStart w:id="1" w:name="page2"/>
    <w:bookmarkEnd w:id="1"/>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 w:type="dxa"/>
            <w:vAlign w:val="bottom"/>
          </w:tcPr>
          <w:p>
            <w:pPr>
              <w:spacing w:after="0"/>
              <w:rPr>
                <w:sz w:val="19"/>
                <w:szCs w:val="19"/>
                <w:color w:val="auto"/>
              </w:rPr>
            </w:pPr>
          </w:p>
        </w:tc>
        <w:tc>
          <w:tcPr>
            <w:tcW w:w="9580" w:type="dxa"/>
            <w:vAlign w:val="bottom"/>
            <w:shd w:val="clear" w:color="auto" w:fill="E6ECFF"/>
          </w:tcPr>
          <w:p>
            <w:pPr>
              <w:ind w:left="20"/>
              <w:spacing w:after="0"/>
              <w:rPr>
                <w:sz w:val="20"/>
                <w:szCs w:val="20"/>
                <w:color w:val="auto"/>
              </w:rPr>
            </w:pPr>
            <w:r>
              <w:rPr>
                <w:rFonts w:ascii="Calibri" w:cs="Calibri" w:eastAsia="Calibri" w:hAnsi="Calibri"/>
                <w:sz w:val="17"/>
                <w:szCs w:val="17"/>
                <w:color w:val="1C4787"/>
              </w:rPr>
              <w:t>PART I</w:t>
            </w:r>
          </w:p>
        </w:tc>
        <w:tc>
          <w:tcPr>
            <w:tcW w:w="1560" w:type="dxa"/>
            <w:vAlign w:val="bottom"/>
            <w:shd w:val="clear" w:color="auto" w:fill="E6ECFF"/>
          </w:tcPr>
          <w:p>
            <w:pPr>
              <w:jc w:val="right"/>
              <w:spacing w:after="0"/>
              <w:rPr>
                <w:sz w:val="20"/>
                <w:szCs w:val="20"/>
                <w:color w:val="auto"/>
              </w:rPr>
            </w:pPr>
            <w:r>
              <w:rPr>
                <w:rFonts w:ascii="Calibri" w:cs="Calibri" w:eastAsia="Calibri" w:hAnsi="Calibri"/>
                <w:sz w:val="17"/>
                <w:szCs w:val="17"/>
                <w:color w:val="1C4787"/>
              </w:rPr>
              <w:t>1</w:t>
            </w:r>
          </w:p>
        </w:tc>
        <w:tc>
          <w:tcPr>
            <w:tcW w:w="4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9580" w:type="dxa"/>
            <w:vAlign w:val="bottom"/>
          </w:tcPr>
          <w:p>
            <w:pPr>
              <w:ind w:left="320"/>
              <w:spacing w:after="0" w:line="205" w:lineRule="exact"/>
              <w:rPr>
                <w:sz w:val="20"/>
                <w:szCs w:val="20"/>
                <w:color w:val="auto"/>
              </w:rPr>
            </w:pPr>
            <w:r>
              <w:rPr>
                <w:rFonts w:ascii="Calibri" w:cs="Calibri" w:eastAsia="Calibri" w:hAnsi="Calibri"/>
                <w:sz w:val="17"/>
                <w:szCs w:val="17"/>
                <w:color w:val="1C4787"/>
              </w:rPr>
              <w:t>Item 1. Business</w:t>
            </w: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1C4787"/>
              </w:rPr>
              <w:t>1</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580" w:type="dxa"/>
            <w:vAlign w:val="bottom"/>
            <w:shd w:val="clear" w:color="auto" w:fill="E6ECFF"/>
          </w:tcPr>
          <w:p>
            <w:pPr>
              <w:ind w:left="320"/>
              <w:spacing w:after="0"/>
              <w:rPr>
                <w:sz w:val="20"/>
                <w:szCs w:val="20"/>
                <w:color w:val="auto"/>
              </w:rPr>
            </w:pPr>
            <w:r>
              <w:rPr>
                <w:rFonts w:ascii="Calibri" w:cs="Calibri" w:eastAsia="Calibri" w:hAnsi="Calibri"/>
                <w:sz w:val="17"/>
                <w:szCs w:val="17"/>
                <w:color w:val="1C4787"/>
              </w:rPr>
              <w:t>Item 1A. Risk Factors</w:t>
            </w:r>
          </w:p>
        </w:tc>
        <w:tc>
          <w:tcPr>
            <w:tcW w:w="1560" w:type="dxa"/>
            <w:vAlign w:val="bottom"/>
            <w:shd w:val="clear" w:color="auto" w:fill="E6ECFF"/>
          </w:tcPr>
          <w:p>
            <w:pPr>
              <w:jc w:val="right"/>
              <w:spacing w:after="0"/>
              <w:rPr>
                <w:sz w:val="20"/>
                <w:szCs w:val="20"/>
                <w:color w:val="auto"/>
              </w:rPr>
            </w:pPr>
            <w:r>
              <w:rPr>
                <w:rFonts w:ascii="Calibri" w:cs="Calibri" w:eastAsia="Calibri" w:hAnsi="Calibri"/>
                <w:sz w:val="17"/>
                <w:szCs w:val="17"/>
                <w:color w:val="1C4787"/>
              </w:rPr>
              <w:t>7</w:t>
            </w:r>
          </w:p>
        </w:tc>
        <w:tc>
          <w:tcPr>
            <w:tcW w:w="4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9580" w:type="dxa"/>
            <w:vAlign w:val="bottom"/>
          </w:tcPr>
          <w:p>
            <w:pPr>
              <w:ind w:left="320"/>
              <w:spacing w:after="0" w:line="205" w:lineRule="exact"/>
              <w:rPr>
                <w:sz w:val="20"/>
                <w:szCs w:val="20"/>
                <w:color w:val="auto"/>
              </w:rPr>
            </w:pPr>
            <w:r>
              <w:rPr>
                <w:rFonts w:ascii="Calibri" w:cs="Calibri" w:eastAsia="Calibri" w:hAnsi="Calibri"/>
                <w:sz w:val="17"/>
                <w:szCs w:val="17"/>
                <w:color w:val="1C4787"/>
              </w:rPr>
              <w:t>Item 1B. Unresolved Staf Comments</w:t>
            </w: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1C4787"/>
              </w:rPr>
              <w:t>36</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580" w:type="dxa"/>
            <w:vAlign w:val="bottom"/>
            <w:shd w:val="clear" w:color="auto" w:fill="E6ECFF"/>
          </w:tcPr>
          <w:p>
            <w:pPr>
              <w:ind w:left="320"/>
              <w:spacing w:after="0"/>
              <w:rPr>
                <w:sz w:val="20"/>
                <w:szCs w:val="20"/>
                <w:color w:val="auto"/>
              </w:rPr>
            </w:pPr>
            <w:r>
              <w:rPr>
                <w:rFonts w:ascii="Calibri" w:cs="Calibri" w:eastAsia="Calibri" w:hAnsi="Calibri"/>
                <w:sz w:val="17"/>
                <w:szCs w:val="17"/>
                <w:color w:val="1C4787"/>
              </w:rPr>
              <w:t>Item 1C. Cybersecurity</w:t>
            </w:r>
          </w:p>
        </w:tc>
        <w:tc>
          <w:tcPr>
            <w:tcW w:w="1560" w:type="dxa"/>
            <w:vAlign w:val="bottom"/>
            <w:shd w:val="clear" w:color="auto" w:fill="E6ECFF"/>
          </w:tcPr>
          <w:p>
            <w:pPr>
              <w:jc w:val="right"/>
              <w:spacing w:after="0"/>
              <w:rPr>
                <w:sz w:val="20"/>
                <w:szCs w:val="20"/>
                <w:color w:val="auto"/>
              </w:rPr>
            </w:pPr>
            <w:r>
              <w:rPr>
                <w:rFonts w:ascii="Calibri" w:cs="Calibri" w:eastAsia="Calibri" w:hAnsi="Calibri"/>
                <w:sz w:val="17"/>
                <w:szCs w:val="17"/>
                <w:color w:val="1C4787"/>
              </w:rPr>
              <w:t>37</w:t>
            </w:r>
          </w:p>
        </w:tc>
        <w:tc>
          <w:tcPr>
            <w:tcW w:w="4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9580" w:type="dxa"/>
            <w:vAlign w:val="bottom"/>
          </w:tcPr>
          <w:p>
            <w:pPr>
              <w:ind w:left="320"/>
              <w:spacing w:after="0" w:line="205" w:lineRule="exact"/>
              <w:rPr>
                <w:sz w:val="20"/>
                <w:szCs w:val="20"/>
                <w:color w:val="auto"/>
              </w:rPr>
            </w:pPr>
            <w:r>
              <w:rPr>
                <w:rFonts w:ascii="Calibri" w:cs="Calibri" w:eastAsia="Calibri" w:hAnsi="Calibri"/>
                <w:sz w:val="17"/>
                <w:szCs w:val="17"/>
                <w:color w:val="1C4787"/>
              </w:rPr>
              <w:t>Item 2. Propertes</w:t>
            </w: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1C4787"/>
              </w:rPr>
              <w:t>39</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580" w:type="dxa"/>
            <w:vAlign w:val="bottom"/>
            <w:shd w:val="clear" w:color="auto" w:fill="E6ECFF"/>
          </w:tcPr>
          <w:p>
            <w:pPr>
              <w:ind w:left="320"/>
              <w:spacing w:after="0"/>
              <w:rPr>
                <w:sz w:val="20"/>
                <w:szCs w:val="20"/>
                <w:color w:val="auto"/>
              </w:rPr>
            </w:pPr>
            <w:r>
              <w:rPr>
                <w:rFonts w:ascii="Calibri" w:cs="Calibri" w:eastAsia="Calibri" w:hAnsi="Calibri"/>
                <w:sz w:val="17"/>
                <w:szCs w:val="17"/>
                <w:color w:val="1C4787"/>
              </w:rPr>
              <w:t>Item 3. Legal Proceedings</w:t>
            </w:r>
          </w:p>
        </w:tc>
        <w:tc>
          <w:tcPr>
            <w:tcW w:w="1560" w:type="dxa"/>
            <w:vAlign w:val="bottom"/>
            <w:shd w:val="clear" w:color="auto" w:fill="E6ECFF"/>
          </w:tcPr>
          <w:p>
            <w:pPr>
              <w:jc w:val="right"/>
              <w:spacing w:after="0"/>
              <w:rPr>
                <w:sz w:val="20"/>
                <w:szCs w:val="20"/>
                <w:color w:val="auto"/>
              </w:rPr>
            </w:pPr>
            <w:r>
              <w:rPr>
                <w:rFonts w:ascii="Calibri" w:cs="Calibri" w:eastAsia="Calibri" w:hAnsi="Calibri"/>
                <w:sz w:val="17"/>
                <w:szCs w:val="17"/>
                <w:color w:val="1C4787"/>
              </w:rPr>
              <w:t>39</w:t>
            </w:r>
          </w:p>
        </w:tc>
        <w:tc>
          <w:tcPr>
            <w:tcW w:w="4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9580" w:type="dxa"/>
            <w:vAlign w:val="bottom"/>
          </w:tcPr>
          <w:p>
            <w:pPr>
              <w:ind w:left="320"/>
              <w:spacing w:after="0" w:line="205" w:lineRule="exact"/>
              <w:rPr>
                <w:sz w:val="20"/>
                <w:szCs w:val="20"/>
                <w:color w:val="auto"/>
              </w:rPr>
            </w:pPr>
            <w:r>
              <w:rPr>
                <w:rFonts w:ascii="Calibri" w:cs="Calibri" w:eastAsia="Calibri" w:hAnsi="Calibri"/>
                <w:sz w:val="17"/>
                <w:szCs w:val="17"/>
                <w:color w:val="1C4787"/>
              </w:rPr>
              <w:t>Item 4. Mine Safety Disclosures</w:t>
            </w: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1C4787"/>
              </w:rPr>
              <w:t>39</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580" w:type="dxa"/>
            <w:vAlign w:val="bottom"/>
            <w:shd w:val="clear" w:color="auto" w:fill="E6ECFF"/>
          </w:tcPr>
          <w:p>
            <w:pPr>
              <w:ind w:left="20"/>
              <w:spacing w:after="0"/>
              <w:rPr>
                <w:sz w:val="20"/>
                <w:szCs w:val="20"/>
                <w:color w:val="auto"/>
              </w:rPr>
            </w:pPr>
            <w:r>
              <w:rPr>
                <w:rFonts w:ascii="Calibri" w:cs="Calibri" w:eastAsia="Calibri" w:hAnsi="Calibri"/>
                <w:sz w:val="17"/>
                <w:szCs w:val="17"/>
                <w:color w:val="1C4787"/>
              </w:rPr>
              <w:t>PART II</w:t>
            </w:r>
          </w:p>
        </w:tc>
        <w:tc>
          <w:tcPr>
            <w:tcW w:w="1560" w:type="dxa"/>
            <w:vAlign w:val="bottom"/>
            <w:shd w:val="clear" w:color="auto" w:fill="E6ECFF"/>
          </w:tcPr>
          <w:p>
            <w:pPr>
              <w:jc w:val="right"/>
              <w:spacing w:after="0"/>
              <w:rPr>
                <w:sz w:val="20"/>
                <w:szCs w:val="20"/>
                <w:color w:val="auto"/>
              </w:rPr>
            </w:pPr>
            <w:r>
              <w:rPr>
                <w:rFonts w:ascii="Calibri" w:cs="Calibri" w:eastAsia="Calibri" w:hAnsi="Calibri"/>
                <w:sz w:val="17"/>
                <w:szCs w:val="17"/>
                <w:color w:val="1C4787"/>
              </w:rPr>
              <w:t>40</w:t>
            </w:r>
          </w:p>
        </w:tc>
        <w:tc>
          <w:tcPr>
            <w:tcW w:w="4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9580" w:type="dxa"/>
            <w:vAlign w:val="bottom"/>
          </w:tcPr>
          <w:p>
            <w:pPr>
              <w:ind w:left="320"/>
              <w:spacing w:after="0" w:line="205" w:lineRule="exact"/>
              <w:rPr>
                <w:sz w:val="20"/>
                <w:szCs w:val="20"/>
                <w:color w:val="auto"/>
              </w:rPr>
            </w:pPr>
            <w:r>
              <w:rPr>
                <w:rFonts w:ascii="Calibri" w:cs="Calibri" w:eastAsia="Calibri" w:hAnsi="Calibri"/>
                <w:sz w:val="17"/>
                <w:szCs w:val="17"/>
                <w:color w:val="1C4787"/>
              </w:rPr>
              <w:t>Item 5. Market for Registrant’s Common Equity, Related Stockholder Maters and Issuer Purchases of Equity Securites</w:t>
            </w: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1C4787"/>
              </w:rPr>
              <w:t>40</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580" w:type="dxa"/>
            <w:vAlign w:val="bottom"/>
            <w:shd w:val="clear" w:color="auto" w:fill="E6ECFF"/>
          </w:tcPr>
          <w:p>
            <w:pPr>
              <w:ind w:left="320"/>
              <w:spacing w:after="0"/>
              <w:rPr>
                <w:sz w:val="20"/>
                <w:szCs w:val="20"/>
                <w:color w:val="auto"/>
              </w:rPr>
            </w:pPr>
            <w:r>
              <w:rPr>
                <w:rFonts w:ascii="Calibri" w:cs="Calibri" w:eastAsia="Calibri" w:hAnsi="Calibri"/>
                <w:sz w:val="17"/>
                <w:szCs w:val="17"/>
                <w:color w:val="1C4787"/>
              </w:rPr>
              <w:t>Item 6. [Reserved]</w:t>
            </w:r>
          </w:p>
        </w:tc>
        <w:tc>
          <w:tcPr>
            <w:tcW w:w="1560" w:type="dxa"/>
            <w:vAlign w:val="bottom"/>
            <w:shd w:val="clear" w:color="auto" w:fill="E6ECFF"/>
          </w:tcPr>
          <w:p>
            <w:pPr>
              <w:jc w:val="right"/>
              <w:spacing w:after="0"/>
              <w:rPr>
                <w:sz w:val="20"/>
                <w:szCs w:val="20"/>
                <w:color w:val="auto"/>
              </w:rPr>
            </w:pPr>
            <w:r>
              <w:rPr>
                <w:rFonts w:ascii="Calibri" w:cs="Calibri" w:eastAsia="Calibri" w:hAnsi="Calibri"/>
                <w:sz w:val="17"/>
                <w:szCs w:val="17"/>
                <w:color w:val="1C4787"/>
              </w:rPr>
              <w:t>43</w:t>
            </w:r>
          </w:p>
        </w:tc>
        <w:tc>
          <w:tcPr>
            <w:tcW w:w="4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9580" w:type="dxa"/>
            <w:vAlign w:val="bottom"/>
          </w:tcPr>
          <w:p>
            <w:pPr>
              <w:ind w:left="320"/>
              <w:spacing w:after="0" w:line="205" w:lineRule="exact"/>
              <w:rPr>
                <w:sz w:val="20"/>
                <w:szCs w:val="20"/>
                <w:color w:val="auto"/>
              </w:rPr>
            </w:pPr>
            <w:r>
              <w:rPr>
                <w:rFonts w:ascii="Calibri" w:cs="Calibri" w:eastAsia="Calibri" w:hAnsi="Calibri"/>
                <w:sz w:val="17"/>
                <w:szCs w:val="17"/>
                <w:color w:val="1C4787"/>
              </w:rPr>
              <w:t>Item 7. Management’s Discussion and Analysis of Financial Conditon and Results of Operatons</w:t>
            </w: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1C4787"/>
              </w:rPr>
              <w:t>44</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580" w:type="dxa"/>
            <w:vAlign w:val="bottom"/>
            <w:shd w:val="clear" w:color="auto" w:fill="E6ECFF"/>
          </w:tcPr>
          <w:p>
            <w:pPr>
              <w:ind w:left="320"/>
              <w:spacing w:after="0"/>
              <w:rPr>
                <w:sz w:val="20"/>
                <w:szCs w:val="20"/>
                <w:color w:val="auto"/>
              </w:rPr>
            </w:pPr>
            <w:r>
              <w:rPr>
                <w:rFonts w:ascii="Calibri" w:cs="Calibri" w:eastAsia="Calibri" w:hAnsi="Calibri"/>
                <w:sz w:val="17"/>
                <w:szCs w:val="17"/>
                <w:color w:val="1C4787"/>
              </w:rPr>
              <w:t>Item 7A. Quanttatve and Qualitatve Disclosures About Market Risk</w:t>
            </w:r>
          </w:p>
        </w:tc>
        <w:tc>
          <w:tcPr>
            <w:tcW w:w="1560" w:type="dxa"/>
            <w:vAlign w:val="bottom"/>
            <w:shd w:val="clear" w:color="auto" w:fill="E6ECFF"/>
          </w:tcPr>
          <w:p>
            <w:pPr>
              <w:jc w:val="right"/>
              <w:spacing w:after="0"/>
              <w:rPr>
                <w:sz w:val="20"/>
                <w:szCs w:val="20"/>
                <w:color w:val="auto"/>
              </w:rPr>
            </w:pPr>
            <w:r>
              <w:rPr>
                <w:rFonts w:ascii="Calibri" w:cs="Calibri" w:eastAsia="Calibri" w:hAnsi="Calibri"/>
                <w:sz w:val="17"/>
                <w:szCs w:val="17"/>
                <w:color w:val="1C4787"/>
              </w:rPr>
              <w:t>69</w:t>
            </w:r>
          </w:p>
        </w:tc>
        <w:tc>
          <w:tcPr>
            <w:tcW w:w="4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9580" w:type="dxa"/>
            <w:vAlign w:val="bottom"/>
          </w:tcPr>
          <w:p>
            <w:pPr>
              <w:ind w:left="320"/>
              <w:spacing w:after="0" w:line="205" w:lineRule="exact"/>
              <w:rPr>
                <w:sz w:val="20"/>
                <w:szCs w:val="20"/>
                <w:color w:val="auto"/>
              </w:rPr>
            </w:pPr>
            <w:r>
              <w:rPr>
                <w:rFonts w:ascii="Calibri" w:cs="Calibri" w:eastAsia="Calibri" w:hAnsi="Calibri"/>
                <w:sz w:val="17"/>
                <w:szCs w:val="17"/>
                <w:color w:val="1C4787"/>
              </w:rPr>
              <w:t>Item 8. Financial Statements and Supplementary Data</w:t>
            </w: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1C4787"/>
              </w:rPr>
              <w:t>73</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580" w:type="dxa"/>
            <w:vAlign w:val="bottom"/>
            <w:shd w:val="clear" w:color="auto" w:fill="E6ECFF"/>
          </w:tcPr>
          <w:p>
            <w:pPr>
              <w:ind w:left="320"/>
              <w:spacing w:after="0"/>
              <w:rPr>
                <w:sz w:val="20"/>
                <w:szCs w:val="20"/>
                <w:color w:val="auto"/>
              </w:rPr>
            </w:pPr>
            <w:r>
              <w:rPr>
                <w:rFonts w:ascii="Calibri" w:cs="Calibri" w:eastAsia="Calibri" w:hAnsi="Calibri"/>
                <w:sz w:val="17"/>
                <w:szCs w:val="17"/>
                <w:color w:val="1C4787"/>
              </w:rPr>
              <w:t>Item 9. Changes in and Disagreements with Accountants on Accountng and Financial Disclosure</w:t>
            </w:r>
          </w:p>
        </w:tc>
        <w:tc>
          <w:tcPr>
            <w:tcW w:w="1560" w:type="dxa"/>
            <w:vAlign w:val="bottom"/>
            <w:shd w:val="clear" w:color="auto" w:fill="E6ECFF"/>
          </w:tcPr>
          <w:p>
            <w:pPr>
              <w:jc w:val="right"/>
              <w:spacing w:after="0"/>
              <w:rPr>
                <w:sz w:val="20"/>
                <w:szCs w:val="20"/>
                <w:color w:val="auto"/>
              </w:rPr>
            </w:pPr>
            <w:r>
              <w:rPr>
                <w:rFonts w:ascii="Calibri" w:cs="Calibri" w:eastAsia="Calibri" w:hAnsi="Calibri"/>
                <w:sz w:val="17"/>
                <w:szCs w:val="17"/>
                <w:color w:val="1C4787"/>
              </w:rPr>
              <w:t>110</w:t>
            </w:r>
          </w:p>
        </w:tc>
        <w:tc>
          <w:tcPr>
            <w:tcW w:w="4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9580" w:type="dxa"/>
            <w:vAlign w:val="bottom"/>
          </w:tcPr>
          <w:p>
            <w:pPr>
              <w:ind w:left="320"/>
              <w:spacing w:after="0" w:line="205" w:lineRule="exact"/>
              <w:rPr>
                <w:sz w:val="20"/>
                <w:szCs w:val="20"/>
                <w:color w:val="auto"/>
              </w:rPr>
            </w:pPr>
            <w:r>
              <w:rPr>
                <w:rFonts w:ascii="Calibri" w:cs="Calibri" w:eastAsia="Calibri" w:hAnsi="Calibri"/>
                <w:sz w:val="17"/>
                <w:szCs w:val="17"/>
                <w:color w:val="1C4787"/>
              </w:rPr>
              <w:t>Item 9A. Controls and Procedures</w:t>
            </w: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1C4787"/>
              </w:rPr>
              <w:t>110</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580" w:type="dxa"/>
            <w:vAlign w:val="bottom"/>
            <w:shd w:val="clear" w:color="auto" w:fill="E6ECFF"/>
          </w:tcPr>
          <w:p>
            <w:pPr>
              <w:ind w:left="320"/>
              <w:spacing w:after="0"/>
              <w:rPr>
                <w:sz w:val="20"/>
                <w:szCs w:val="20"/>
                <w:color w:val="auto"/>
              </w:rPr>
            </w:pPr>
            <w:r>
              <w:rPr>
                <w:rFonts w:ascii="Calibri" w:cs="Calibri" w:eastAsia="Calibri" w:hAnsi="Calibri"/>
                <w:sz w:val="17"/>
                <w:szCs w:val="17"/>
                <w:color w:val="1C4787"/>
              </w:rPr>
              <w:t>Item 9B. Other Informaton</w:t>
            </w:r>
          </w:p>
        </w:tc>
        <w:tc>
          <w:tcPr>
            <w:tcW w:w="1560" w:type="dxa"/>
            <w:vAlign w:val="bottom"/>
            <w:shd w:val="clear" w:color="auto" w:fill="E6ECFF"/>
          </w:tcPr>
          <w:p>
            <w:pPr>
              <w:jc w:val="right"/>
              <w:spacing w:after="0"/>
              <w:rPr>
                <w:sz w:val="20"/>
                <w:szCs w:val="20"/>
                <w:color w:val="auto"/>
              </w:rPr>
            </w:pPr>
            <w:r>
              <w:rPr>
                <w:rFonts w:ascii="Calibri" w:cs="Calibri" w:eastAsia="Calibri" w:hAnsi="Calibri"/>
                <w:sz w:val="17"/>
                <w:szCs w:val="17"/>
                <w:color w:val="1C4787"/>
              </w:rPr>
              <w:t>113</w:t>
            </w:r>
          </w:p>
        </w:tc>
        <w:tc>
          <w:tcPr>
            <w:tcW w:w="4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9580" w:type="dxa"/>
            <w:vAlign w:val="bottom"/>
          </w:tcPr>
          <w:p>
            <w:pPr>
              <w:ind w:left="320"/>
              <w:spacing w:after="0" w:line="205" w:lineRule="exact"/>
              <w:rPr>
                <w:sz w:val="20"/>
                <w:szCs w:val="20"/>
                <w:color w:val="auto"/>
              </w:rPr>
            </w:pPr>
            <w:r>
              <w:rPr>
                <w:rFonts w:ascii="Calibri" w:cs="Calibri" w:eastAsia="Calibri" w:hAnsi="Calibri"/>
                <w:sz w:val="17"/>
                <w:szCs w:val="17"/>
                <w:color w:val="1C4787"/>
              </w:rPr>
              <w:t>Item 9C. Disclosure Regarding Foreign Jurisdictons that Prevent Inspectons</w:t>
            </w: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1C4787"/>
              </w:rPr>
              <w:t>115</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580" w:type="dxa"/>
            <w:vAlign w:val="bottom"/>
            <w:shd w:val="clear" w:color="auto" w:fill="E6ECFF"/>
          </w:tcPr>
          <w:p>
            <w:pPr>
              <w:ind w:left="20"/>
              <w:spacing w:after="0"/>
              <w:rPr>
                <w:sz w:val="20"/>
                <w:szCs w:val="20"/>
                <w:color w:val="auto"/>
              </w:rPr>
            </w:pPr>
            <w:r>
              <w:rPr>
                <w:rFonts w:ascii="Calibri" w:cs="Calibri" w:eastAsia="Calibri" w:hAnsi="Calibri"/>
                <w:sz w:val="17"/>
                <w:szCs w:val="17"/>
                <w:color w:val="1C4787"/>
              </w:rPr>
              <w:t>Part III</w:t>
            </w:r>
          </w:p>
        </w:tc>
        <w:tc>
          <w:tcPr>
            <w:tcW w:w="1560" w:type="dxa"/>
            <w:vAlign w:val="bottom"/>
            <w:shd w:val="clear" w:color="auto" w:fill="E6ECFF"/>
          </w:tcPr>
          <w:p>
            <w:pPr>
              <w:jc w:val="right"/>
              <w:spacing w:after="0"/>
              <w:rPr>
                <w:sz w:val="20"/>
                <w:szCs w:val="20"/>
                <w:color w:val="auto"/>
              </w:rPr>
            </w:pPr>
            <w:r>
              <w:rPr>
                <w:rFonts w:ascii="Calibri" w:cs="Calibri" w:eastAsia="Calibri" w:hAnsi="Calibri"/>
                <w:sz w:val="17"/>
                <w:szCs w:val="17"/>
                <w:color w:val="1C4787"/>
              </w:rPr>
              <w:t>116</w:t>
            </w:r>
          </w:p>
        </w:tc>
        <w:tc>
          <w:tcPr>
            <w:tcW w:w="4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9580" w:type="dxa"/>
            <w:vAlign w:val="bottom"/>
          </w:tcPr>
          <w:p>
            <w:pPr>
              <w:ind w:left="320"/>
              <w:spacing w:after="0" w:line="205" w:lineRule="exact"/>
              <w:rPr>
                <w:sz w:val="20"/>
                <w:szCs w:val="20"/>
                <w:color w:val="auto"/>
              </w:rPr>
            </w:pPr>
            <w:r>
              <w:rPr>
                <w:rFonts w:ascii="Calibri" w:cs="Calibri" w:eastAsia="Calibri" w:hAnsi="Calibri"/>
                <w:sz w:val="17"/>
                <w:szCs w:val="17"/>
                <w:color w:val="1C4787"/>
              </w:rPr>
              <w:t>Item 10. Directors, Executve Ofcers and Corporate Governance</w:t>
            </w: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1C4787"/>
              </w:rPr>
              <w:t>116</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580" w:type="dxa"/>
            <w:vAlign w:val="bottom"/>
            <w:shd w:val="clear" w:color="auto" w:fill="E6ECFF"/>
          </w:tcPr>
          <w:p>
            <w:pPr>
              <w:ind w:left="320"/>
              <w:spacing w:after="0"/>
              <w:rPr>
                <w:sz w:val="20"/>
                <w:szCs w:val="20"/>
                <w:color w:val="auto"/>
              </w:rPr>
            </w:pPr>
            <w:r>
              <w:rPr>
                <w:rFonts w:ascii="Calibri" w:cs="Calibri" w:eastAsia="Calibri" w:hAnsi="Calibri"/>
                <w:sz w:val="17"/>
                <w:szCs w:val="17"/>
                <w:color w:val="1C4787"/>
              </w:rPr>
              <w:t>Item 11. Executve Compensaton</w:t>
            </w:r>
          </w:p>
        </w:tc>
        <w:tc>
          <w:tcPr>
            <w:tcW w:w="1560" w:type="dxa"/>
            <w:vAlign w:val="bottom"/>
            <w:shd w:val="clear" w:color="auto" w:fill="E6ECFF"/>
          </w:tcPr>
          <w:p>
            <w:pPr>
              <w:jc w:val="right"/>
              <w:spacing w:after="0"/>
              <w:rPr>
                <w:sz w:val="20"/>
                <w:szCs w:val="20"/>
                <w:color w:val="auto"/>
              </w:rPr>
            </w:pPr>
            <w:r>
              <w:rPr>
                <w:rFonts w:ascii="Calibri" w:cs="Calibri" w:eastAsia="Calibri" w:hAnsi="Calibri"/>
                <w:sz w:val="17"/>
                <w:szCs w:val="17"/>
                <w:color w:val="1C4787"/>
              </w:rPr>
              <w:t>116</w:t>
            </w:r>
          </w:p>
        </w:tc>
        <w:tc>
          <w:tcPr>
            <w:tcW w:w="4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9580" w:type="dxa"/>
            <w:vAlign w:val="bottom"/>
          </w:tcPr>
          <w:p>
            <w:pPr>
              <w:ind w:left="320"/>
              <w:spacing w:after="0" w:line="205" w:lineRule="exact"/>
              <w:rPr>
                <w:sz w:val="20"/>
                <w:szCs w:val="20"/>
                <w:color w:val="auto"/>
              </w:rPr>
            </w:pPr>
            <w:r>
              <w:rPr>
                <w:rFonts w:ascii="Calibri" w:cs="Calibri" w:eastAsia="Calibri" w:hAnsi="Calibri"/>
                <w:sz w:val="17"/>
                <w:szCs w:val="17"/>
                <w:color w:val="1C4787"/>
              </w:rPr>
              <w:t>Item 12. Security Ownership of Certain Benefcial Owners and Management and Related Stockholder Maters</w:t>
            </w: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1C4787"/>
              </w:rPr>
              <w:t>116</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580" w:type="dxa"/>
            <w:vAlign w:val="bottom"/>
            <w:shd w:val="clear" w:color="auto" w:fill="E6ECFF"/>
          </w:tcPr>
          <w:p>
            <w:pPr>
              <w:ind w:left="320"/>
              <w:spacing w:after="0"/>
              <w:rPr>
                <w:sz w:val="20"/>
                <w:szCs w:val="20"/>
                <w:color w:val="auto"/>
              </w:rPr>
            </w:pPr>
            <w:r>
              <w:rPr>
                <w:rFonts w:ascii="Calibri" w:cs="Calibri" w:eastAsia="Calibri" w:hAnsi="Calibri"/>
                <w:sz w:val="17"/>
                <w:szCs w:val="17"/>
                <w:color w:val="1C4787"/>
              </w:rPr>
              <w:t>Item 13. Certain Relatonships and Related Transactons, and Director Independence</w:t>
            </w:r>
          </w:p>
        </w:tc>
        <w:tc>
          <w:tcPr>
            <w:tcW w:w="1560" w:type="dxa"/>
            <w:vAlign w:val="bottom"/>
            <w:shd w:val="clear" w:color="auto" w:fill="E6ECFF"/>
          </w:tcPr>
          <w:p>
            <w:pPr>
              <w:jc w:val="right"/>
              <w:spacing w:after="0"/>
              <w:rPr>
                <w:sz w:val="20"/>
                <w:szCs w:val="20"/>
                <w:color w:val="auto"/>
              </w:rPr>
            </w:pPr>
            <w:r>
              <w:rPr>
                <w:rFonts w:ascii="Calibri" w:cs="Calibri" w:eastAsia="Calibri" w:hAnsi="Calibri"/>
                <w:sz w:val="17"/>
                <w:szCs w:val="17"/>
                <w:color w:val="1C4787"/>
              </w:rPr>
              <w:t>116</w:t>
            </w:r>
          </w:p>
        </w:tc>
        <w:tc>
          <w:tcPr>
            <w:tcW w:w="4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9580" w:type="dxa"/>
            <w:vAlign w:val="bottom"/>
          </w:tcPr>
          <w:p>
            <w:pPr>
              <w:ind w:left="320"/>
              <w:spacing w:after="0" w:line="205" w:lineRule="exact"/>
              <w:rPr>
                <w:sz w:val="20"/>
                <w:szCs w:val="20"/>
                <w:color w:val="auto"/>
              </w:rPr>
            </w:pPr>
            <w:r>
              <w:rPr>
                <w:rFonts w:ascii="Calibri" w:cs="Calibri" w:eastAsia="Calibri" w:hAnsi="Calibri"/>
                <w:sz w:val="17"/>
                <w:szCs w:val="17"/>
                <w:color w:val="1C4787"/>
              </w:rPr>
              <w:t>Item 14. Principal Accountng Fees and Services</w:t>
            </w: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1C4787"/>
              </w:rPr>
              <w:t>116</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580" w:type="dxa"/>
            <w:vAlign w:val="bottom"/>
            <w:shd w:val="clear" w:color="auto" w:fill="E6ECFF"/>
          </w:tcPr>
          <w:p>
            <w:pPr>
              <w:ind w:left="140"/>
              <w:spacing w:after="0"/>
              <w:rPr>
                <w:sz w:val="20"/>
                <w:szCs w:val="20"/>
                <w:color w:val="auto"/>
              </w:rPr>
            </w:pPr>
            <w:r>
              <w:rPr>
                <w:rFonts w:ascii="Calibri" w:cs="Calibri" w:eastAsia="Calibri" w:hAnsi="Calibri"/>
                <w:sz w:val="17"/>
                <w:szCs w:val="17"/>
                <w:color w:val="1C4787"/>
              </w:rPr>
              <w:t>Glossary of Terms</w:t>
            </w:r>
          </w:p>
        </w:tc>
        <w:tc>
          <w:tcPr>
            <w:tcW w:w="1560" w:type="dxa"/>
            <w:vAlign w:val="bottom"/>
            <w:shd w:val="clear" w:color="auto" w:fill="E6ECFF"/>
          </w:tcPr>
          <w:p>
            <w:pPr>
              <w:jc w:val="right"/>
              <w:spacing w:after="0"/>
              <w:rPr>
                <w:sz w:val="20"/>
                <w:szCs w:val="20"/>
                <w:color w:val="auto"/>
              </w:rPr>
            </w:pPr>
            <w:r>
              <w:rPr>
                <w:rFonts w:ascii="Calibri" w:cs="Calibri" w:eastAsia="Calibri" w:hAnsi="Calibri"/>
                <w:sz w:val="17"/>
                <w:szCs w:val="17"/>
                <w:color w:val="1C4787"/>
              </w:rPr>
              <w:t>117</w:t>
            </w:r>
          </w:p>
        </w:tc>
        <w:tc>
          <w:tcPr>
            <w:tcW w:w="4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9580" w:type="dxa"/>
            <w:vAlign w:val="bottom"/>
          </w:tcPr>
          <w:p>
            <w:pPr>
              <w:ind w:left="20"/>
              <w:spacing w:after="0" w:line="205" w:lineRule="exact"/>
              <w:rPr>
                <w:sz w:val="20"/>
                <w:szCs w:val="20"/>
                <w:color w:val="auto"/>
              </w:rPr>
            </w:pPr>
            <w:r>
              <w:rPr>
                <w:rFonts w:ascii="Calibri" w:cs="Calibri" w:eastAsia="Calibri" w:hAnsi="Calibri"/>
                <w:sz w:val="17"/>
                <w:szCs w:val="17"/>
                <w:color w:val="1C4787"/>
              </w:rPr>
              <w:t>Part IV</w:t>
            </w: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1C4787"/>
              </w:rPr>
              <w:t>120</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580" w:type="dxa"/>
            <w:vAlign w:val="bottom"/>
            <w:shd w:val="clear" w:color="auto" w:fill="E6ECFF"/>
          </w:tcPr>
          <w:p>
            <w:pPr>
              <w:ind w:left="320"/>
              <w:spacing w:after="0"/>
              <w:rPr>
                <w:sz w:val="20"/>
                <w:szCs w:val="20"/>
                <w:color w:val="auto"/>
              </w:rPr>
            </w:pPr>
            <w:r>
              <w:rPr>
                <w:rFonts w:ascii="Calibri" w:cs="Calibri" w:eastAsia="Calibri" w:hAnsi="Calibri"/>
                <w:sz w:val="17"/>
                <w:szCs w:val="17"/>
                <w:color w:val="1C4787"/>
              </w:rPr>
              <w:t>Item 15. Exhibits and Financial Statement Schedules</w:t>
            </w:r>
          </w:p>
        </w:tc>
        <w:tc>
          <w:tcPr>
            <w:tcW w:w="1560" w:type="dxa"/>
            <w:vAlign w:val="bottom"/>
            <w:shd w:val="clear" w:color="auto" w:fill="E6ECFF"/>
          </w:tcPr>
          <w:p>
            <w:pPr>
              <w:jc w:val="right"/>
              <w:spacing w:after="0"/>
              <w:rPr>
                <w:sz w:val="20"/>
                <w:szCs w:val="20"/>
                <w:color w:val="auto"/>
              </w:rPr>
            </w:pPr>
            <w:r>
              <w:rPr>
                <w:rFonts w:ascii="Calibri" w:cs="Calibri" w:eastAsia="Calibri" w:hAnsi="Calibri"/>
                <w:sz w:val="17"/>
                <w:szCs w:val="17"/>
                <w:color w:val="1C4787"/>
              </w:rPr>
              <w:t>120</w:t>
            </w:r>
          </w:p>
        </w:tc>
        <w:tc>
          <w:tcPr>
            <w:tcW w:w="40" w:type="dxa"/>
            <w:vAlign w:val="bottom"/>
          </w:tcPr>
          <w:p>
            <w:pPr>
              <w:spacing w:after="0"/>
              <w:rPr>
                <w:sz w:val="19"/>
                <w:szCs w:val="19"/>
                <w:color w:val="auto"/>
              </w:rPr>
            </w:pPr>
          </w:p>
        </w:tc>
      </w:tr>
      <w:tr>
        <w:trPr>
          <w:trHeight w:val="205"/>
        </w:trPr>
        <w:tc>
          <w:tcPr>
            <w:tcW w:w="60" w:type="dxa"/>
            <w:vAlign w:val="bottom"/>
          </w:tcPr>
          <w:p>
            <w:pPr>
              <w:spacing w:after="0"/>
              <w:rPr>
                <w:sz w:val="17"/>
                <w:szCs w:val="17"/>
                <w:color w:val="auto"/>
              </w:rPr>
            </w:pPr>
          </w:p>
        </w:tc>
        <w:tc>
          <w:tcPr>
            <w:tcW w:w="9580" w:type="dxa"/>
            <w:vAlign w:val="bottom"/>
          </w:tcPr>
          <w:p>
            <w:pPr>
              <w:ind w:left="320"/>
              <w:spacing w:after="0" w:line="205" w:lineRule="exact"/>
              <w:rPr>
                <w:sz w:val="20"/>
                <w:szCs w:val="20"/>
                <w:color w:val="auto"/>
              </w:rPr>
            </w:pPr>
            <w:r>
              <w:rPr>
                <w:rFonts w:ascii="Calibri" w:cs="Calibri" w:eastAsia="Calibri" w:hAnsi="Calibri"/>
                <w:sz w:val="17"/>
                <w:szCs w:val="17"/>
                <w:color w:val="1C4787"/>
              </w:rPr>
              <w:t>Item 16. Form 10-K Summary</w:t>
            </w: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1C4787"/>
              </w:rPr>
              <w:t>123</w:t>
            </w:r>
          </w:p>
        </w:tc>
        <w:tc>
          <w:tcPr>
            <w:tcW w:w="40" w:type="dxa"/>
            <w:vAlign w:val="bottom"/>
          </w:tcPr>
          <w:p>
            <w:pPr>
              <w:spacing w:after="0"/>
              <w:rPr>
                <w:sz w:val="17"/>
                <w:szCs w:val="17"/>
                <w:color w:val="auto"/>
              </w:rPr>
            </w:pPr>
          </w:p>
        </w:tc>
      </w:tr>
      <w:tr>
        <w:trPr>
          <w:trHeight w:val="233"/>
        </w:trPr>
        <w:tc>
          <w:tcPr>
            <w:tcW w:w="60" w:type="dxa"/>
            <w:vAlign w:val="bottom"/>
          </w:tcPr>
          <w:p>
            <w:pPr>
              <w:spacing w:after="0"/>
              <w:rPr>
                <w:sz w:val="20"/>
                <w:szCs w:val="20"/>
                <w:color w:val="auto"/>
              </w:rPr>
            </w:pPr>
          </w:p>
        </w:tc>
        <w:tc>
          <w:tcPr>
            <w:tcW w:w="9580" w:type="dxa"/>
            <w:vAlign w:val="bottom"/>
            <w:shd w:val="clear" w:color="auto" w:fill="E6ECFF"/>
          </w:tcPr>
          <w:p>
            <w:pPr>
              <w:ind w:left="20"/>
              <w:spacing w:after="0"/>
              <w:rPr>
                <w:sz w:val="20"/>
                <w:szCs w:val="20"/>
                <w:color w:val="auto"/>
              </w:rPr>
            </w:pPr>
            <w:r>
              <w:rPr>
                <w:rFonts w:ascii="Calibri" w:cs="Calibri" w:eastAsia="Calibri" w:hAnsi="Calibri"/>
                <w:sz w:val="17"/>
                <w:szCs w:val="17"/>
                <w:color w:val="1C4787"/>
              </w:rPr>
              <w:t>Signatures</w:t>
            </w:r>
          </w:p>
        </w:tc>
        <w:tc>
          <w:tcPr>
            <w:tcW w:w="1560" w:type="dxa"/>
            <w:vAlign w:val="bottom"/>
            <w:shd w:val="clear" w:color="auto" w:fill="E6ECFF"/>
          </w:tcPr>
          <w:p>
            <w:pPr>
              <w:jc w:val="right"/>
              <w:spacing w:after="0"/>
              <w:rPr>
                <w:sz w:val="20"/>
                <w:szCs w:val="20"/>
                <w:color w:val="auto"/>
              </w:rPr>
            </w:pPr>
            <w:r>
              <w:rPr>
                <w:rFonts w:ascii="Calibri" w:cs="Calibri" w:eastAsia="Calibri" w:hAnsi="Calibri"/>
                <w:sz w:val="17"/>
                <w:szCs w:val="17"/>
                <w:color w:val="1C4787"/>
              </w:rPr>
              <w:t>II-1</w:t>
            </w:r>
          </w:p>
        </w:tc>
        <w:tc>
          <w:tcPr>
            <w:tcW w:w="40" w:type="dxa"/>
            <w:vAlign w:val="bottom"/>
          </w:tcPr>
          <w:p>
            <w:pPr>
              <w:spacing w:after="0"/>
              <w:rPr>
                <w:sz w:val="20"/>
                <w:szCs w:val="20"/>
                <w:color w:val="auto"/>
              </w:rPr>
            </w:pPr>
          </w:p>
        </w:tc>
      </w:tr>
      <w:tr>
        <w:trPr>
          <w:trHeight w:val="2017"/>
        </w:trPr>
        <w:tc>
          <w:tcPr>
            <w:tcW w:w="60" w:type="dxa"/>
            <w:vAlign w:val="bottom"/>
            <w:tcBorders>
              <w:bottom w:val="single" w:sz="8" w:color="9A9A9A"/>
            </w:tcBorders>
          </w:tcPr>
          <w:p>
            <w:pPr>
              <w:spacing w:after="0"/>
              <w:rPr>
                <w:sz w:val="24"/>
                <w:szCs w:val="24"/>
                <w:color w:val="auto"/>
              </w:rPr>
            </w:pPr>
          </w:p>
        </w:tc>
        <w:tc>
          <w:tcPr>
            <w:tcW w:w="95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 w:name="page3"/>
    <w:bookmarkEnd w:id="2"/>
    <w:p>
      <w:pPr>
        <w:jc w:val="center"/>
        <w:spacing w:after="0"/>
        <w:rPr>
          <w:sz w:val="20"/>
          <w:szCs w:val="20"/>
          <w:color w:val="auto"/>
        </w:rPr>
      </w:pPr>
      <w:r>
        <w:rPr>
          <w:rFonts w:ascii="Calibri" w:cs="Calibri" w:eastAsia="Calibri" w:hAnsi="Calibri"/>
          <w:sz w:val="19"/>
          <w:szCs w:val="19"/>
          <w:b w:val="1"/>
          <w:bCs w:val="1"/>
          <w:color w:val="1C4787"/>
        </w:rPr>
        <w:t>PART I</w:t>
      </w:r>
    </w:p>
    <w:p>
      <w:pPr>
        <w:jc w:val="center"/>
        <w:spacing w:after="0"/>
        <w:rPr>
          <w:sz w:val="20"/>
          <w:szCs w:val="20"/>
          <w:color w:val="auto"/>
        </w:rPr>
      </w:pPr>
      <w:r>
        <w:rPr>
          <w:rFonts w:ascii="Calibri" w:cs="Calibri" w:eastAsia="Calibri" w:hAnsi="Calibri"/>
          <w:sz w:val="19"/>
          <w:szCs w:val="19"/>
          <w:b w:val="1"/>
          <w:bCs w:val="1"/>
          <w:color w:val="1C4787"/>
        </w:rPr>
        <w:t>Item 1. Business</w:t>
      </w:r>
    </w:p>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right"/>
        <w:spacing w:after="0" w:line="233" w:lineRule="auto"/>
        <w:rPr>
          <w:sz w:val="20"/>
          <w:szCs w:val="20"/>
          <w:color w:val="auto"/>
        </w:rPr>
      </w:pPr>
      <w:r>
        <w:rPr>
          <w:rFonts w:ascii="Calibri" w:cs="Calibri" w:eastAsia="Calibri" w:hAnsi="Calibri"/>
          <w:sz w:val="17"/>
          <w:szCs w:val="17"/>
          <w:color w:val="1C4787"/>
        </w:rPr>
        <w:t>1</w:t>
      </w:r>
    </w:p>
    <w:p>
      <w:pPr>
        <w:spacing w:after="0" w:line="200" w:lineRule="exact"/>
        <w:rPr>
          <w:sz w:val="20"/>
          <w:szCs w:val="20"/>
          <w:color w:val="auto"/>
        </w:rPr>
      </w:pPr>
    </w:p>
    <w:p>
      <w:pPr>
        <w:spacing w:after="0" w:line="305" w:lineRule="exact"/>
        <w:rPr>
          <w:sz w:val="20"/>
          <w:szCs w:val="20"/>
          <w:color w:val="auto"/>
        </w:rPr>
      </w:pPr>
    </w:p>
    <w:p>
      <w:pPr>
        <w:jc w:val="both"/>
        <w:ind w:firstLine="619"/>
        <w:spacing w:after="0" w:line="257" w:lineRule="auto"/>
        <w:rPr>
          <w:sz w:val="20"/>
          <w:szCs w:val="20"/>
          <w:color w:val="auto"/>
        </w:rPr>
      </w:pPr>
      <w:r>
        <w:rPr>
          <w:rFonts w:ascii="Calibri" w:cs="Calibri" w:eastAsia="Calibri" w:hAnsi="Calibri"/>
          <w:sz w:val="16"/>
          <w:szCs w:val="16"/>
          <w:color w:val="auto"/>
        </w:rPr>
        <w:t>References to “we,” “us,” “our,” or the “Company” are to ARMOUR Residental REIT, Inc. (“ARMOUR”) and its subsidiaries. References to “ACM” are to ARMOUR Capital Management LP, a Delaware limited partnership. ARMOUR owns a 10.8% equity interest in BUCKLER Securites LLC ("BUCKLER"), a Delaware limited liability company and a FINRA-regulated broker-dealer, controlled by ACM and certain executve ofcers of ARMOUR. Refer to the Glossary of Terms for defnitons of capitalized terms and abbreviatons used in this report. U.S. dollar amounts are presented in thousands, except per share amounts or as otherwise noted.</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ARMOUR is an externally managed Maryland corporaton incorporated in 2008. The Company is managed by ACM, an investment advisor registered with the Securites and Exchange Commission ("SEC") (which registraton the Company provides notce of to the state of Florida), (see Note 8 and Note 14 to the consolidated fnancial statements). We have elected to be taxed as a real estate investment trust ("REIT") under the Internal Revenue Code of 1986, as amended (the "Code"). We believe that we are organized in conformity with the requirements for qualifcaton as a REIT under the Code and our manner of operatons enables us to meet the requirements for taxaton as a REIT for federal income tax purposes (See Real Estate Investment Trust Requirements secton below).</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All per share amounts, common shares outstanding and stock-based compensaton amounts for all periods presented refect our Reverse Stock Split. Interest earned/paid on cash collateral posted/held on interest rate swap contracts was reclassifed from Interest Income to Gain (loss) on derivatves, net, in the consolidated fnancial statements to conform to current presentaton. No other reclassifcatons have been made to previously reported amounts.</w:t>
      </w:r>
    </w:p>
    <w:p>
      <w:pPr>
        <w:spacing w:after="0" w:line="1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Strategies</w:t>
      </w:r>
    </w:p>
    <w:p>
      <w:pPr>
        <w:spacing w:after="0" w:line="92" w:lineRule="exact"/>
        <w:rPr>
          <w:sz w:val="20"/>
          <w:szCs w:val="20"/>
          <w:color w:val="auto"/>
        </w:rPr>
      </w:pPr>
    </w:p>
    <w:p>
      <w:pPr>
        <w:jc w:val="both"/>
        <w:ind w:firstLine="619"/>
        <w:spacing w:after="0" w:line="226" w:lineRule="auto"/>
        <w:rPr>
          <w:sz w:val="20"/>
          <w:szCs w:val="20"/>
          <w:color w:val="auto"/>
        </w:rPr>
      </w:pPr>
      <w:r>
        <w:rPr>
          <w:rFonts w:ascii="Calibri" w:cs="Calibri" w:eastAsia="Calibri" w:hAnsi="Calibri"/>
          <w:sz w:val="17"/>
          <w:szCs w:val="17"/>
          <w:color w:val="auto"/>
        </w:rPr>
        <w:t>ARMOUR brings private capital into the mortgage markets to support home ownership for a broad and diverse spectrum of Americans. We seek to create stockholder value through thoughtul investment and risk management of a leveraged and diversifed portolio of MBS. We rely on the decades of experience of our management team for (i) MBS securites portolio analysis and selecton, (ii) access to equity capital and repurchase fnancing on potentally atractve rates and terms, and (iii) hedging and liquidity strategies to moderate interest rate and MBS price risk. We prioritze maintaining common share dividends appropriate for the intermediate term rather than focusing on short-term market fuctuatons.</w:t>
      </w:r>
    </w:p>
    <w:p>
      <w:pPr>
        <w:spacing w:after="0" w:line="23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are deeply commited to implementng sustainable environmental, responsible social, and prudent governance practces that improve our work and our world. We strive to contribute to a healthy, sustainable environment by utlizing resources efciently. As an organizaton, we create a relatvely small environmental footprint. Stll, we are focused on minimizing the environmental impact of our business where possible.</w:t>
      </w:r>
    </w:p>
    <w:p>
      <w:pPr>
        <w:spacing w:after="0" w:line="1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Assets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At December 31, 2023 and December 31, 2022, we invested in mortgage backed securites ("MBS"), issued or guaranteed by a United States ("U.S.") Government-sponsored entty ("GSE"), such as the Federal Natonal Mortgage Associaton ("Fannie Mae"), the Federal Home Loan Mortgage Corporaton ("Freddie Mac"), or a government agency such as Government Natonal Mortgage Administraton ("Ginnie Mae") (collectvely, "Agency Securites"). Our Agency Securites consist of fxed rate loans. From tme to tme we also invest in U.S. Treasury Securites and money market instruments subject to certain income tests we must satsfy for our qualifcaton as a REIT.</w:t>
      </w:r>
    </w:p>
    <w:p>
      <w:pPr>
        <w:spacing w:after="0" w:line="18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Borrowings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borrow against our MBS using repurchase agreements. Our borrowings generally have maturites that range from overnight to three months, although occasionally we may enter into longer dated borrowing agreements. Our borrowings (on a recourse basis) are generally between six and ten tmes the amount of our total stockholders’ equity, but we are not limited to that range. The level of our borrowings may vary periodically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line="226" w:lineRule="auto"/>
        <w:rPr>
          <w:sz w:val="20"/>
          <w:szCs w:val="20"/>
          <w:color w:val="auto"/>
        </w:rPr>
      </w:pPr>
      <w:r>
        <w:rPr>
          <w:rFonts w:ascii="Calibri" w:cs="Calibri" w:eastAsia="Calibri" w:hAnsi="Calibri"/>
          <w:sz w:val="19"/>
          <w:szCs w:val="19"/>
          <w:b w:val="1"/>
          <w:bCs w:val="1"/>
          <w:color w:val="1C4787"/>
        </w:rPr>
        <w:t>Business (contnued)</w:t>
      </w:r>
    </w:p>
    <w:p>
      <w:pPr>
        <w:spacing w:after="0" w:line="112"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depending on market conditons. In additon, certain of our MRAs and ISDAs contain a restricton that prohibits our leverage from exceeding twelve tmes our total stockholders’ equity as well as terminaton events in the case of signifcant reductons in equity capital.</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Hedging</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use derivatves in the normal course of our business to reduce the impact of interest rate fuctuatons on our cost of funding consistent with our REIT tax requirements. These techniques primarily consist of entering into interest rate swap contracts, basis swap contracts and swaptons and purchasing or selling futures contracts and may also include entering into interest rate cap or foor agreements, purchasing put and call optons on securites or futures contracts, or entering into forward rate agreements. Although we are not legally limited, we intend to limit our use of derivatve instruments to only those techniques described above and to enter into derivatve transactons only with counterpartes that we believe have a strong credit ratng to help limit the risk of counterparty default or insolvency. These transactons are not entered into for speculatve purposes.</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Our hedging actvites are designed so that changes in the fair values of our derivatves will tend to ofset changes in the fair values of our MBS. The actual extent of such ofset will depend on the relatve size of our derivatve portolio in relaton to our MBS and the actual correlaton of changes.</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While we use strategies to economically hedge some of our interest rate risk, we do not hedge all of our exposure to changes in interest rates and prepayment rates, as there are practcal limitatons on our ability to insulate our securites portolio from all potental negatve consequences associated with changes in short-term interest rates in a manner that will allow us to seek atractve net spreads on our securites portolio. For GAAP purposes, all changes in the fair value of our derivatves currently fow through earnings. Changes in the fair value of our legacy Agency MBS portolio, that was designated as available for sale historically, were recognized in other comprehensive income. Therefore, historical earnings reported in accordance with GAAP have fuctuated even in situatons where our derivatves were operatng as intended. Currently, all of our Agency MBS portolio is designated as trading securites and changes in the fair values of our derivatves and Agency MBS fow through earnings together. Accordingly, our results of operatons will not be subject to the additonal fuctuatons caused by the previous diferences in mark-to-market accountng treatments. Comparisons with companies that use hedge accountng for all or part of their derivatve actvites may not be meaningful.</w:t>
      </w:r>
    </w:p>
    <w:p>
      <w:pPr>
        <w:spacing w:after="0" w:line="16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Management</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Company is managed by ACM, pursuant to a management agreement (see Note 8 and Note 14 to the consolidated fnancial statements). ACM manages our day-to-day operatons, subject to the directon and oversight of the Board. The management agreement runs through December 31, 2029 and is thereafer automatcally renewed for an additonal fve-year term unless terminated under certain circumstances.</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management agreement enttles ACM to receive management fees payable monthly in arrears. Currently, the monthly management fee is 1/12th of the sum of (a) 1.5% of gross equity raised up to $1.0 billion plus (b) 0.75% of gross equity raised in excess of $1.0 billion. Gross equity raised includes the total amounts of paid in capital relatng to both our common and preferred stock, before deducton of brokerage commissions and other costs of capital raising. Amounts paid to stockholders to repurchase stock, before deducton of brokerage commissions and costs, reduces gross equity raised. Dividends specifcally designated by the Board as liquidaton dividends will reduce the amount of gross equity raised. To date, the Board has not so designated any of the dividends paid by the Company. Realized and unrealized gains and losses do not afect the amount of gross equity raised. At December 31, 2023, December 31, 2022 and December 31, 2021, the efectve management fee rate, prior to management fees waived, was 0.93%, 0.95% and 0.98% based on gross equity raised of $4,231,965, $3,787,042 and $3,313,937 and efectvely a rate of 3.09%, 3.53% and 3.43% based on total stockholders' equity, respectvely.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1165860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441325</wp:posOffset>
            </wp:positionV>
            <wp:extent cx="458470" cy="507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4" w:name="page5"/>
    <w:bookmarkEnd w:id="4"/>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line="226" w:lineRule="auto"/>
        <w:rPr>
          <w:sz w:val="20"/>
          <w:szCs w:val="20"/>
          <w:color w:val="auto"/>
        </w:rPr>
      </w:pPr>
      <w:r>
        <w:rPr>
          <w:rFonts w:ascii="Calibri" w:cs="Calibri" w:eastAsia="Calibri" w:hAnsi="Calibri"/>
          <w:sz w:val="19"/>
          <w:szCs w:val="19"/>
          <w:b w:val="1"/>
          <w:bCs w:val="1"/>
          <w:color w:val="1C4787"/>
        </w:rPr>
        <w:t>Business (contnued)</w:t>
      </w:r>
    </w:p>
    <w:p>
      <w:pPr>
        <w:spacing w:after="0" w:line="112"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ACM began waiving 40% of its management fee during the second quarter of 2020 and on January 13, 2021, ACM notfed ARMOUR that it intended to adjust the fee waiver to the rate of $2,400 for the frst quarter of 2021 and $800 per month thereafer. On April 20, 2021, ACM notfed ARMOUR that it intended to adjust the fee waiver to the rate of $2,100 for the second quarter of 2021 and $700 per month thereafer. On October 25, 2021, ACM notfed ARMOUR that it intended to adjust the fee waiver from the rate of $700 per month to $650 per month, efectve November 1, 2021, untl further notce. On February 14, 2023, ACM notfed ARMOUR that it intended to adjust the fee waiver to the rate of $1,650 for the frst quarter of 2023 and $550 per month thereafer untl ACM provides further notce to ARMOUR.</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During the years ended December 31, 2023, December 31, 2022 and December 31, 2021, ACM voluntarily waived management fees of $6,600 and $7,800 and $8,600, respectvely (see Note 8 to the consolidated fnancial statements). The monthly management fees are not calculated based on the performance of our assets. Accordingly, the payment of our monthly management fees may not decline in the event of a decline in our earnings and may cause us to incur losses. We are also responsible for any costs and expenses that ACM incurs solely on our behalf other than the various overhead expenses specifed in the terms of the management agreement. ACM is further enttled to receive terminaton fees from us under certain circumstances.</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On February 14, 2023, the Company extended the contractual term of the management agreement through December 31, 2029. Based on the management fee base, gross equity raised, as of December 31, 2023, the Company’s contractual management fee commitments 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40" w:type="dxa"/>
            <w:vAlign w:val="bottom"/>
            <w:gridSpan w:val="2"/>
            <w:shd w:val="clear" w:color="auto" w:fill="E6EEFF"/>
          </w:tcPr>
          <w:p>
            <w:pPr>
              <w:ind w:left="3580"/>
              <w:spacing w:after="0"/>
              <w:rPr>
                <w:sz w:val="20"/>
                <w:szCs w:val="20"/>
                <w:color w:val="auto"/>
              </w:rPr>
            </w:pPr>
            <w:r>
              <w:rPr>
                <w:rFonts w:ascii="Calibri" w:cs="Calibri" w:eastAsia="Calibri" w:hAnsi="Calibri"/>
                <w:sz w:val="17"/>
                <w:szCs w:val="17"/>
                <w:b w:val="1"/>
                <w:bCs w:val="1"/>
                <w:color w:val="1C4787"/>
              </w:rPr>
              <w:t>Year</w:t>
            </w:r>
          </w:p>
        </w:tc>
        <w:tc>
          <w:tcPr>
            <w:tcW w:w="460" w:type="dxa"/>
            <w:vAlign w:val="bottom"/>
            <w:shd w:val="clear" w:color="auto" w:fill="E6EEFF"/>
          </w:tcPr>
          <w:p>
            <w:pPr>
              <w:spacing w:after="0"/>
              <w:rPr>
                <w:sz w:val="19"/>
                <w:szCs w:val="19"/>
                <w:color w:val="auto"/>
              </w:rPr>
            </w:pPr>
          </w:p>
        </w:tc>
        <w:tc>
          <w:tcPr>
            <w:tcW w:w="3240" w:type="dxa"/>
            <w:vAlign w:val="bottom"/>
            <w:shd w:val="clear" w:color="auto" w:fill="E6EEFF"/>
          </w:tcPr>
          <w:p>
            <w:pPr>
              <w:jc w:val="right"/>
              <w:ind w:right="734"/>
              <w:spacing w:after="0"/>
              <w:rPr>
                <w:sz w:val="20"/>
                <w:szCs w:val="20"/>
                <w:color w:val="auto"/>
              </w:rPr>
            </w:pPr>
            <w:r>
              <w:rPr>
                <w:rFonts w:ascii="Calibri" w:cs="Calibri" w:eastAsia="Calibri" w:hAnsi="Calibri"/>
                <w:sz w:val="17"/>
                <w:szCs w:val="17"/>
                <w:b w:val="1"/>
                <w:bCs w:val="1"/>
                <w:color w:val="1C4787"/>
              </w:rPr>
              <w:t>Contractual Management Fee</w:t>
            </w:r>
          </w:p>
        </w:tc>
      </w:tr>
      <w:tr>
        <w:trPr>
          <w:trHeight w:val="205"/>
        </w:trPr>
        <w:tc>
          <w:tcPr>
            <w:tcW w:w="746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2024</w:t>
            </w: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39,240</w:t>
            </w:r>
          </w:p>
        </w:tc>
      </w:tr>
      <w:tr>
        <w:trPr>
          <w:trHeight w:val="226"/>
        </w:trPr>
        <w:tc>
          <w:tcPr>
            <w:tcW w:w="746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2025</w:t>
            </w:r>
          </w:p>
        </w:tc>
        <w:tc>
          <w:tcPr>
            <w:tcW w:w="80" w:type="dxa"/>
            <w:vAlign w:val="bottom"/>
            <w:shd w:val="clear" w:color="auto" w:fill="E6EEFF"/>
          </w:tcPr>
          <w:p>
            <w:pPr>
              <w:spacing w:after="0"/>
              <w:rPr>
                <w:sz w:val="19"/>
                <w:szCs w:val="19"/>
                <w:color w:val="auto"/>
              </w:rPr>
            </w:pPr>
          </w:p>
        </w:tc>
        <w:tc>
          <w:tcPr>
            <w:tcW w:w="460" w:type="dxa"/>
            <w:vAlign w:val="bottom"/>
            <w:shd w:val="clear" w:color="auto" w:fill="E6EEFF"/>
          </w:tcPr>
          <w:p>
            <w:pPr>
              <w:spacing w:after="0"/>
              <w:rPr>
                <w:sz w:val="19"/>
                <w:szCs w:val="19"/>
                <w:color w:val="auto"/>
              </w:rPr>
            </w:pPr>
          </w:p>
        </w:tc>
        <w:tc>
          <w:tcPr>
            <w:tcW w:w="32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39,240</w:t>
            </w:r>
          </w:p>
        </w:tc>
      </w:tr>
      <w:tr>
        <w:trPr>
          <w:trHeight w:val="212"/>
        </w:trPr>
        <w:tc>
          <w:tcPr>
            <w:tcW w:w="7460" w:type="dxa"/>
            <w:vAlign w:val="bottom"/>
          </w:tcPr>
          <w:p>
            <w:pPr>
              <w:ind w:left="20"/>
              <w:spacing w:after="0" w:line="205" w:lineRule="exact"/>
              <w:rPr>
                <w:sz w:val="20"/>
                <w:szCs w:val="20"/>
                <w:color w:val="auto"/>
              </w:rPr>
            </w:pPr>
            <w:r>
              <w:rPr>
                <w:rFonts w:ascii="Calibri" w:cs="Calibri" w:eastAsia="Calibri" w:hAnsi="Calibri"/>
                <w:sz w:val="17"/>
                <w:szCs w:val="17"/>
                <w:color w:val="auto"/>
              </w:rPr>
              <w:t>2026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40" w:type="dxa"/>
            <w:vAlign w:val="bottom"/>
          </w:tcPr>
          <w:p>
            <w:pPr>
              <w:jc w:val="right"/>
              <w:spacing w:after="0" w:line="205" w:lineRule="exact"/>
              <w:rPr>
                <w:sz w:val="20"/>
                <w:szCs w:val="20"/>
                <w:color w:val="auto"/>
              </w:rPr>
            </w:pPr>
            <w:r>
              <w:rPr>
                <w:rFonts w:ascii="Calibri" w:cs="Calibri" w:eastAsia="Calibri" w:hAnsi="Calibri"/>
                <w:sz w:val="17"/>
                <w:szCs w:val="17"/>
                <w:color w:val="auto"/>
              </w:rPr>
              <w:t>39,240</w:t>
            </w:r>
          </w:p>
        </w:tc>
      </w:tr>
      <w:tr>
        <w:trPr>
          <w:trHeight w:val="226"/>
        </w:trPr>
        <w:tc>
          <w:tcPr>
            <w:tcW w:w="746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2027</w:t>
            </w:r>
          </w:p>
        </w:tc>
        <w:tc>
          <w:tcPr>
            <w:tcW w:w="80" w:type="dxa"/>
            <w:vAlign w:val="bottom"/>
            <w:shd w:val="clear" w:color="auto" w:fill="E6EEFF"/>
          </w:tcPr>
          <w:p>
            <w:pPr>
              <w:spacing w:after="0"/>
              <w:rPr>
                <w:sz w:val="19"/>
                <w:szCs w:val="19"/>
                <w:color w:val="auto"/>
              </w:rPr>
            </w:pPr>
          </w:p>
        </w:tc>
        <w:tc>
          <w:tcPr>
            <w:tcW w:w="460" w:type="dxa"/>
            <w:vAlign w:val="bottom"/>
            <w:shd w:val="clear" w:color="auto" w:fill="E6EEFF"/>
          </w:tcPr>
          <w:p>
            <w:pPr>
              <w:spacing w:after="0"/>
              <w:rPr>
                <w:sz w:val="19"/>
                <w:szCs w:val="19"/>
                <w:color w:val="auto"/>
              </w:rPr>
            </w:pPr>
          </w:p>
        </w:tc>
        <w:tc>
          <w:tcPr>
            <w:tcW w:w="32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39,240</w:t>
            </w:r>
          </w:p>
        </w:tc>
      </w:tr>
      <w:tr>
        <w:trPr>
          <w:trHeight w:val="212"/>
        </w:trPr>
        <w:tc>
          <w:tcPr>
            <w:tcW w:w="7460" w:type="dxa"/>
            <w:vAlign w:val="bottom"/>
          </w:tcPr>
          <w:p>
            <w:pPr>
              <w:ind w:left="20"/>
              <w:spacing w:after="0" w:line="205" w:lineRule="exact"/>
              <w:rPr>
                <w:sz w:val="20"/>
                <w:szCs w:val="20"/>
                <w:color w:val="auto"/>
              </w:rPr>
            </w:pPr>
            <w:r>
              <w:rPr>
                <w:rFonts w:ascii="Calibri" w:cs="Calibri" w:eastAsia="Calibri" w:hAnsi="Calibri"/>
                <w:sz w:val="17"/>
                <w:szCs w:val="17"/>
                <w:color w:val="auto"/>
              </w:rPr>
              <w:t>2028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40" w:type="dxa"/>
            <w:vAlign w:val="bottom"/>
          </w:tcPr>
          <w:p>
            <w:pPr>
              <w:jc w:val="right"/>
              <w:spacing w:after="0" w:line="205" w:lineRule="exact"/>
              <w:rPr>
                <w:sz w:val="20"/>
                <w:szCs w:val="20"/>
                <w:color w:val="auto"/>
              </w:rPr>
            </w:pPr>
            <w:r>
              <w:rPr>
                <w:rFonts w:ascii="Calibri" w:cs="Calibri" w:eastAsia="Calibri" w:hAnsi="Calibri"/>
                <w:sz w:val="17"/>
                <w:szCs w:val="17"/>
                <w:color w:val="auto"/>
              </w:rPr>
              <w:t>39,240</w:t>
            </w:r>
          </w:p>
        </w:tc>
      </w:tr>
      <w:tr>
        <w:trPr>
          <w:trHeight w:val="219"/>
        </w:trPr>
        <w:tc>
          <w:tcPr>
            <w:tcW w:w="746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2029</w:t>
            </w:r>
          </w:p>
        </w:tc>
        <w:tc>
          <w:tcPr>
            <w:tcW w:w="80" w:type="dxa"/>
            <w:vAlign w:val="bottom"/>
            <w:shd w:val="clear" w:color="auto" w:fill="E6EEFF"/>
          </w:tcPr>
          <w:p>
            <w:pPr>
              <w:spacing w:after="0"/>
              <w:rPr>
                <w:sz w:val="19"/>
                <w:szCs w:val="19"/>
                <w:color w:val="auto"/>
              </w:rPr>
            </w:pPr>
          </w:p>
        </w:tc>
        <w:tc>
          <w:tcPr>
            <w:tcW w:w="460" w:type="dxa"/>
            <w:vAlign w:val="bottom"/>
            <w:tcBorders>
              <w:bottom w:val="single" w:sz="8" w:color="auto"/>
            </w:tcBorders>
            <w:shd w:val="clear" w:color="auto" w:fill="E6EEFF"/>
          </w:tcPr>
          <w:p>
            <w:pPr>
              <w:spacing w:after="0"/>
              <w:rPr>
                <w:sz w:val="19"/>
                <w:szCs w:val="19"/>
                <w:color w:val="auto"/>
              </w:rPr>
            </w:pPr>
          </w:p>
        </w:tc>
        <w:tc>
          <w:tcPr>
            <w:tcW w:w="32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39,240</w:t>
            </w:r>
          </w:p>
        </w:tc>
      </w:tr>
      <w:tr>
        <w:trPr>
          <w:trHeight w:val="219"/>
        </w:trPr>
        <w:tc>
          <w:tcPr>
            <w:tcW w:w="7540" w:type="dxa"/>
            <w:vAlign w:val="bottom"/>
            <w:gridSpan w:val="2"/>
          </w:tcPr>
          <w:p>
            <w:pPr>
              <w:ind w:left="20"/>
              <w:spacing w:after="0"/>
              <w:rPr>
                <w:sz w:val="20"/>
                <w:szCs w:val="20"/>
                <w:color w:val="auto"/>
              </w:rPr>
            </w:pPr>
            <w:r>
              <w:rPr>
                <w:rFonts w:ascii="Calibri" w:cs="Calibri" w:eastAsia="Calibri" w:hAnsi="Calibri"/>
                <w:sz w:val="17"/>
                <w:szCs w:val="17"/>
                <w:b w:val="1"/>
                <w:bCs w:val="1"/>
                <w:color w:val="1C4787"/>
              </w:rPr>
              <w:t>Total</w:t>
            </w:r>
          </w:p>
        </w:tc>
        <w:tc>
          <w:tcPr>
            <w:tcW w:w="460" w:type="dxa"/>
            <w:vAlign w:val="bottom"/>
            <w:tcBorders>
              <w:bottom w:val="single" w:sz="8" w:color="auto"/>
            </w:tcBorders>
          </w:tcPr>
          <w:p>
            <w:pPr>
              <w:jc w:val="right"/>
              <w:ind w:right="274"/>
              <w:spacing w:after="0" w:line="205" w:lineRule="exact"/>
              <w:rPr>
                <w:sz w:val="20"/>
                <w:szCs w:val="20"/>
                <w:color w:val="auto"/>
              </w:rPr>
            </w:pPr>
            <w:r>
              <w:rPr>
                <w:rFonts w:ascii="Calibri" w:cs="Calibri" w:eastAsia="Calibri" w:hAnsi="Calibri"/>
                <w:sz w:val="17"/>
                <w:szCs w:val="17"/>
                <w:color w:val="auto"/>
                <w:w w:val="92"/>
              </w:rPr>
              <w:t>$</w:t>
            </w:r>
          </w:p>
        </w:tc>
        <w:tc>
          <w:tcPr>
            <w:tcW w:w="32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235,440</w:t>
            </w:r>
          </w:p>
        </w:tc>
      </w:tr>
      <w:tr>
        <w:trPr>
          <w:trHeight w:val="20"/>
        </w:trPr>
        <w:tc>
          <w:tcPr>
            <w:tcW w:w="7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Company cannot voluntarily terminate the management agreement without cause before the expiraton of its contractual term. If the management agreement is terminated in connecton with a liquidaton of the Company or certain business combinaton transactons, the Company is obliged to pay ACM a terminaton fee equal to 4 tmes the contractual management fee (before any waiver) for the preceding 12 months.</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are required to take actons as may be reasonably required to permit and enable ACM to carry out its dutes and obligatons. From tme to tme, we grant restricted stock unit awards to our Board and to our executve ofcers that vest over various periods through 2027 and 2029, respectvely (see Note 9 to the consolidated fnancial statements).</w:t>
      </w:r>
    </w:p>
    <w:p>
      <w:pPr>
        <w:spacing w:after="0" w:line="1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Environmental, Social and Governance Initatves</w:t>
      </w:r>
    </w:p>
    <w:p>
      <w:pPr>
        <w:spacing w:after="0" w:line="337"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ARMOUR is commited to best practces in our environmental, social and governance ("ESG") policies. We have incorporated many ESG principles into our corporate culture over tme in growing the Company. We understand that ESG practces can create value by improving the environment and the lives of ACM's employees, our stockholders, our business partners, and the community and we recognize that understanding our eforts on ESG practces is increasingly important to those key relatonships. ARMOUR’s Nominatng and Corporate Governance Commitee has primary oversight of our eforts in ESG policies, actvites, and communicatons.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1164590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440690</wp:posOffset>
            </wp:positionV>
            <wp:extent cx="458470" cy="507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5" w:name="page6"/>
    <w:bookmarkEnd w:id="5"/>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line="226" w:lineRule="auto"/>
        <w:rPr>
          <w:sz w:val="20"/>
          <w:szCs w:val="20"/>
          <w:color w:val="auto"/>
        </w:rPr>
      </w:pPr>
      <w:r>
        <w:rPr>
          <w:rFonts w:ascii="Calibri" w:cs="Calibri" w:eastAsia="Calibri" w:hAnsi="Calibri"/>
          <w:sz w:val="19"/>
          <w:szCs w:val="19"/>
          <w:b w:val="1"/>
          <w:bCs w:val="1"/>
          <w:color w:val="1C4787"/>
        </w:rPr>
        <w:t>Business (contnued)</w:t>
      </w:r>
    </w:p>
    <w:p>
      <w:pPr>
        <w:spacing w:after="0" w:line="112"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assess our practces with a goal of meetng or exceeding industry and peer standards. We contnually seek opportunites to enhance the communites where we operate through corporate giving, employee volunteering, human capital development, and environmental sustainability programs. We contnue to evaluate relevant corporate sustainability reportng frameworks with a goal of adoptng and implementng best practces in our reportng framework.</w:t>
      </w:r>
    </w:p>
    <w:p>
      <w:pPr>
        <w:spacing w:after="0" w:line="1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Human Capital Resources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greatest strength and most important assets are the members of the ARMOUR team. Their overall well-being is paramount to the Company's success. ACM ensures its employees have a rewarding, supportve, and healthy working environment in which to thrive, and endeavors to support their success in all things. A diverse and inclusive internal climate is supported. ACM hires on the basis of qualifcatons and does not discriminate on the basis of sex, age, color, race, religion, marital status, natonal origin, ancestry, sexual orientaton, physical and mental disability, medical conditon, genetc informaton, veteran status or any other basis protected by federal, state, or local law. ACM provides employees with opportunites for growth and development, both in the personal and professional spheres, as well as a wide variety of resources to support their work and personal lives. ACM’s compensaton and comprehensive benefts are thoughtully designed to recognize and reward their professional skills, resultng in a low voluntary turnover rate for ARMOUR.</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Cybersecurity</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rely on our fnancial, accountng and other data processing systems. Computer malware, viruses, computer hacking and phishing atacks have become more prevalent in our industry and may occur on our systems. Although we have not detected a material cybersecurity breach to date, other fnancial services insttutons have reported material breaches of their systems, some of which have been signifcant. Even with all reasonable security eforts, not every breach can be prevented or even detected. It is possible that we have experienced an undetected breach. There is no assurance that we, or the third partes that facilitate our business actvites, have not or will not experience a breach. It is difcult to determine what, if any, negatve impact may directly result from any specifc interrupton or cyber-atacks or security breaches of our networks or systems (or the networks or systems of third partes that facilitate our business actvites) or any failure to maintain performance.</w:t>
      </w:r>
    </w:p>
    <w:p>
      <w:pPr>
        <w:spacing w:after="0" w:line="184"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ACM has established an Informaton Technology Steering Commitee (the "ITSC”) to help mitgate technology risks including cybersecurity. One of the roles of the ITSC is to oversee cyber risk assessments, monitor applicable key risk indicators, review cybersecurity training procedures, oversee the Company’s Cybersecurity Incident Response Plan and engage third partes to conduct periodic penetraton testng. Our cybersecurity risk assessment includes an evaluaton of cyber risk related to sensitve data held by third partes on their systems. There is no assurance that these eforts will efectvely mitgate cybersecurity risk and mitgaton eforts are not an assurance that no cybersecurity incidents will occur.</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 additon, our Audit Commitee periodically monitors and oversees our informaton and cybersecurity risks including reviewing and approving any informaton and cybersecurity policies, procedures and resources, and reviewing our informaton and cybersecurity risk assessment, detecton, protecton, and mitgaton systems.</w:t>
      </w:r>
    </w:p>
    <w:p>
      <w:pPr>
        <w:spacing w:after="0" w:line="1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Funding Actvites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If ACM and the Board determine that additonal funding is advisable, we may raise such funds through equity oferings (including preferred equity), unsecured debt securites, convertble securites (including warrants, preferred equity and debt) or the retenton of cash fow (subject to provisions in the Code concerning taxability of undistributed REIT taxable income) or a combinaton of these methods. In the event that ACM and the Board determine that we should raise additonal equity capital, we have the authority, without stockholder approval, to issue additonal stock in any manner and on such terms and for such consideraton as we deem appropriate,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1164590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440690</wp:posOffset>
            </wp:positionV>
            <wp:extent cx="458470" cy="507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line="226" w:lineRule="auto"/>
        <w:rPr>
          <w:sz w:val="20"/>
          <w:szCs w:val="20"/>
          <w:color w:val="auto"/>
        </w:rPr>
      </w:pPr>
      <w:r>
        <w:rPr>
          <w:rFonts w:ascii="Calibri" w:cs="Calibri" w:eastAsia="Calibri" w:hAnsi="Calibri"/>
          <w:sz w:val="19"/>
          <w:szCs w:val="19"/>
          <w:b w:val="1"/>
          <w:bCs w:val="1"/>
          <w:color w:val="1C4787"/>
        </w:rPr>
        <w:t>Business (contnued)</w:t>
      </w:r>
    </w:p>
    <w:p>
      <w:pPr>
        <w:spacing w:after="0" w:line="112"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tme. At December 31, 2023, there were 41,201 authorized shares of common stock and 43,153 authorized shares of preferred stock, respectvely, available for issuance. At December 31, 2023, there were 2,287 authorized shares of common stock remaining available for repurchase under our Common Stock Repurchase Program and 2,000 authorized shares of Series C Preferred Stock available for repurchase under our Series C Preferred Stock Repurchase Program.</w:t>
      </w:r>
    </w:p>
    <w:p>
      <w:pPr>
        <w:spacing w:after="0" w:line="1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Real Estate Investment Trust Requirements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As a REIT, we will generally not be subject to federal income tax on the REIT taxable income that we currently distribute to our stockholders. Our qualifcaton as a REIT depends on our ability to meet, on a contnuing basis, various complex requirements under the Code relatng to, among other things, the sources of our gross income, the compositon and values of our assets, our distributon levels and the concentraton of ownership of our capital stock. If we fail to qualify as a REIT in any taxable year and do not qualify for certain statutory relief provisions, we will be subject to federal income tax at regular corporate rates. Even if we qualify as a REIT for federal income tax purposes, we may stll be subject to some federal, state and local taxes on our income. See, General risks common to ARMOUR and our peer mortgage REITs in Item 1A. Risk Factors of this Form 10-K for further discussion.</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 order to maintain our qualifcaton as a REIT for U.S. federal income tax purposes, we are required to tmely distribute, with respect to each year at least 90% of our REIT taxable income, determined without regard to the deducton for dividends paid and excluding any net capital gain. To satsfy these requirements, we presently intend to contnue to make regular cash distributons of all or substantally all of our taxable income to holders of our stock out of assets legally available for such purposes. We are not restricted from using the proceeds of equity or debt oferings to pay dividends. The tming and amount of any dividends we pay to holders of our stock will be at the discreton of our Board and will depend upon various factors, including our earnings and fnancial conditon, maintenance of REIT status, applicable provisions of MGCL and such other factors as our Board deems relevant. Dividends in excess of REIT taxable income for the year (including taxable income carried forward from the previous year) will generally not be taxable to common stockholders. The porton of the dividends on our common and preferred stock which represented non-taxable return of capital was 47.5% in 2023, 100.0% in 2022 and 100.0% in 2021.</w:t>
      </w:r>
    </w:p>
    <w:p>
      <w:pPr>
        <w:spacing w:after="0" w:line="184"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At December 31, 2023, we had approximately $(247,349) in tax deductble expense relatng to previously terminated interest rate swap, treasury futures contracts and treasury shorts amortzing through the year 2033.</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Investment Company Act of 1940 Exclusion</w:t>
      </w:r>
    </w:p>
    <w:p>
      <w:pPr>
        <w:spacing w:after="0" w:line="105" w:lineRule="exact"/>
        <w:rPr>
          <w:sz w:val="20"/>
          <w:szCs w:val="20"/>
          <w:color w:val="auto"/>
        </w:rPr>
      </w:pPr>
    </w:p>
    <w:p>
      <w:pPr>
        <w:ind w:left="620"/>
        <w:spacing w:after="0"/>
        <w:rPr>
          <w:sz w:val="20"/>
          <w:szCs w:val="20"/>
          <w:color w:val="auto"/>
        </w:rPr>
      </w:pPr>
      <w:r>
        <w:rPr>
          <w:rFonts w:ascii="Calibri" w:cs="Calibri" w:eastAsia="Calibri" w:hAnsi="Calibri"/>
          <w:sz w:val="16"/>
          <w:szCs w:val="16"/>
          <w:color w:val="auto"/>
        </w:rPr>
        <w:t>We conduct our business so as not to become regulated as an investment company under the 1940 Act. We rely on the exclusion provided by Secton 3(c)(5)</w:t>
      </w:r>
    </w:p>
    <w:p>
      <w:pPr>
        <w:spacing w:after="0" w:line="11" w:lineRule="exact"/>
        <w:rPr>
          <w:sz w:val="20"/>
          <w:szCs w:val="20"/>
          <w:color w:val="auto"/>
        </w:rPr>
      </w:pPr>
    </w:p>
    <w:p>
      <w:pPr>
        <w:jc w:val="both"/>
        <w:ind w:firstLine="3"/>
        <w:spacing w:after="0" w:line="238" w:lineRule="auto"/>
        <w:tabs>
          <w:tab w:leader="none" w:pos="232" w:val="left"/>
        </w:tabs>
        <w:numPr>
          <w:ilvl w:val="0"/>
          <w:numId w:val="3"/>
        </w:numPr>
        <w:rPr>
          <w:rFonts w:ascii="Calibri" w:cs="Calibri" w:eastAsia="Calibri" w:hAnsi="Calibri"/>
          <w:sz w:val="17"/>
          <w:szCs w:val="17"/>
          <w:color w:val="auto"/>
        </w:rPr>
      </w:pPr>
      <w:r>
        <w:rPr>
          <w:rFonts w:ascii="Calibri" w:cs="Calibri" w:eastAsia="Calibri" w:hAnsi="Calibri"/>
          <w:sz w:val="17"/>
          <w:szCs w:val="17"/>
          <w:color w:val="auto"/>
        </w:rPr>
        <w:t>of the 1940 Act as interpreted by the staf of the SEC. To qualify for this exclusion, we must invest at least 55% of our assets in “mortgages and other liens on and interest in real estate” or “qualifying real estate interests” and at least 80% of our assets in qualifying real estate interests and “real estate related assets.” In satsfying this 55% requirement we treat MBS issued with respect to an underlying pool of mortgage loans in which we hold all of the certfcates issued by the pool (“whole pool” securites) as qualifying real estate interests. We currently treat MBS in which we hold less than all of the certfcates issued by the pool (“partal pool” securites) as real estate related assets and not qualifying real estate interests. Our business would be materially and adversely afected if we fail to qualify for an exclusion from regulaton under the 1940 Act. See General risks common to ARMOUR and our peer mortgage REITs in Item 1A. Risk Factors of this Form 10-K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433070</wp:posOffset>
            </wp:positionV>
            <wp:extent cx="458470" cy="507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line="226" w:lineRule="auto"/>
        <w:rPr>
          <w:sz w:val="20"/>
          <w:szCs w:val="20"/>
          <w:color w:val="auto"/>
        </w:rPr>
      </w:pPr>
      <w:r>
        <w:rPr>
          <w:rFonts w:ascii="Calibri" w:cs="Calibri" w:eastAsia="Calibri" w:hAnsi="Calibri"/>
          <w:sz w:val="19"/>
          <w:szCs w:val="19"/>
          <w:b w:val="1"/>
          <w:bCs w:val="1"/>
          <w:color w:val="1C4787"/>
        </w:rPr>
        <w:t>Business (contnued)</w:t>
      </w:r>
    </w:p>
    <w:p>
      <w:pPr>
        <w:spacing w:after="0" w:line="112"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Compliance with NYSE Corporate Governance Standards</w:t>
      </w:r>
    </w:p>
    <w:p>
      <w:pPr>
        <w:spacing w:after="0" w:line="105" w:lineRule="exact"/>
        <w:rPr>
          <w:sz w:val="20"/>
          <w:szCs w:val="20"/>
          <w:color w:val="auto"/>
        </w:rPr>
      </w:pPr>
    </w:p>
    <w:p>
      <w:pPr>
        <w:jc w:val="both"/>
        <w:ind w:firstLine="619"/>
        <w:spacing w:after="0" w:line="265" w:lineRule="auto"/>
        <w:rPr>
          <w:sz w:val="20"/>
          <w:szCs w:val="20"/>
          <w:color w:val="auto"/>
        </w:rPr>
      </w:pPr>
      <w:r>
        <w:rPr>
          <w:rFonts w:ascii="Calibri" w:cs="Calibri" w:eastAsia="Calibri" w:hAnsi="Calibri"/>
          <w:sz w:val="16"/>
          <w:szCs w:val="16"/>
          <w:color w:val="auto"/>
        </w:rPr>
        <w:t>We comply with the corporate governance standards of the NYSE. Our Audit Commitee, Compensaton Commitee and Nominatng and Corporate Governance Commitee are comprised entrely of independent directors and a majority of our directors are “independent” in accordance with the rules of the NYSE.</w:t>
      </w:r>
    </w:p>
    <w:p>
      <w:pPr>
        <w:spacing w:after="0" w:line="14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Competton</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success depends, in large part, on our ability to acquire assets with favorable margins over our borrowing costs. In acquiring MBS, we compete with numerous mortgage REITs, mortgage fnance and specialty fnance companies, savings and loan associatons, banks, mortgage bankers, insurance companies, mutual funds, insttutonal investors, investment banking frms, other lenders, governmental bodies and other enttes. Additonal frms in the marketplace may increase competton for the available supply of mortgage assets suitable for purchase and could adversely afect the availability and cost of our fnancing. Some of these organizatons have greater fnancial resources than we do, access to lower costs of capital than we do and lower cost structures than we have. Accordingly, those compettors may be able to generate higher total economic returns and/or accept lower returns on their investments. Some of these enttes may not be subject to the same regulatory constraints that we are (i.e., REIT compliance or maintaining an exclusion under the 1940 Act).</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Corporate Informaton</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We are managed by ACM pursuant to a management agreement between ARMOUR and ACM. We do not have any employees. As of December 31, 2023, ACM had 22 employees that provide services to us.</w:t>
      </w:r>
    </w:p>
    <w:p>
      <w:pPr>
        <w:spacing w:after="0" w:line="181"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Principal ofce locaton: 3001 Ocean Drive, Suite 201, Vero Beach, FL 32963</w:t>
      </w:r>
    </w:p>
    <w:p>
      <w:pPr>
        <w:spacing w:after="0" w:line="166"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Phone number: (772) 617-4340.</w:t>
      </w:r>
    </w:p>
    <w:p>
      <w:pPr>
        <w:spacing w:after="0" w:line="166"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 xml:space="preserve">Website: </w:t>
      </w:r>
      <w:r>
        <w:rPr>
          <w:rFonts w:ascii="Calibri" w:cs="Calibri" w:eastAsia="Calibri" w:hAnsi="Calibri"/>
          <w:sz w:val="17"/>
          <w:szCs w:val="17"/>
          <w:u w:val="single" w:color="auto"/>
          <w:color w:val="auto"/>
        </w:rPr>
        <w:t>www.armourreit.com</w:t>
      </w:r>
      <w:r>
        <w:rPr>
          <w:rFonts w:ascii="Calibri" w:cs="Calibri" w:eastAsia="Calibri" w:hAnsi="Calibri"/>
          <w:sz w:val="17"/>
          <w:szCs w:val="17"/>
          <w:color w:val="auto"/>
        </w:rPr>
        <w:t>.</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 xml:space="preserve">Our investor relatons website can be found under the “Investor Relatons” tab at </w:t>
      </w:r>
      <w:r>
        <w:rPr>
          <w:rFonts w:ascii="Calibri" w:cs="Calibri" w:eastAsia="Calibri" w:hAnsi="Calibri"/>
          <w:sz w:val="17"/>
          <w:szCs w:val="17"/>
          <w:u w:val="single" w:color="auto"/>
          <w:color w:val="auto"/>
        </w:rPr>
        <w:t>www.armourreit.com</w:t>
      </w:r>
      <w:r>
        <w:rPr>
          <w:rFonts w:ascii="Calibri" w:cs="Calibri" w:eastAsia="Calibri" w:hAnsi="Calibri"/>
          <w:sz w:val="17"/>
          <w:szCs w:val="17"/>
          <w:color w:val="auto"/>
        </w:rPr>
        <w:t>. We make available on our website under “SEC flings,” free of charge, our Annual Reports on Form 10-K, Quarterly Reports on Form 10-Q, Current Reports on Form 8-K and amendments to those reports as soon as reasonably practcable afer we electronically fle or furnish such materials to the SEC. We also make available on our website, our Board commitee charters as well as our corporate governance documents, including our code of business conduct and ethics and whistleblower policy. Any amendments or waivers thereto will be provided on our website within four business days following the date of the amendment or waiver. Informaton provided on our website is not part of this Annual Report on Form 10-K and not incorporated herein.</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 xml:space="preserve">We are required to fle Annual Reports on Form 10-K and Quarterly Reports on Form 10-Q with the SEC on a regular basis and are required to disclose certain material events in a Current Report on Form 8-K. The SEC also maintains an Internet website that contains reports, proxy and informaton statements and other informaton regarding issuers that fle electronically with the SEC. The SEC’s Internet website is located at </w:t>
      </w:r>
      <w:r>
        <w:rPr>
          <w:rFonts w:ascii="Calibri" w:cs="Calibri" w:eastAsia="Calibri" w:hAnsi="Calibri"/>
          <w:sz w:val="17"/>
          <w:szCs w:val="17"/>
          <w:u w:val="single" w:color="auto"/>
          <w:color w:val="auto"/>
        </w:rPr>
        <w:t>htp://www.sec.gov</w:t>
      </w:r>
      <w:r>
        <w:rPr>
          <w:rFonts w:ascii="Calibri" w:cs="Calibri" w:eastAsia="Calibri" w:hAnsi="Calibri"/>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8" w:name="page9"/>
    <w:bookmarkEnd w:id="8"/>
    <w:p>
      <w:pPr>
        <w:jc w:val="center"/>
        <w:spacing w:after="0"/>
        <w:rPr>
          <w:sz w:val="20"/>
          <w:szCs w:val="20"/>
          <w:color w:val="auto"/>
        </w:rPr>
      </w:pPr>
      <w:r>
        <w:rPr>
          <w:rFonts w:ascii="Calibri" w:cs="Calibri" w:eastAsia="Calibri" w:hAnsi="Calibri"/>
          <w:sz w:val="19"/>
          <w:szCs w:val="19"/>
          <w:b w:val="1"/>
          <w:bCs w:val="1"/>
          <w:color w:val="1C4787"/>
        </w:rPr>
        <w:t>Item 1A. Risk Factors</w:t>
      </w:r>
    </w:p>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spacing w:after="0" w:line="111"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7</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You should consider carefully all of the risks described below together with the other informaton contained in this Annual Report on Form 10-K, before making a decision to invest in our securites. This Annual Report on Form 10-K also contains forward-looking statements that involve risks and uncertaintes. The risks and uncertaintes described herein should not be considered to be a complete list of all potental risks that may afect us. Additonal risks and uncertaintes not currently known to us, or not presently deemed material by us, may also impair our operatons and performance. If any of the following events occur, our business, fnancial conditon and operatng results may be materially adversely afected, the trading price of our securites could decline and you may lose all or part of your investment. Refer to the Glossary of Terms for defnitons of capitalized terms and abbreviatons used in this report. U.S. dollar amounts are presented in thousands, except per share amounts or as otherwise noted.</w:t>
      </w: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1C4787"/>
        </w:rPr>
        <w:t>Index To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-124460</wp:posOffset>
            </wp:positionV>
            <wp:extent cx="7080885" cy="147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0885" cy="14732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460" w:type="dxa"/>
            <w:vAlign w:val="bottom"/>
            <w:gridSpan w:val="2"/>
          </w:tcPr>
          <w:p>
            <w:pPr>
              <w:ind w:left="540"/>
              <w:spacing w:after="0"/>
              <w:rPr>
                <w:sz w:val="20"/>
                <w:szCs w:val="20"/>
                <w:color w:val="auto"/>
              </w:rPr>
            </w:pPr>
            <w:r>
              <w:rPr>
                <w:rFonts w:ascii="Calibri" w:cs="Calibri" w:eastAsia="Calibri" w:hAnsi="Calibri"/>
                <w:sz w:val="17"/>
                <w:szCs w:val="17"/>
                <w:b w:val="1"/>
                <w:bCs w:val="1"/>
                <w:color w:val="auto"/>
              </w:rPr>
              <w:t>Page</w:t>
            </w:r>
          </w:p>
        </w:tc>
      </w:tr>
      <w:tr>
        <w:trPr>
          <w:trHeight w:val="22"/>
        </w:trPr>
        <w:tc>
          <w:tcPr>
            <w:tcW w:w="60" w:type="dxa"/>
            <w:vAlign w:val="bottom"/>
          </w:tcPr>
          <w:p>
            <w:pPr>
              <w:spacing w:after="0" w:line="20" w:lineRule="exact"/>
              <w:rPr>
                <w:sz w:val="1"/>
                <w:szCs w:val="1"/>
                <w:color w:val="auto"/>
              </w:rPr>
            </w:pPr>
          </w:p>
        </w:tc>
        <w:tc>
          <w:tcPr>
            <w:tcW w:w="9720" w:type="dxa"/>
            <w:vAlign w:val="bottom"/>
            <w:tcBorders>
              <w:bottom w:val="single" w:sz="8" w:color="E6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60" w:type="dxa"/>
            <w:vAlign w:val="bottom"/>
          </w:tcPr>
          <w:p>
            <w:pPr>
              <w:spacing w:after="0"/>
              <w:rPr>
                <w:sz w:val="18"/>
                <w:szCs w:val="18"/>
                <w:color w:val="auto"/>
              </w:rPr>
            </w:pPr>
          </w:p>
        </w:tc>
        <w:tc>
          <w:tcPr>
            <w:tcW w:w="9720" w:type="dxa"/>
            <w:vAlign w:val="bottom"/>
            <w:shd w:val="clear" w:color="auto" w:fill="E6EEFF"/>
          </w:tcPr>
          <w:p>
            <w:pPr>
              <w:spacing w:after="0" w:line="190" w:lineRule="exact"/>
              <w:rPr>
                <w:sz w:val="20"/>
                <w:szCs w:val="20"/>
                <w:color w:val="auto"/>
              </w:rPr>
            </w:pPr>
            <w:r>
              <w:rPr>
                <w:rFonts w:ascii="Calibri" w:cs="Calibri" w:eastAsia="Calibri" w:hAnsi="Calibri"/>
                <w:sz w:val="17"/>
                <w:szCs w:val="17"/>
                <w:color w:val="auto"/>
              </w:rPr>
              <w:t>Risk Factor Summary</w:t>
            </w:r>
          </w:p>
        </w:tc>
        <w:tc>
          <w:tcPr>
            <w:tcW w:w="142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8</w:t>
            </w:r>
          </w:p>
        </w:tc>
        <w:tc>
          <w:tcPr>
            <w:tcW w:w="4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9720" w:type="dxa"/>
            <w:vAlign w:val="bottom"/>
          </w:tcPr>
          <w:p>
            <w:pPr>
              <w:spacing w:after="0" w:line="205" w:lineRule="exact"/>
              <w:rPr>
                <w:sz w:val="20"/>
                <w:szCs w:val="20"/>
                <w:color w:val="auto"/>
              </w:rPr>
            </w:pPr>
            <w:r>
              <w:rPr>
                <w:rFonts w:ascii="Calibri" w:cs="Calibri" w:eastAsia="Calibri" w:hAnsi="Calibri"/>
                <w:sz w:val="17"/>
                <w:szCs w:val="17"/>
                <w:color w:val="auto"/>
              </w:rPr>
              <w:t>ARMOUR’s MBS investments rely heavily on fnancial leverage, magnifying our interest rate and spread risks</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8</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720" w:type="dxa"/>
            <w:vAlign w:val="bottom"/>
            <w:shd w:val="clear" w:color="auto" w:fill="E6EEFF"/>
          </w:tcPr>
          <w:p>
            <w:pPr>
              <w:spacing w:after="0"/>
              <w:rPr>
                <w:sz w:val="20"/>
                <w:szCs w:val="20"/>
                <w:color w:val="auto"/>
              </w:rPr>
            </w:pPr>
            <w:r>
              <w:rPr>
                <w:rFonts w:ascii="Calibri" w:cs="Calibri" w:eastAsia="Calibri" w:hAnsi="Calibri"/>
                <w:sz w:val="17"/>
                <w:szCs w:val="17"/>
                <w:color w:val="auto"/>
              </w:rPr>
              <w:t>ARMOUR actvely issues new shares and redeems outstanding shares of its common and preferred stock</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8</w:t>
            </w:r>
          </w:p>
        </w:tc>
        <w:tc>
          <w:tcPr>
            <w:tcW w:w="4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9720" w:type="dxa"/>
            <w:vAlign w:val="bottom"/>
          </w:tcPr>
          <w:p>
            <w:pPr>
              <w:spacing w:after="0" w:line="205" w:lineRule="exact"/>
              <w:rPr>
                <w:sz w:val="20"/>
                <w:szCs w:val="20"/>
                <w:color w:val="auto"/>
              </w:rPr>
            </w:pPr>
            <w:r>
              <w:rPr>
                <w:rFonts w:ascii="Calibri" w:cs="Calibri" w:eastAsia="Calibri" w:hAnsi="Calibri"/>
                <w:sz w:val="17"/>
                <w:szCs w:val="17"/>
                <w:color w:val="auto"/>
              </w:rPr>
              <w:t>ARMOUR is externally managed by ACM</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8</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720" w:type="dxa"/>
            <w:vAlign w:val="bottom"/>
            <w:shd w:val="clear" w:color="auto" w:fill="E6EEFF"/>
          </w:tcPr>
          <w:p>
            <w:pPr>
              <w:spacing w:after="0"/>
              <w:rPr>
                <w:sz w:val="20"/>
                <w:szCs w:val="20"/>
                <w:color w:val="auto"/>
              </w:rPr>
            </w:pPr>
            <w:r>
              <w:rPr>
                <w:rFonts w:ascii="Calibri" w:cs="Calibri" w:eastAsia="Calibri" w:hAnsi="Calibri"/>
                <w:sz w:val="17"/>
                <w:szCs w:val="17"/>
                <w:color w:val="auto"/>
              </w:rPr>
              <w:t>We and equity analysts consider Distributable Earnings as a measure of ARMOUR’s investment performance</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w:t>
            </w:r>
          </w:p>
        </w:tc>
        <w:tc>
          <w:tcPr>
            <w:tcW w:w="4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9720" w:type="dxa"/>
            <w:vAlign w:val="bottom"/>
          </w:tcPr>
          <w:p>
            <w:pPr>
              <w:spacing w:after="0" w:line="205" w:lineRule="exact"/>
              <w:rPr>
                <w:sz w:val="20"/>
                <w:szCs w:val="20"/>
                <w:color w:val="auto"/>
              </w:rPr>
            </w:pPr>
            <w:r>
              <w:rPr>
                <w:rFonts w:ascii="Calibri" w:cs="Calibri" w:eastAsia="Calibri" w:hAnsi="Calibri"/>
                <w:sz w:val="17"/>
                <w:szCs w:val="17"/>
                <w:color w:val="auto"/>
              </w:rPr>
              <w:t>Our afliate BUCKLER is our largest fnancing counterparty and placement agent under our ATM program</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9</w:t>
            </w:r>
          </w:p>
        </w:tc>
        <w:tc>
          <w:tcPr>
            <w:tcW w:w="40" w:type="dxa"/>
            <w:vAlign w:val="bottom"/>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9720" w:type="dxa"/>
            <w:vAlign w:val="bottom"/>
            <w:shd w:val="clear" w:color="auto" w:fill="E6EEFF"/>
          </w:tcPr>
          <w:p>
            <w:pPr>
              <w:spacing w:after="0"/>
              <w:rPr>
                <w:sz w:val="20"/>
                <w:szCs w:val="20"/>
                <w:color w:val="auto"/>
              </w:rPr>
            </w:pPr>
            <w:r>
              <w:rPr>
                <w:rFonts w:ascii="Calibri" w:cs="Calibri" w:eastAsia="Calibri" w:hAnsi="Calibri"/>
                <w:sz w:val="17"/>
                <w:szCs w:val="17"/>
                <w:color w:val="auto"/>
              </w:rPr>
              <w:t>General risks common to ARMOUR and our peer mortgage REITs</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w:t>
            </w:r>
          </w:p>
        </w:tc>
        <w:tc>
          <w:tcPr>
            <w:tcW w:w="40" w:type="dxa"/>
            <w:vAlign w:val="bottom"/>
          </w:tcPr>
          <w:p>
            <w:pPr>
              <w:spacing w:after="0"/>
              <w:rPr>
                <w:sz w:val="19"/>
                <w:szCs w:val="19"/>
                <w:color w:val="auto"/>
              </w:rPr>
            </w:pPr>
          </w:p>
        </w:tc>
      </w:tr>
      <w:tr>
        <w:trPr>
          <w:trHeight w:val="2313"/>
        </w:trPr>
        <w:tc>
          <w:tcPr>
            <w:tcW w:w="60" w:type="dxa"/>
            <w:vAlign w:val="bottom"/>
            <w:tcBorders>
              <w:bottom w:val="single" w:sz="8" w:color="9A9A9A"/>
            </w:tcBorders>
          </w:tcPr>
          <w:p>
            <w:pPr>
              <w:spacing w:after="0"/>
              <w:rPr>
                <w:sz w:val="24"/>
                <w:szCs w:val="24"/>
                <w:color w:val="auto"/>
              </w:rPr>
            </w:pPr>
          </w:p>
        </w:tc>
        <w:tc>
          <w:tcPr>
            <w:tcW w:w="97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-752475</wp:posOffset>
            </wp:positionV>
            <wp:extent cx="458470" cy="507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9" w:name="page10"/>
    <w:bookmarkEnd w:id="9"/>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8</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900"/>
        <w:spacing w:after="0"/>
        <w:rPr>
          <w:sz w:val="20"/>
          <w:szCs w:val="20"/>
          <w:color w:val="auto"/>
        </w:rPr>
      </w:pPr>
      <w:r>
        <w:rPr>
          <w:rFonts w:ascii="Calibri" w:cs="Calibri" w:eastAsia="Calibri" w:hAnsi="Calibri"/>
          <w:sz w:val="17"/>
          <w:szCs w:val="17"/>
          <w:b w:val="1"/>
          <w:bCs w:val="1"/>
          <w:color w:val="1C4787"/>
        </w:rPr>
        <w:t>Risk Factor Summary</w:t>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ARMOUR’s MBS investments rely heavily on fnancial leverage, magnifying our interest rate and spread risks:</w:t>
      </w:r>
    </w:p>
    <w:p>
      <w:pPr>
        <w:spacing w:after="0" w:line="105" w:lineRule="exact"/>
        <w:rPr>
          <w:sz w:val="20"/>
          <w:szCs w:val="20"/>
          <w:color w:val="auto"/>
        </w:rPr>
      </w:pPr>
    </w:p>
    <w:p>
      <w:pPr>
        <w:jc w:val="both"/>
        <w:ind w:left="460" w:hanging="302"/>
        <w:spacing w:after="0" w:line="238" w:lineRule="auto"/>
        <w:tabs>
          <w:tab w:leader="none" w:pos="453" w:val="left"/>
        </w:tabs>
        <w:numPr>
          <w:ilvl w:val="0"/>
          <w:numId w:val="4"/>
        </w:numPr>
        <w:rPr>
          <w:rFonts w:ascii="Calibri" w:cs="Calibri" w:eastAsia="Calibri" w:hAnsi="Calibri"/>
          <w:sz w:val="17"/>
          <w:szCs w:val="17"/>
          <w:color w:val="auto"/>
        </w:rPr>
      </w:pPr>
      <w:r>
        <w:rPr>
          <w:rFonts w:ascii="Calibri" w:cs="Calibri" w:eastAsia="Calibri" w:hAnsi="Calibri"/>
          <w:sz w:val="17"/>
          <w:szCs w:val="17"/>
          <w:color w:val="auto"/>
        </w:rPr>
        <w:t>Changes in interest rates generally, and volatlity in the relatonship between market prices and yields on our MBS and the prices and yields on benchmark fxed income securites, have previously and may in the future adversely impact our net interest income, total comprehensive income, asset values and stockholders’ equity;</w:t>
      </w:r>
    </w:p>
    <w:p>
      <w:pPr>
        <w:spacing w:after="0" w:line="53" w:lineRule="exact"/>
        <w:rPr>
          <w:rFonts w:ascii="Calibri" w:cs="Calibri" w:eastAsia="Calibri" w:hAnsi="Calibri"/>
          <w:sz w:val="17"/>
          <w:szCs w:val="17"/>
          <w:color w:val="auto"/>
        </w:rPr>
      </w:pPr>
    </w:p>
    <w:p>
      <w:pPr>
        <w:ind w:left="460" w:hanging="302"/>
        <w:spacing w:after="0" w:line="237" w:lineRule="auto"/>
        <w:tabs>
          <w:tab w:leader="none" w:pos="453" w:val="left"/>
        </w:tabs>
        <w:numPr>
          <w:ilvl w:val="0"/>
          <w:numId w:val="4"/>
        </w:numPr>
        <w:rPr>
          <w:rFonts w:ascii="Calibri" w:cs="Calibri" w:eastAsia="Calibri" w:hAnsi="Calibri"/>
          <w:sz w:val="17"/>
          <w:szCs w:val="17"/>
          <w:color w:val="auto"/>
        </w:rPr>
      </w:pPr>
      <w:r>
        <w:rPr>
          <w:rFonts w:ascii="Calibri" w:cs="Calibri" w:eastAsia="Calibri" w:hAnsi="Calibri"/>
          <w:sz w:val="17"/>
          <w:szCs w:val="17"/>
          <w:color w:val="auto"/>
        </w:rPr>
        <w:t>Our MBS have maturites ranging from 10 to 30 years (although amortzaton and prepayments reduce average lives) while our repurchase agreement borrowings generally are for one to 90 days;</w:t>
      </w:r>
    </w:p>
    <w:p>
      <w:pPr>
        <w:spacing w:after="0" w:line="51" w:lineRule="exact"/>
        <w:rPr>
          <w:rFonts w:ascii="Calibri" w:cs="Calibri" w:eastAsia="Calibri" w:hAnsi="Calibri"/>
          <w:sz w:val="17"/>
          <w:szCs w:val="17"/>
          <w:color w:val="auto"/>
        </w:rPr>
      </w:pPr>
    </w:p>
    <w:p>
      <w:pPr>
        <w:ind w:left="460" w:hanging="302"/>
        <w:spacing w:after="0"/>
        <w:tabs>
          <w:tab w:leader="none" w:pos="460" w:val="left"/>
        </w:tabs>
        <w:numPr>
          <w:ilvl w:val="0"/>
          <w:numId w:val="4"/>
        </w:numPr>
        <w:rPr>
          <w:rFonts w:ascii="Calibri" w:cs="Calibri" w:eastAsia="Calibri" w:hAnsi="Calibri"/>
          <w:sz w:val="17"/>
          <w:szCs w:val="17"/>
          <w:color w:val="auto"/>
        </w:rPr>
      </w:pPr>
      <w:r>
        <w:rPr>
          <w:rFonts w:ascii="Calibri" w:cs="Calibri" w:eastAsia="Calibri" w:hAnsi="Calibri"/>
          <w:sz w:val="17"/>
          <w:szCs w:val="17"/>
          <w:color w:val="auto"/>
        </w:rPr>
        <w:t>Fed monetary policy signifcantly infuences interest rates and short-term fnancing availability;</w:t>
      </w:r>
    </w:p>
    <w:p>
      <w:pPr>
        <w:spacing w:after="0" w:line="52" w:lineRule="exact"/>
        <w:rPr>
          <w:rFonts w:ascii="Calibri" w:cs="Calibri" w:eastAsia="Calibri" w:hAnsi="Calibri"/>
          <w:sz w:val="17"/>
          <w:szCs w:val="17"/>
          <w:color w:val="auto"/>
        </w:rPr>
      </w:pPr>
    </w:p>
    <w:p>
      <w:pPr>
        <w:jc w:val="both"/>
        <w:ind w:left="460" w:hanging="302"/>
        <w:spacing w:after="0" w:line="238" w:lineRule="auto"/>
        <w:tabs>
          <w:tab w:leader="none" w:pos="453" w:val="left"/>
        </w:tabs>
        <w:numPr>
          <w:ilvl w:val="0"/>
          <w:numId w:val="4"/>
        </w:numPr>
        <w:rPr>
          <w:rFonts w:ascii="Calibri" w:cs="Calibri" w:eastAsia="Calibri" w:hAnsi="Calibri"/>
          <w:sz w:val="17"/>
          <w:szCs w:val="17"/>
          <w:color w:val="auto"/>
        </w:rPr>
      </w:pPr>
      <w:r>
        <w:rPr>
          <w:rFonts w:ascii="Calibri" w:cs="Calibri" w:eastAsia="Calibri" w:hAnsi="Calibri"/>
          <w:sz w:val="17"/>
          <w:szCs w:val="17"/>
          <w:color w:val="auto"/>
        </w:rPr>
        <w:t>As compared to our common stock equity of $1,100,009 at December 31, 2023, the fair value of our interest rate swaps was $870,560, which represents forecasts of future net swap coupon amounts. We have received this fair value in cash from our counterpartes due to variaton margin requirements in our swap contracts. We have used that cash in our investment and liquidity management and reported an ofsetng liability. Periodic net swap coupon amounts are largely ofset by corresponding changes in swap fair values and related variaton margin payments. As a result, net swap coupon amounts have litle current impact on our investment returns, fnancial positon or results of operatons. Interest rate swaps primarily afect our exposure to future changes in forward interest rates;</w:t>
      </w:r>
    </w:p>
    <w:p>
      <w:pPr>
        <w:spacing w:after="0" w:line="54" w:lineRule="exact"/>
        <w:rPr>
          <w:rFonts w:ascii="Calibri" w:cs="Calibri" w:eastAsia="Calibri" w:hAnsi="Calibri"/>
          <w:sz w:val="17"/>
          <w:szCs w:val="17"/>
          <w:color w:val="auto"/>
        </w:rPr>
      </w:pPr>
    </w:p>
    <w:p>
      <w:pPr>
        <w:ind w:left="460" w:hanging="302"/>
        <w:spacing w:after="0" w:line="237" w:lineRule="auto"/>
        <w:tabs>
          <w:tab w:leader="none" w:pos="453" w:val="left"/>
        </w:tabs>
        <w:numPr>
          <w:ilvl w:val="0"/>
          <w:numId w:val="4"/>
        </w:numPr>
        <w:rPr>
          <w:rFonts w:ascii="Calibri" w:cs="Calibri" w:eastAsia="Calibri" w:hAnsi="Calibri"/>
          <w:sz w:val="17"/>
          <w:szCs w:val="17"/>
          <w:color w:val="auto"/>
        </w:rPr>
      </w:pPr>
      <w:r>
        <w:rPr>
          <w:rFonts w:ascii="Calibri" w:cs="Calibri" w:eastAsia="Calibri" w:hAnsi="Calibri"/>
          <w:sz w:val="17"/>
          <w:szCs w:val="17"/>
          <w:color w:val="auto"/>
        </w:rPr>
        <w:t>During stressful market conditons, we have sold and may in the future be forced to sell MBS at distressed prices, thereby potentally incurring permanent equity losses; and</w:t>
      </w:r>
    </w:p>
    <w:p>
      <w:pPr>
        <w:spacing w:after="0" w:line="51" w:lineRule="exact"/>
        <w:rPr>
          <w:rFonts w:ascii="Calibri" w:cs="Calibri" w:eastAsia="Calibri" w:hAnsi="Calibri"/>
          <w:sz w:val="17"/>
          <w:szCs w:val="17"/>
          <w:color w:val="auto"/>
        </w:rPr>
      </w:pPr>
    </w:p>
    <w:p>
      <w:pPr>
        <w:ind w:left="460" w:hanging="302"/>
        <w:spacing w:after="0"/>
        <w:tabs>
          <w:tab w:leader="none" w:pos="460" w:val="left"/>
        </w:tabs>
        <w:numPr>
          <w:ilvl w:val="0"/>
          <w:numId w:val="4"/>
        </w:numPr>
        <w:rPr>
          <w:rFonts w:ascii="Calibri" w:cs="Calibri" w:eastAsia="Calibri" w:hAnsi="Calibri"/>
          <w:sz w:val="17"/>
          <w:szCs w:val="17"/>
          <w:color w:val="auto"/>
        </w:rPr>
      </w:pPr>
      <w:r>
        <w:rPr>
          <w:rFonts w:ascii="Calibri" w:cs="Calibri" w:eastAsia="Calibri" w:hAnsi="Calibri"/>
          <w:sz w:val="17"/>
          <w:szCs w:val="17"/>
          <w:color w:val="auto"/>
        </w:rPr>
        <w:t>We have credit exposure to our fnancing and derivatve counterpartes for the value of our collateral they hold in excess of our current liabilites.</w:t>
      </w:r>
    </w:p>
    <w:p>
      <w:pPr>
        <w:spacing w:after="0" w:line="5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ARMOUR actvely issues new shares and redeems outstanding shares of its common stock:</w:t>
      </w:r>
    </w:p>
    <w:p>
      <w:pPr>
        <w:spacing w:after="0" w:line="105" w:lineRule="exact"/>
        <w:rPr>
          <w:sz w:val="20"/>
          <w:szCs w:val="20"/>
          <w:color w:val="auto"/>
        </w:rPr>
      </w:pPr>
    </w:p>
    <w:p>
      <w:pPr>
        <w:ind w:left="460" w:hanging="302"/>
        <w:spacing w:after="0" w:line="237" w:lineRule="auto"/>
        <w:tabs>
          <w:tab w:leader="none" w:pos="453"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We have issued and may in the future issue shares of our common stock in “at the market” oferings or underwriten “block” oferings, which may adversely impact the market price of our stock and dilute existng stockholders;</w:t>
      </w:r>
    </w:p>
    <w:p>
      <w:pPr>
        <w:spacing w:after="0" w:line="41" w:lineRule="exact"/>
        <w:rPr>
          <w:rFonts w:ascii="Calibri" w:cs="Calibri" w:eastAsia="Calibri" w:hAnsi="Calibri"/>
          <w:sz w:val="17"/>
          <w:szCs w:val="17"/>
          <w:color w:val="auto"/>
        </w:rPr>
      </w:pPr>
    </w:p>
    <w:p>
      <w:pPr>
        <w:ind w:left="460" w:hanging="302"/>
        <w:spacing w:after="0" w:line="230" w:lineRule="auto"/>
        <w:tabs>
          <w:tab w:leader="none" w:pos="453"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Paying dividends that exceed our total economic return, and repurchasing or redeeming common stock reduces our capital base and increases our expense rato and potentally limits our ability to invest in, fnance and hedge our MBS portolio;</w:t>
      </w:r>
    </w:p>
    <w:p>
      <w:pPr>
        <w:spacing w:after="0" w:line="50" w:lineRule="exact"/>
        <w:rPr>
          <w:rFonts w:ascii="Calibri" w:cs="Calibri" w:eastAsia="Calibri" w:hAnsi="Calibri"/>
          <w:sz w:val="17"/>
          <w:szCs w:val="17"/>
          <w:color w:val="auto"/>
        </w:rPr>
      </w:pPr>
    </w:p>
    <w:p>
      <w:pPr>
        <w:ind w:left="460" w:hanging="302"/>
        <w:spacing w:after="0"/>
        <w:tabs>
          <w:tab w:leader="none" w:pos="46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We may issue stock when investment opportunites are relatvely less atractve;</w:t>
      </w:r>
    </w:p>
    <w:p>
      <w:pPr>
        <w:spacing w:after="0" w:line="50" w:lineRule="exact"/>
        <w:rPr>
          <w:rFonts w:ascii="Calibri" w:cs="Calibri" w:eastAsia="Calibri" w:hAnsi="Calibri"/>
          <w:sz w:val="17"/>
          <w:szCs w:val="17"/>
          <w:color w:val="auto"/>
        </w:rPr>
      </w:pPr>
    </w:p>
    <w:p>
      <w:pPr>
        <w:ind w:left="460" w:hanging="302"/>
        <w:spacing w:after="0"/>
        <w:tabs>
          <w:tab w:leader="none" w:pos="46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We may repurchase our common stock at prices below book value, to the potental disadvantage of selling stockholders; and</w:t>
      </w:r>
    </w:p>
    <w:p>
      <w:pPr>
        <w:spacing w:after="0" w:line="50" w:lineRule="exact"/>
        <w:rPr>
          <w:rFonts w:ascii="Calibri" w:cs="Calibri" w:eastAsia="Calibri" w:hAnsi="Calibri"/>
          <w:sz w:val="17"/>
          <w:szCs w:val="17"/>
          <w:color w:val="auto"/>
        </w:rPr>
      </w:pPr>
    </w:p>
    <w:p>
      <w:pPr>
        <w:ind w:left="460" w:hanging="302"/>
        <w:spacing w:after="0"/>
        <w:tabs>
          <w:tab w:leader="none" w:pos="46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Signifcant changes in the number of shares outstanding over tme complicate the understanding of periodic per share calculatons.</w:t>
      </w:r>
    </w:p>
    <w:p>
      <w:pPr>
        <w:spacing w:after="0" w:line="5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ARMOUR is externally managed by ACM:</w:t>
      </w:r>
    </w:p>
    <w:p>
      <w:pPr>
        <w:spacing w:after="0" w:line="105" w:lineRule="exact"/>
        <w:rPr>
          <w:sz w:val="20"/>
          <w:szCs w:val="20"/>
          <w:color w:val="auto"/>
        </w:rPr>
      </w:pPr>
    </w:p>
    <w:p>
      <w:pPr>
        <w:ind w:left="460" w:hanging="302"/>
        <w:spacing w:after="0" w:line="237" w:lineRule="auto"/>
        <w:tabs>
          <w:tab w:leader="none" w:pos="453"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There are potental conficts of interest in our relatonship with ACM and its afliates, including BUCKLER, which could result in decisions that are not in the best interests of our stockholders;</w:t>
      </w:r>
    </w:p>
    <w:p>
      <w:pPr>
        <w:spacing w:after="0" w:line="54" w:lineRule="exact"/>
        <w:rPr>
          <w:rFonts w:ascii="Calibri" w:cs="Calibri" w:eastAsia="Calibri" w:hAnsi="Calibri"/>
          <w:sz w:val="17"/>
          <w:szCs w:val="17"/>
          <w:color w:val="auto"/>
        </w:rPr>
      </w:pPr>
    </w:p>
    <w:p>
      <w:pPr>
        <w:ind w:left="460" w:hanging="302"/>
        <w:spacing w:after="0" w:line="237" w:lineRule="auto"/>
        <w:tabs>
          <w:tab w:leader="none" w:pos="453"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ACM may terminate the management agreement for any reason without incurring a terminaton fee. If ACM ceases to be our manager, it may consttute an event of default under our fnancing arrangements;</w:t>
      </w:r>
    </w:p>
    <w:p>
      <w:pPr>
        <w:spacing w:after="0" w:line="51" w:lineRule="exact"/>
        <w:rPr>
          <w:rFonts w:ascii="Calibri" w:cs="Calibri" w:eastAsia="Calibri" w:hAnsi="Calibri"/>
          <w:sz w:val="17"/>
          <w:szCs w:val="17"/>
          <w:color w:val="auto"/>
        </w:rPr>
      </w:pPr>
    </w:p>
    <w:p>
      <w:pPr>
        <w:ind w:left="460" w:hanging="302"/>
        <w:spacing w:after="0"/>
        <w:tabs>
          <w:tab w:leader="none" w:pos="46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ACM’s liability is contractually limited and we have agreed to indemnify ACM;</w:t>
      </w:r>
    </w:p>
    <w:p>
      <w:pPr>
        <w:spacing w:after="0" w:line="50" w:lineRule="exact"/>
        <w:rPr>
          <w:rFonts w:ascii="Calibri" w:cs="Calibri" w:eastAsia="Calibri" w:hAnsi="Calibri"/>
          <w:sz w:val="17"/>
          <w:szCs w:val="17"/>
          <w:color w:val="auto"/>
        </w:rPr>
      </w:pPr>
    </w:p>
    <w:p>
      <w:pPr>
        <w:ind w:left="460" w:hanging="302"/>
        <w:spacing w:after="0"/>
        <w:tabs>
          <w:tab w:leader="none" w:pos="46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ACM is not precluded from serving our compettors or pursuing competng businesses;</w:t>
      </w:r>
    </w:p>
    <w:p>
      <w:pPr>
        <w:spacing w:after="0" w:line="52" w:lineRule="exact"/>
        <w:rPr>
          <w:rFonts w:ascii="Calibri" w:cs="Calibri" w:eastAsia="Calibri" w:hAnsi="Calibri"/>
          <w:sz w:val="17"/>
          <w:szCs w:val="17"/>
          <w:color w:val="auto"/>
        </w:rPr>
      </w:pPr>
    </w:p>
    <w:p>
      <w:pPr>
        <w:jc w:val="both"/>
        <w:ind w:left="460" w:hanging="302"/>
        <w:spacing w:after="0" w:line="238" w:lineRule="auto"/>
        <w:tabs>
          <w:tab w:leader="none" w:pos="453"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Reductons in our total stockholders’ equity have not reduced our management fee expense. ACM’s contractual management fee is calculated using the contractually defned base “gross equity raised,” which substantally exceeds total stockholders’ equity determined under GAAP. As a result, ACM’s annualized contractual management fee rate as of December 31, 2023 equaled 3.09% of 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1082040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358140</wp:posOffset>
            </wp:positionV>
            <wp:extent cx="458470" cy="507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0" w:name="page11"/>
    <w:bookmarkEnd w:id="10"/>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9</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60" w:hanging="302"/>
        <w:spacing w:after="0" w:line="237" w:lineRule="auto"/>
        <w:tabs>
          <w:tab w:leader="none" w:pos="453"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ACM has voluntarily waived a porton of its contractual management fee. ACM has reduced and may further reduce the amount of or discontnue entrely its voluntary waiver without our consent; and</w:t>
      </w:r>
    </w:p>
    <w:p>
      <w:pPr>
        <w:spacing w:after="0" w:line="54" w:lineRule="exact"/>
        <w:rPr>
          <w:rFonts w:ascii="Calibri" w:cs="Calibri" w:eastAsia="Calibri" w:hAnsi="Calibri"/>
          <w:sz w:val="17"/>
          <w:szCs w:val="17"/>
          <w:color w:val="auto"/>
        </w:rPr>
      </w:pPr>
    </w:p>
    <w:p>
      <w:pPr>
        <w:jc w:val="both"/>
        <w:ind w:left="460" w:hanging="302"/>
        <w:spacing w:after="0" w:line="238" w:lineRule="auto"/>
        <w:tabs>
          <w:tab w:leader="none" w:pos="453"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Through December 31, 2029, the Company is obliged to pay contractual management fees totaling approximately $235,440 based on gross equity raised as of December 31, 2023. ARMOUR may terminate the agreement without cause only under limited circumstances, which include a terminaton fee equal to four tmes the prior 12 months' contractual management fee. The management agreement automatcally renews to December 31, 2034 unless the Company gives ACM writen notce of non-renewal on or before July 3, 2029 as the result of either (i) a vote of two-thirds of our independent directors or (ii) a vote of a majority of the shares of common stock outstanding (other than shares held by ACM or its afliates). The Board of Directors has extended and may further extend the management agreement without stockholder approval.</w:t>
      </w:r>
    </w:p>
    <w:p>
      <w:pPr>
        <w:spacing w:after="0" w:line="5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We and equity analysts consider Distributable Earnings as a measure of ARMOUR’s investment performance:</w:t>
      </w:r>
    </w:p>
    <w:p>
      <w:pPr>
        <w:spacing w:after="0" w:line="105" w:lineRule="exact"/>
        <w:rPr>
          <w:sz w:val="20"/>
          <w:szCs w:val="20"/>
          <w:color w:val="auto"/>
        </w:rPr>
      </w:pPr>
    </w:p>
    <w:p>
      <w:pPr>
        <w:jc w:val="both"/>
        <w:ind w:left="460" w:hanging="302"/>
        <w:spacing w:after="0" w:line="238" w:lineRule="auto"/>
        <w:tabs>
          <w:tab w:leader="none" w:pos="453" w:val="left"/>
        </w:tabs>
        <w:numPr>
          <w:ilvl w:val="0"/>
          <w:numId w:val="8"/>
        </w:numPr>
        <w:rPr>
          <w:rFonts w:ascii="Calibri" w:cs="Calibri" w:eastAsia="Calibri" w:hAnsi="Calibri"/>
          <w:sz w:val="17"/>
          <w:szCs w:val="17"/>
          <w:color w:val="auto"/>
        </w:rPr>
      </w:pPr>
      <w:r>
        <w:rPr>
          <w:rFonts w:ascii="Calibri" w:cs="Calibri" w:eastAsia="Calibri" w:hAnsi="Calibri"/>
          <w:sz w:val="17"/>
          <w:szCs w:val="17"/>
          <w:color w:val="auto"/>
        </w:rPr>
        <w:t>Distributable Earnings is a non-GAAP measure which excludes gains and losses in portolio value, which makes Distributable Earnings more stable from month to month but also makes it an imperfect measure of our overall fnancial performance as compared to total comprehensive income (loss) computed in accordance with GAAP. Our Board of Directors considers Distributable Earnings among other factors when declaring dividends on our common stock. Since 2010, ARMOUR has distributed common stock dividends totaling approximately $1,993,110 while incurring cumulatve total comprehensive (loss) atributable to common stockholders of $(1,052,585). Such losses include approximately $(622,300) in 2013, $(539,942) in the frst quarter of 2020 and $(399,914) in the frst three quarters of 2022; and</w:t>
      </w:r>
    </w:p>
    <w:p>
      <w:pPr>
        <w:spacing w:after="0" w:line="54" w:lineRule="exact"/>
        <w:rPr>
          <w:rFonts w:ascii="Calibri" w:cs="Calibri" w:eastAsia="Calibri" w:hAnsi="Calibri"/>
          <w:sz w:val="17"/>
          <w:szCs w:val="17"/>
          <w:color w:val="auto"/>
        </w:rPr>
      </w:pPr>
    </w:p>
    <w:p>
      <w:pPr>
        <w:ind w:left="460" w:hanging="302"/>
        <w:spacing w:after="0" w:line="237" w:lineRule="auto"/>
        <w:tabs>
          <w:tab w:leader="none" w:pos="453" w:val="left"/>
        </w:tabs>
        <w:numPr>
          <w:ilvl w:val="0"/>
          <w:numId w:val="8"/>
        </w:numPr>
        <w:rPr>
          <w:rFonts w:ascii="Calibri" w:cs="Calibri" w:eastAsia="Calibri" w:hAnsi="Calibri"/>
          <w:sz w:val="17"/>
          <w:szCs w:val="17"/>
          <w:color w:val="auto"/>
        </w:rPr>
      </w:pPr>
      <w:r>
        <w:rPr>
          <w:rFonts w:ascii="Calibri" w:cs="Calibri" w:eastAsia="Calibri" w:hAnsi="Calibri"/>
          <w:sz w:val="17"/>
          <w:szCs w:val="17"/>
          <w:color w:val="auto"/>
        </w:rPr>
        <w:t>Distributable Earnings may cause ACM to make portolio decisions that may accelerate the realizaton of losses and delay the realizaton of gains, which may not maximize our risk-adjusted returns.</w:t>
      </w:r>
    </w:p>
    <w:p>
      <w:pPr>
        <w:spacing w:after="0" w:line="5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Our afliate BUCKLER is our largest fnancing counterparty and placement agent under our ATM program:</w:t>
      </w:r>
    </w:p>
    <w:p>
      <w:pPr>
        <w:spacing w:after="0" w:line="90" w:lineRule="exact"/>
        <w:rPr>
          <w:sz w:val="20"/>
          <w:szCs w:val="20"/>
          <w:color w:val="auto"/>
        </w:rPr>
      </w:pPr>
    </w:p>
    <w:p>
      <w:pPr>
        <w:ind w:left="460" w:hanging="302"/>
        <w:spacing w:after="0"/>
        <w:tabs>
          <w:tab w:leader="none" w:pos="460" w:val="left"/>
        </w:tabs>
        <w:numPr>
          <w:ilvl w:val="0"/>
          <w:numId w:val="9"/>
        </w:numPr>
        <w:rPr>
          <w:rFonts w:ascii="Calibri" w:cs="Calibri" w:eastAsia="Calibri" w:hAnsi="Calibri"/>
          <w:sz w:val="19"/>
          <w:szCs w:val="19"/>
          <w:i w:val="1"/>
          <w:iCs w:val="1"/>
          <w:color w:val="auto"/>
        </w:rPr>
      </w:pPr>
      <w:r>
        <w:rPr>
          <w:rFonts w:ascii="Calibri" w:cs="Calibri" w:eastAsia="Calibri" w:hAnsi="Calibri"/>
          <w:sz w:val="17"/>
          <w:szCs w:val="17"/>
          <w:color w:val="auto"/>
        </w:rPr>
        <w:t>We hold a 10.8% equity ownership in BUCKLER and a subordinated loan agreement up to $200,000, which qualifes as regulatory capital;</w:t>
      </w:r>
    </w:p>
    <w:p>
      <w:pPr>
        <w:spacing w:after="0" w:line="65" w:lineRule="exact"/>
        <w:rPr>
          <w:rFonts w:ascii="Calibri" w:cs="Calibri" w:eastAsia="Calibri" w:hAnsi="Calibri"/>
          <w:sz w:val="19"/>
          <w:szCs w:val="19"/>
          <w:i w:val="1"/>
          <w:iCs w:val="1"/>
          <w:color w:val="auto"/>
        </w:rPr>
      </w:pPr>
    </w:p>
    <w:p>
      <w:pPr>
        <w:ind w:left="460" w:hanging="302"/>
        <w:spacing w:after="0" w:line="237" w:lineRule="auto"/>
        <w:tabs>
          <w:tab w:leader="none" w:pos="453"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BUCKLER relies primarily on bilateral and triparty repurchase agreement funding through the FICC. If BUCKLER became unable to access these facilites, our own funding could become more difcult and more expensive. We maintain repurchase relatonships with other counterpartes which may reduce this risk;</w:t>
      </w:r>
    </w:p>
    <w:p>
      <w:pPr>
        <w:spacing w:after="0" w:line="51" w:lineRule="exact"/>
        <w:rPr>
          <w:rFonts w:ascii="Calibri" w:cs="Calibri" w:eastAsia="Calibri" w:hAnsi="Calibri"/>
          <w:sz w:val="17"/>
          <w:szCs w:val="17"/>
          <w:color w:val="auto"/>
        </w:rPr>
      </w:pPr>
    </w:p>
    <w:p>
      <w:pPr>
        <w:ind w:left="460" w:hanging="302"/>
        <w:spacing w:after="0"/>
        <w:tabs>
          <w:tab w:leader="none" w:pos="46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BUCKLER has acted as placement agent for 71% of the shares of common stock that ARMOUR has issued through its ATM programs in 2023;</w:t>
      </w:r>
    </w:p>
    <w:p>
      <w:pPr>
        <w:spacing w:after="0" w:line="52" w:lineRule="exact"/>
        <w:rPr>
          <w:rFonts w:ascii="Calibri" w:cs="Calibri" w:eastAsia="Calibri" w:hAnsi="Calibri"/>
          <w:sz w:val="17"/>
          <w:szCs w:val="17"/>
          <w:color w:val="auto"/>
        </w:rPr>
      </w:pPr>
    </w:p>
    <w:p>
      <w:pPr>
        <w:jc w:val="both"/>
        <w:ind w:left="460" w:hanging="302"/>
        <w:spacing w:after="0" w:line="238" w:lineRule="auto"/>
        <w:tabs>
          <w:tab w:leader="none" w:pos="453"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BUCKLER provides repurchase fnancing to third partes and may pursue other lines of business. We cannot guarantee that BUCKLER will not incur losses from these actvites. Signifcant losses by BUCKLER from other business could impair the value of our investment in BUCKLER and limit BUCKLER’s ability to provide atractve repurchase fnancing to ARMOUR; and</w:t>
      </w:r>
    </w:p>
    <w:p>
      <w:pPr>
        <w:spacing w:after="0" w:line="53" w:lineRule="exact"/>
        <w:rPr>
          <w:rFonts w:ascii="Calibri" w:cs="Calibri" w:eastAsia="Calibri" w:hAnsi="Calibri"/>
          <w:sz w:val="17"/>
          <w:szCs w:val="17"/>
          <w:color w:val="auto"/>
        </w:rPr>
      </w:pPr>
    </w:p>
    <w:p>
      <w:pPr>
        <w:ind w:left="460" w:hanging="302"/>
        <w:spacing w:after="0" w:line="237" w:lineRule="auto"/>
        <w:tabs>
          <w:tab w:leader="none" w:pos="453"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ACM owns 75.4% of the equity in BUCKLER and certain of our ofcers are also ofcers and equity owners of BUCKLER, which may lead to conficts of interest between BUCKLER and ARMOUR.</w:t>
      </w:r>
    </w:p>
    <w:p>
      <w:pPr>
        <w:spacing w:after="0" w:line="5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General risks common to ARMOUR and our peer mortgage REITs:</w:t>
      </w:r>
    </w:p>
    <w:p>
      <w:pPr>
        <w:spacing w:after="0" w:line="102" w:lineRule="exact"/>
        <w:rPr>
          <w:sz w:val="20"/>
          <w:szCs w:val="20"/>
          <w:color w:val="auto"/>
        </w:rPr>
      </w:pPr>
    </w:p>
    <w:p>
      <w:pPr>
        <w:ind w:left="460" w:hanging="302"/>
        <w:spacing w:after="0"/>
        <w:tabs>
          <w:tab w:leader="none" w:pos="460" w:val="left"/>
        </w:tabs>
        <w:numPr>
          <w:ilvl w:val="0"/>
          <w:numId w:val="10"/>
        </w:numPr>
        <w:rPr>
          <w:rFonts w:ascii="Calibri" w:cs="Calibri" w:eastAsia="Calibri" w:hAnsi="Calibri"/>
          <w:sz w:val="17"/>
          <w:szCs w:val="17"/>
          <w:color w:val="auto"/>
        </w:rPr>
      </w:pPr>
      <w:r>
        <w:rPr>
          <w:rFonts w:ascii="Calibri" w:cs="Calibri" w:eastAsia="Calibri" w:hAnsi="Calibri"/>
          <w:sz w:val="17"/>
          <w:szCs w:val="17"/>
          <w:color w:val="auto"/>
        </w:rPr>
        <w:t>Making atractve portolio investments, obtain fnancing and hedge risks consistent with our strategy;</w:t>
      </w:r>
    </w:p>
    <w:p>
      <w:pPr>
        <w:spacing w:after="0" w:line="50" w:lineRule="exact"/>
        <w:rPr>
          <w:rFonts w:ascii="Calibri" w:cs="Calibri" w:eastAsia="Calibri" w:hAnsi="Calibri"/>
          <w:sz w:val="17"/>
          <w:szCs w:val="17"/>
          <w:color w:val="auto"/>
        </w:rPr>
      </w:pPr>
    </w:p>
    <w:p>
      <w:pPr>
        <w:ind w:left="460" w:hanging="302"/>
        <w:spacing w:after="0"/>
        <w:tabs>
          <w:tab w:leader="none" w:pos="460" w:val="left"/>
        </w:tabs>
        <w:numPr>
          <w:ilvl w:val="0"/>
          <w:numId w:val="10"/>
        </w:numPr>
        <w:rPr>
          <w:rFonts w:ascii="Calibri" w:cs="Calibri" w:eastAsia="Calibri" w:hAnsi="Calibri"/>
          <w:sz w:val="17"/>
          <w:szCs w:val="17"/>
          <w:color w:val="auto"/>
        </w:rPr>
      </w:pPr>
      <w:r>
        <w:rPr>
          <w:rFonts w:ascii="Calibri" w:cs="Calibri" w:eastAsia="Calibri" w:hAnsi="Calibri"/>
          <w:sz w:val="17"/>
          <w:szCs w:val="17"/>
          <w:color w:val="auto"/>
        </w:rPr>
        <w:t>Complying with REIT and other tax requirements and Maryland law;</w:t>
      </w:r>
    </w:p>
    <w:p>
      <w:pPr>
        <w:spacing w:after="0" w:line="50" w:lineRule="exact"/>
        <w:rPr>
          <w:rFonts w:ascii="Calibri" w:cs="Calibri" w:eastAsia="Calibri" w:hAnsi="Calibri"/>
          <w:sz w:val="17"/>
          <w:szCs w:val="17"/>
          <w:color w:val="auto"/>
        </w:rPr>
      </w:pPr>
    </w:p>
    <w:p>
      <w:pPr>
        <w:ind w:left="460" w:hanging="302"/>
        <w:spacing w:after="0"/>
        <w:tabs>
          <w:tab w:leader="none" w:pos="460" w:val="left"/>
        </w:tabs>
        <w:numPr>
          <w:ilvl w:val="0"/>
          <w:numId w:val="10"/>
        </w:numPr>
        <w:rPr>
          <w:rFonts w:ascii="Calibri" w:cs="Calibri" w:eastAsia="Calibri" w:hAnsi="Calibri"/>
          <w:sz w:val="17"/>
          <w:szCs w:val="17"/>
          <w:color w:val="auto"/>
        </w:rPr>
      </w:pPr>
      <w:r>
        <w:rPr>
          <w:rFonts w:ascii="Calibri" w:cs="Calibri" w:eastAsia="Calibri" w:hAnsi="Calibri"/>
          <w:sz w:val="17"/>
          <w:szCs w:val="17"/>
          <w:color w:val="auto"/>
        </w:rPr>
        <w:t>Maintaining exemptons from the 1940 Act and CFTC commodity pool regulatons;</w:t>
      </w:r>
    </w:p>
    <w:p>
      <w:pPr>
        <w:spacing w:after="0" w:line="50" w:lineRule="exact"/>
        <w:rPr>
          <w:rFonts w:ascii="Calibri" w:cs="Calibri" w:eastAsia="Calibri" w:hAnsi="Calibri"/>
          <w:sz w:val="17"/>
          <w:szCs w:val="17"/>
          <w:color w:val="auto"/>
        </w:rPr>
      </w:pPr>
    </w:p>
    <w:p>
      <w:pPr>
        <w:ind w:left="460" w:hanging="302"/>
        <w:spacing w:after="0"/>
        <w:tabs>
          <w:tab w:leader="none" w:pos="460" w:val="left"/>
        </w:tabs>
        <w:numPr>
          <w:ilvl w:val="0"/>
          <w:numId w:val="10"/>
        </w:numPr>
        <w:rPr>
          <w:rFonts w:ascii="Calibri" w:cs="Calibri" w:eastAsia="Calibri" w:hAnsi="Calibri"/>
          <w:sz w:val="17"/>
          <w:szCs w:val="17"/>
          <w:color w:val="auto"/>
        </w:rPr>
      </w:pPr>
      <w:r>
        <w:rPr>
          <w:rFonts w:ascii="Calibri" w:cs="Calibri" w:eastAsia="Calibri" w:hAnsi="Calibri"/>
          <w:sz w:val="17"/>
          <w:szCs w:val="17"/>
          <w:color w:val="auto"/>
        </w:rPr>
        <w:t>Our dependence on key personnel, informaton systems and communicaton systems; and</w:t>
      </w:r>
    </w:p>
    <w:p>
      <w:pPr>
        <w:spacing w:after="0" w:line="50" w:lineRule="exact"/>
        <w:rPr>
          <w:rFonts w:ascii="Calibri" w:cs="Calibri" w:eastAsia="Calibri" w:hAnsi="Calibri"/>
          <w:sz w:val="17"/>
          <w:szCs w:val="17"/>
          <w:color w:val="auto"/>
        </w:rPr>
      </w:pPr>
    </w:p>
    <w:p>
      <w:pPr>
        <w:ind w:left="460" w:hanging="302"/>
        <w:spacing w:after="0"/>
        <w:tabs>
          <w:tab w:leader="none" w:pos="460" w:val="left"/>
        </w:tabs>
        <w:numPr>
          <w:ilvl w:val="0"/>
          <w:numId w:val="10"/>
        </w:numPr>
        <w:rPr>
          <w:rFonts w:ascii="Calibri" w:cs="Calibri" w:eastAsia="Calibri" w:hAnsi="Calibri"/>
          <w:sz w:val="17"/>
          <w:szCs w:val="17"/>
          <w:color w:val="auto"/>
        </w:rPr>
      </w:pPr>
      <w:r>
        <w:rPr>
          <w:rFonts w:ascii="Calibri" w:cs="Calibri" w:eastAsia="Calibri" w:hAnsi="Calibri"/>
          <w:sz w:val="17"/>
          <w:szCs w:val="17"/>
          <w:color w:val="auto"/>
        </w:rPr>
        <w:t>Capital markets risks related to our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1049655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325120</wp:posOffset>
            </wp:positionV>
            <wp:extent cx="458470" cy="507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1" w:name="page12"/>
    <w:bookmarkEnd w:id="11"/>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10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ARMOUR’s business of investng in MBS relies heavily on fnancial leverage which magnifes our interest rate and spread risks:</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Changes in interest rates impact our level of net interest income, total comprehensive income and stockholders' equity and we cannot always successfully mitgate such interest rate risks.</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invest predominately in MBS backed by loans with fxed interest rates, and to a lesser extent from tme to tme, in MBS backed by loans with interest rates that adjust on a regular basis, usually either monthly or annually. Our MBS have maturites ranging from 10 to 30 years (although average lives are much shorter due to amortzaton and prepayments). Our repurchase agreement borrowings generally have maturites ranging from one to 90 days. This mismatch in the interest rate terms between our assets and our liabilites is the primary source of our ability to generate positve net interest income because long-term interest rates tend to be higher than short-term rates. Short-term and long-term interest rates do not always move together. If short-term rates increase faster than long-term rates, the diference between the two may become zero or negatve, and we may not have the ability to generate positve net interest income.</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Changes in short-term rates will most signifcantly impact our level of net interest income, with rising interest rates likely to reduce our net interest income. Changes in long-term rates will initally impact the fair value of our investments in securites, with rising interest rates reducing their fair value. Changes in the fair values of our available for sale securites are generally not refected in our net income or our earnings per share, but rather are refected directly in our stockholders’ equity. Changes in the values of our trading securites are refected in our income as other gain or loss with rising rates likely to generate losses. Over longer periods of tme, rising long-term interest rates will provide us the opportunity to reinvest principal receipts and otherwise make additonal investments in securites with higher yields.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It can be difcult to predict the impact on interest rates of unexpected and uncertain global politcal and economic events, such as the outbreak of a pandemic such as COVID-19, epidemic disease, warfare (including the war between Russia and Ukraine as well as the hostlites in the Middle East), economic and internatonal trade conficts or sanctons, the change in the politcal makeup of the U.S. Congress, or changes in the credit ratng of the U.S. government, the United Kingdom, or one or more Eurozone natons; however, increased uncertainty or changes in the economic outlook for, or ratng of, the creditworthiness of the U.S. government, the United Kingdom, or Eurozone natons may have adverse impacts on, among other things, the U.S. economy, fnancial markets, the cost of borrowing, the fnancial strength of counterpartes we transact business with, and the value of assets we hold. Any such adverse impacts could negatvely impact the availability to us of short-term debt fnancing, our cost of short-term debt fnancing, our business, and our fnancial results.</w:t>
      </w:r>
    </w:p>
    <w:p>
      <w:pPr>
        <w:spacing w:after="0" w:line="171"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atempt to mitgate interest rate risk by moderatng the amount of our fnancial leverage, diversifying our securites portolio across both maturites and interest rate coupons, and economic hedging with derivatves. For example, we enter into interest rate swaps that require us to pay fxed rates and receive variable rates. These swaps are designed to ofset the fuctuatons in the interest costs of our repurchase fnancing due to movements in short-term interest rates. We record our derivatves and our trading securites at fair value and periodic changes in fair value are refected in our net income (loss) and earnings per share. To the extent that fair value changes on derivatves ofset fair value changes in our investments in securites, the fuctuaton in our stockholders’ equity will be lower. However, our income statement volatlity will not be reduced, because the fair value changes in our available for sale securites are refected directly in stockholders’ equity. Rising interest rates may tend to result in an overall increase in our reported net income even while our total stockholders’ equity declines.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1165225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441325</wp:posOffset>
            </wp:positionV>
            <wp:extent cx="458470" cy="507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2" w:name="page13"/>
    <w:bookmarkEnd w:id="12"/>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11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Volatlity in the relatonships between the market prices and yields for our securites and certain benchmark prices and interest rates periodically will adversely afect our net income, earnings per share and stockholders' equity.</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market prices and yields for Agency Securites and interest rate derivatves like those we hold are generally negatvely correlated over tme to each other and to certain benchmark prices and interest rates, such as those for U.S. Treasury Securites. Those correlatons are never perfect, and can vary widely on occasion, partcularly in tmes of market stress. This variaton in the “spread” relatonship among the market yields, and therefore prices, of diferent instruments can result in our hedging positons being not as efectve as normally would be expected, exposing us to the risk of unexpected volatlity in our net income, earnings per share, and total stockholders’ equity. Our most recent signifcant experience of this phenomena occurred in the frst half of 2020.</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Spread risk is difcult and expensive to hedge efectvely. Avoiding holding MBS with interest rate spread risk would severely limit our opportunity to generate net interest income because low spread risk investments, such as U.S. Treasury Securites, usually have substantally lower yields. Our eforts to mitgate spread risk are limited to atemptng to identfy characteristcs that might cause partcular MBS to have relatvely higher or lower spread risk under potental future market conditons. Such characteristcs include characteristcs of the underlying loans and current market premium levels. However, other investment consideratons, such as prepayment risk, tend to overshadow spread risk in our selecton of Agency Securites.</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We cannot predict the impact of future Fed monetary policy on the prices and liquidity of Agency Securites or other securites in which we invest, although Fed acton could increase the prices of our target assets and reduce the spread on our investments or decrease our book value.</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Changes in Fed policy afect our fnancial results because our cost of funds is largely dependent on short-term rates. An increase in our cost of funds without a corresponding increase in interest income earned on our investments in securites causes our net income to decline. We cannot predict the impact of any future actons by the Fed on the prices and liquidity of the securites in which we invest. Future Fed acton could reduce the value of our assets, reduce the spread on our investments and/or decrease our book value. Changes by the Fed in its securites purchase programs or other monetary policy could materially adversely afect our business, fnancial conditon and results of operatons and our ability to pay distributons to our stockholders.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 an efort to tame rising infaton levels, the Fed aggressively increased the Federal Funds Rate from a target range of 0.25% to 0.50% in the frst quarter of 2022 and contnued increases through July 2023, ending the fourth quarter of 2023 with a target range of 5.25% to 5.50% as set in July 2023. In additon, the Fed’s quanttatve tghtening policies included reducing its holdings of agency mortgage-backed securites and U.S. Treasuries, creatng net supply in the market. The combinaton of these actons resulted in short and long-term interest rates increasing throughout most of 2023. The U.S. 10 year Treasury rose by over 100 basis points from the start of the year to late October, negatvely impactng the market value of our investments, while the rise in short-term rates increased our borrowing costs. From late October to the end of 2023, as the Fed communicated that they would pivot to rate cuts in 2024. Long-term interest rates declined, with the U.S. 10 year Treasury decreasing by more than 100 basis points during such period.</w:t>
      </w:r>
    </w:p>
    <w:p>
      <w:pPr>
        <w:spacing w:after="0" w:line="184"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i w:val="1"/>
          <w:iCs w:val="1"/>
          <w:u w:val="single" w:color="auto"/>
          <w:color w:val="1C4787"/>
        </w:rPr>
        <w:t>The fair value of our interest rate swaps represents forecasted future net swap coupon amounts. The fair value of these positons has already been included in total comprehensive income and total stockholders’ equity. It has been received by us in cash through variaton margin payments made by our counterpartes, which we recognize as a liability. Both the asset and liability will ultmately go to zero. This exact path of this inevitable decline is uncertain and will depend on future changes in interest rates and other factors.</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At December 31, 2023, the aggregate fair value of our interest rate swaps was $870,560, which compares to the amount of our equity atributable to our common stock of $1,100,009. The fair value of our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3" w:name="page14"/>
    <w:bookmarkEnd w:id="13"/>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12</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swaps represents forecasted present values of future net swap coupon amounts. Variaton margin provisions in our swap contracts require our counterpartes to post to us cash collateral equal to that fair value. We have used that cash collateral to collateralize or reduce our repurchase fnancing balances, to acquire additonal Agency Securites or to increase our cash liquidity. Future changes in forward interest rates are the primary determining factor in the economic and aggregate fnancial reportng impact of our swaps on our investment returns, fnancial positon and results of operatons.</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Periodic net swap coupon receipts and payments were forecasted to arrive at the estmated fair values of our swaps. Accordingly, amounts reported as the periodic net coupon efect of our interest rate swaps largely represent values that were previously recognized elsewhere in total comprehensive income. Periodic net swap coupon amounts are largely ofset by corresponding adjustments in the fair values of the swaps, which are concurrently reported in total comprehensive income and total stockholders’ equity, resultng in a relatvely minor aggregate impact. When considered with the variaton margin requirements, periodic net swap coupon amounts have relatvely litle practcal impact on our current investment, fnancing or liquidity positons.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Terminatng interest rate swaps would merely result in the ofsetng of our recognized interest rate swap asset and obligaton to return cash collateral posted. Terminaton would have litle practcal efect on our current investment, fnancing or liquidity positons. Terminatng or entering into new swaps changes our exposure to future interest rate changes.</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fair value of our swap positons will ultmately go to zero over their remaining terms, which averaged 68 months as of December 31, 2023. The rate and exact path of this inevitable decline is uncertain and will depend on future changes in expected forward interest rates and other factors. These factors will also drive the future amounts of net swap receipts or payments and corresponding future fair values and variaton margin amounts. We also may terminate swaps before their maturity and receive or make fnal setlement payments based on the estmated fair value of the swap at the tme of terminaton.</w:t>
      </w:r>
    </w:p>
    <w:p>
      <w:pPr>
        <w:spacing w:after="0" w:line="180"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During stressful market conditons, we may be forced to sell MBS at depressed prices, thereby potentally incurring permanent equity losses.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Occasionally, the cash and fnancing markets for MBS experience temporary periods of signifcant distress, as evidenced by limited liquidity, low bid prices and few transactons. In such circumstances, our lenders may increase their margin requirements and signifcantly reduce their collateral value for our pledged securites. Our lenders are contractually enttled to adjust margin requirements on relatvely short notce and collateral values as frequently as daily. Depending on the duraton and severity of the market distress, ARMOUR has sold, and may in the future need to sell, MBS at prices signifcantly below their long-term value in order to meet lender margin calls. We may not be able to partcipate in any potental market recovery and the resultng losses may permanently and materially reduce our equity.</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Our lenders may insist on fnancing terms that could result in reducing the availability and/or increasing the cost of our fnancing or may terminate our fnancing.</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 order to achieve a compettve return for our investors, we use fnancial leverage to hold a portolio of MBS that is several tmes larger than our total stockholders’ equity. Our borrowings are essentally all in the form of repurchase agreements where we nominally sell MBS to counterpartes with an agreement to repurchase them at a later date. The sale and purchase prices are set several percentage points below the current fair value of the MBS. This “haircut” percentage provides the counterparty with excess collateral to secure their loan and provides us with an incentve to complete the repurchase transacton 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1156335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4" w:name="page15"/>
    <w:bookmarkEnd w:id="14"/>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13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There is a risk that our counterpartes might be unwilling to contnue to extend repurchase fnancing to us. Changes in regulaton, market conditons or the fnancial positon or business strategy of our counterpartes could cause them to reduce or terminate our repurchase fnancing facilites.</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atempt to mitgate our funding risk by maintaining repurchase funding relatonships with a variety of counterpartes that are diversifed as to size, character and primary regulatory jurisdicton, including a substantal funding relatonship with BUCKLER. We also monitor our borrowing levels with each counterparty, atempt to establish appropriate additonal business relatonships beyond our borrowing and regularly communicate with their credit and business ofcers responsible for our relatonship. From tme to tme, we explore new funding structures and opportunites, but there can be no assurance that any such additonal funding will become available on atractve terms.</w:t>
      </w:r>
    </w:p>
    <w:p>
      <w:pPr>
        <w:spacing w:after="0" w:line="167"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We may not be able to minimize potental credit risks that could arise in the event of bankruptcy of one or more of our counterpartes.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Substantally all of our Agency Securites are issued or guaranteed by GSEs, which we consider the functonal equivalent of the full faith and credit of the U.S Government. Our primary credit risk relates to our exposure to our counterpartes for the amount of the excess collateral they hold to secure our repurchase fnancing and derivatve obligatons. We would typically become a general unsecured creditor for that amount in the event of the bankruptcy of a counterparty.</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forward setling transactons, including TBAs, subject us to certain risks, including price risks and counterparty risks. We purchase a porton of our Agency Securites through forward setling transactons, including TBAs. In a forward setling transacton, we enter into a forward purchase agreement with a counterparty to purchase either (i) an identfed Agency Security, or (ii) a TBA, or to-be-issued, Agency Securites with certain terms. As with any forward purchase contract, the value of the underlying Agency Security may decrease between the contract date and the setlement date. Furthermore, a transacton counterparty may fail to deliver the underlying Agency Securites at the setlement date. If any of the above risks were to occur, our fnancial conditon and results of operatons may be materially adversely afected.</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mitgate our credit risk by evaluatng the credit quality of our counterpartes on an ongoing basis, reducing or closing positons with counterpartes where we have credit concerns, monitoring our collateral positons to minimize excess collateral balances and diversifying our repurchase fnancing and derivatves positons among numerous counterpartes. At December 31, 2023 and December 31, 2022, BUCKLER accounted for 48.4% and 50.2%, respectvely, of our aggregate borrowings and had an amount at risk of 8.1% and 12.9%, respectvely, of our total stockholders' equity (see Note 14 to the consolidated fnancial statements).</w:t>
      </w:r>
    </w:p>
    <w:p>
      <w:pPr>
        <w:spacing w:after="0" w:line="167"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Factors beyond our control may increase the prepayment speeds on our MBS, thereby reducing our interest income.</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Agency Securites backed by single-family residental loans allow the underlying borrowers to prepay their loans without premium or penalty. When borrowers default on their loans, the GSE or government entty that issued or guaranteed the Agency Securites (including Agency Securites backed by mult-family loans) pay of the remaining loan balance. Those prepayments, including default payofs, are passed through to us, reducing the balance of the Agency Security. We generally purchase Agency Securites at premium prices, and the premium amortzaton associated with prepayments reduces our interest income.</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experience prepayments on our Agency Securites every month and the speed of prepayments varies widely from month to month and across individual Agency Securites. Factors driving prepayment speeds include the rate of new and existng home sales, the level of borrower refnancing actvites and the frequency of borrower defaults. Such factors are themselves infuenced by government monetary, fscal and regulatory policies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1163955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440055</wp:posOffset>
            </wp:positionV>
            <wp:extent cx="458470" cy="507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5" w:name="page16"/>
    <w:bookmarkEnd w:id="15"/>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10" w:lineRule="exact"/>
        <w:rPr>
          <w:sz w:val="20"/>
          <w:szCs w:val="20"/>
          <w:color w:val="auto"/>
        </w:rPr>
      </w:pPr>
    </w:p>
    <w:p>
      <w:pPr>
        <w:ind w:left="11080"/>
        <w:spacing w:after="0"/>
        <w:rPr>
          <w:sz w:val="20"/>
          <w:szCs w:val="20"/>
          <w:color w:val="auto"/>
        </w:rPr>
      </w:pPr>
      <w:r>
        <w:rPr>
          <w:rFonts w:ascii="Calibri" w:cs="Calibri" w:eastAsia="Calibri" w:hAnsi="Calibri"/>
          <w:sz w:val="15"/>
          <w:szCs w:val="15"/>
          <w:color w:val="1C4787"/>
        </w:rPr>
        <w:t>14</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general economic conditons such as the level of and trends in interest rates, gross domestc product, employment and consumer confdence. Prepayment expectatons are an integral part of pricing Agency Securites in the marketplace. Volatlity in actual prepayment speeds creates volatlity in the amount of premium amortzaton we recognize. Higher speeds reduce our interest income and lower speeds increase our interest income.</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consider our expectatons of future prepayments when evaluatng the prices at which we purchase and sell Agency Securites. We atempt to mitgate the risk of unexpected prepayments by identfying characteristcs of the underlying loans, such as the loan size, coupon rate, loan age and maturity, geographic locaton, borrower credit scores and originator/servicer that might predict relatvely faster or slower prepayment speed tendencies for a partcular Agency Security. Agency Securites with characteristcs expected to be favorable ofen command marginally higher prices, or “pay ups.” We seek to purchase Agency Securites with favorable prepayment characteristcs when the required pay ups are relatvely lower and may sell our Agency Securites when their pay ups are relatvely higher.</w:t>
      </w:r>
    </w:p>
    <w:p>
      <w:pPr>
        <w:spacing w:after="0" w:line="16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ARMOUR actvely issues new shares of its common stock:</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We have issued and may in the future issue shares of our common stock in “at the market” oferings or underwriten “block” oferings, which may adversely impact the market price of our stock and result in diluton to existng stockholders.</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have historically been actve in raising capital for ARMOUR. Through February 2019, we primarily relied on “block” oferings placed through a syndicate of underwriters to issue new shares of our common stock. The number of shares ofered typically represents a multple of daily trading volume and the ofering price is typically set at a discount to recently reported market prices to facilitate the tmely sale to investors. The public announcement of the transactons may depress market trading prices, potentally for an extended period of tme. We contnue from tme to tme to evaluate underwriten block oferings and may execute one or more in the future depending on overall consideratons of size, pricing and market conditons.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Since 2020, we have relied on “at the market” oferings (or “ATM”) to issue new shares of our common stock. Under our ATM programs, we instruct a placement agent to accept bids and post ofers for our stock in the regular trading markets throughout the trading day. These transactons are typically executed through automated trading algorithms and subject to limits including minimum sales prices and maximum percentage of trading volume. A placement agent may also entertain direct ofers from its insttutonal customers on our behalf. Our ATM sales are not the subject of contemporaneous public reportng. Therefore, the direct impact on overall market trading prices for our stock is difcult to discern, but may also be negatve. Fees to placement agents for ATM transactons represent a lower percentage of stock proceeds than underwritng fees for block oferings.</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consider the potental diluton of existng stockholders as part of our decision to issue new shares. ARMOUR’s board of directors has authorized our CEO to issue new common shares where the net proceeds to the Company, afer fees and expenses, represents at least 93.5% of our most recent estmate of ARMOUR’s book value per common share. We endeavor to achieve net proceeds representng a higher percentage. For 2023, we realized net proceeds that averaged approximately 98% of recently estmated book value, resultng in an aggregate dollar diluton of $7,802. We also consider the favorable impact to existng stockholders of spreading administratve and operatng expenses over an increased number of common shares.</w:t>
      </w:r>
    </w:p>
    <w:p>
      <w:pPr>
        <w:spacing w:after="0" w:line="167"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We may issue stock when investment opportunites are relatvely less atractve.</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market trading price of our common stock tends to be positvely correlated with the general price levels of the MBS that represent our target investments. Therefore, opportunites to raise capital at atractve prices may occur when potental investment opportunites are relatvely less atractve. Accordingly, we may temporarily invest the proceeds of stock issuances by reducing our repo borrowings on our existng portolio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6" w:name="page17"/>
    <w:bookmarkEnd w:id="16"/>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10" w:lineRule="exact"/>
        <w:rPr>
          <w:sz w:val="20"/>
          <w:szCs w:val="20"/>
          <w:color w:val="auto"/>
        </w:rPr>
      </w:pPr>
    </w:p>
    <w:p>
      <w:pPr>
        <w:ind w:left="11080"/>
        <w:spacing w:after="0"/>
        <w:rPr>
          <w:sz w:val="20"/>
          <w:szCs w:val="20"/>
          <w:color w:val="auto"/>
        </w:rPr>
      </w:pPr>
      <w:r>
        <w:rPr>
          <w:rFonts w:ascii="Calibri" w:cs="Calibri" w:eastAsia="Calibri" w:hAnsi="Calibri"/>
          <w:sz w:val="15"/>
          <w:szCs w:val="15"/>
          <w:color w:val="1C4787"/>
        </w:rPr>
        <w:t>15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alibri" w:cs="Calibri" w:eastAsia="Calibri" w:hAnsi="Calibri"/>
          <w:sz w:val="17"/>
          <w:szCs w:val="17"/>
          <w:color w:val="auto"/>
        </w:rPr>
        <w:t>purchasing US Treasuries or other assets in antcipaton of more atractve MBS investment opportunites in the future.</w:t>
      </w:r>
    </w:p>
    <w:p>
      <w:pPr>
        <w:spacing w:after="0" w:line="182"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Typically, we purchase our MBS for regular setlement, which occurs only once a month. Accordingly, even when we are able to invest the proceeds of stock issuances in MBS at atractve prices, there may be a temporary delay before we begin to earn investment income.</w:t>
      </w:r>
    </w:p>
    <w:p>
      <w:pPr>
        <w:spacing w:after="0" w:line="168"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We may repurchase our common stock at prices below book value, to the potental disadvantage of selling stockholders</w:t>
      </w:r>
      <w:r>
        <w:rPr>
          <w:rFonts w:ascii="Calibri" w:cs="Calibri" w:eastAsia="Calibri" w:hAnsi="Calibri"/>
          <w:sz w:val="17"/>
          <w:szCs w:val="17"/>
          <w:i w:val="1"/>
          <w:iCs w:val="1"/>
          <w:color w:val="1C4787"/>
        </w:rPr>
        <w:t>.</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only repurchase stock by acceptng unsolicited ofers in open market transactons and only when the market trading price is signifcantly below our current estmate of ARMOUR’s book value per common share. These depressed market trading prices may be temporary as a result of relatvely transient anomalies. Selling stockholders may base their decisions on less sophistcated research and analytcal tools than are available to ARMOUR, and therefore be at a potental disadvantage.</w:t>
      </w:r>
    </w:p>
    <w:p>
      <w:pPr>
        <w:spacing w:after="0" w:line="167"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Signifcant changes in the number of shares outstanding over tme complicate the understanding of periodic per share calculatons</w:t>
      </w:r>
      <w:r>
        <w:rPr>
          <w:rFonts w:ascii="Calibri" w:cs="Calibri" w:eastAsia="Calibri" w:hAnsi="Calibri"/>
          <w:sz w:val="17"/>
          <w:szCs w:val="17"/>
          <w:color w:val="000000"/>
        </w:rPr>
        <w:t>.</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GAAP requires that earnings per share amounts be calculated based on the tme-weighted average number of shares outstanding during each period. The weighted average shares outstanding used in the denominator of each per share calculaton is determined separately for each quarterly and year-to-date period. Therefore, the resultng per share amounts are not additve across periods when the number of shares outstanding is changing signifcantly. GAAP explicitly recognizes this result (“denominator efect”), even though it is ofen not material because the number of shares outstanding ofen remains relatvely constant from period to period.</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regularly report book value per common share, which is calculated as stockholders’ equity atributable to common stockholders (net of liquidaton preferences on preferred stock) divided by the number of shares outstanding. Changes in book value per common share are partally explained by total comprehensive income or loss per share and common per share dividends declared. The residual diference between the beginning and ending book value per share is atributed to the net accretve or dilutve efect of our capital actvites (share issuances and repurchases). Consequently, any denominator efect across tme periods relatng to total comprehensive income or loss per share will result in an equal ofsetng efect in the atributed net accreton or diluton.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1156335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7" w:name="page18"/>
    <w:bookmarkEnd w:id="17"/>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16</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The following tables illustrate these denominator efects for ARMOUR for 2023 and 2022.</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420" w:type="dxa"/>
            <w:vAlign w:val="bottom"/>
            <w:shd w:val="clear" w:color="auto" w:fill="E6EEFF"/>
          </w:tcPr>
          <w:p>
            <w:pPr>
              <w:spacing w:after="0"/>
              <w:rPr>
                <w:sz w:val="18"/>
                <w:szCs w:val="18"/>
                <w:color w:val="auto"/>
              </w:rPr>
            </w:pPr>
          </w:p>
        </w:tc>
        <w:tc>
          <w:tcPr>
            <w:tcW w:w="80" w:type="dxa"/>
            <w:vAlign w:val="bottom"/>
            <w:shd w:val="clear" w:color="auto" w:fill="E6EEFF"/>
          </w:tcPr>
          <w:p>
            <w:pPr>
              <w:spacing w:after="0"/>
              <w:rPr>
                <w:sz w:val="18"/>
                <w:szCs w:val="18"/>
                <w:color w:val="auto"/>
              </w:rPr>
            </w:pPr>
          </w:p>
        </w:tc>
        <w:tc>
          <w:tcPr>
            <w:tcW w:w="280" w:type="dxa"/>
            <w:vAlign w:val="bottom"/>
            <w:shd w:val="clear" w:color="auto" w:fill="E6EEFF"/>
          </w:tcPr>
          <w:p>
            <w:pPr>
              <w:spacing w:after="0"/>
              <w:rPr>
                <w:sz w:val="18"/>
                <w:szCs w:val="18"/>
                <w:color w:val="auto"/>
              </w:rPr>
            </w:pPr>
          </w:p>
        </w:tc>
        <w:tc>
          <w:tcPr>
            <w:tcW w:w="1020" w:type="dxa"/>
            <w:vAlign w:val="bottom"/>
            <w:gridSpan w:val="2"/>
            <w:shd w:val="clear" w:color="auto" w:fill="E6EEFF"/>
          </w:tcPr>
          <w:p>
            <w:pPr>
              <w:jc w:val="center"/>
              <w:ind w:right="380"/>
              <w:spacing w:after="0"/>
              <w:rPr>
                <w:sz w:val="20"/>
                <w:szCs w:val="20"/>
                <w:color w:val="auto"/>
              </w:rPr>
            </w:pPr>
            <w:r>
              <w:rPr>
                <w:rFonts w:ascii="Calibri" w:cs="Calibri" w:eastAsia="Calibri" w:hAnsi="Calibri"/>
                <w:sz w:val="17"/>
                <w:szCs w:val="17"/>
                <w:b w:val="1"/>
                <w:bCs w:val="1"/>
                <w:color w:val="1C4787"/>
                <w:w w:val="98"/>
              </w:rPr>
              <w:t>Q1</w:t>
            </w:r>
          </w:p>
        </w:tc>
        <w:tc>
          <w:tcPr>
            <w:tcW w:w="260" w:type="dxa"/>
            <w:vAlign w:val="bottom"/>
            <w:shd w:val="clear" w:color="auto" w:fill="E6EEFF"/>
          </w:tcPr>
          <w:p>
            <w:pPr>
              <w:spacing w:after="0"/>
              <w:rPr>
                <w:sz w:val="18"/>
                <w:szCs w:val="18"/>
                <w:color w:val="auto"/>
              </w:rPr>
            </w:pPr>
          </w:p>
        </w:tc>
        <w:tc>
          <w:tcPr>
            <w:tcW w:w="1020" w:type="dxa"/>
            <w:vAlign w:val="bottom"/>
            <w:gridSpan w:val="2"/>
            <w:shd w:val="clear" w:color="auto" w:fill="E6EEFF"/>
          </w:tcPr>
          <w:p>
            <w:pPr>
              <w:jc w:val="center"/>
              <w:ind w:right="340"/>
              <w:spacing w:after="0"/>
              <w:rPr>
                <w:sz w:val="20"/>
                <w:szCs w:val="20"/>
                <w:color w:val="auto"/>
              </w:rPr>
            </w:pPr>
            <w:r>
              <w:rPr>
                <w:rFonts w:ascii="Calibri" w:cs="Calibri" w:eastAsia="Calibri" w:hAnsi="Calibri"/>
                <w:sz w:val="17"/>
                <w:szCs w:val="17"/>
                <w:b w:val="1"/>
                <w:bCs w:val="1"/>
                <w:color w:val="1C4787"/>
                <w:w w:val="98"/>
              </w:rPr>
              <w:t>Q2</w:t>
            </w:r>
          </w:p>
        </w:tc>
        <w:tc>
          <w:tcPr>
            <w:tcW w:w="280" w:type="dxa"/>
            <w:vAlign w:val="bottom"/>
            <w:shd w:val="clear" w:color="auto" w:fill="E6EEFF"/>
          </w:tcPr>
          <w:p>
            <w:pPr>
              <w:spacing w:after="0"/>
              <w:rPr>
                <w:sz w:val="18"/>
                <w:szCs w:val="18"/>
                <w:color w:val="auto"/>
              </w:rPr>
            </w:pPr>
          </w:p>
        </w:tc>
        <w:tc>
          <w:tcPr>
            <w:tcW w:w="1020" w:type="dxa"/>
            <w:vAlign w:val="bottom"/>
            <w:gridSpan w:val="2"/>
            <w:shd w:val="clear" w:color="auto" w:fill="E6EEFF"/>
          </w:tcPr>
          <w:p>
            <w:pPr>
              <w:jc w:val="center"/>
              <w:ind w:right="380"/>
              <w:spacing w:after="0"/>
              <w:rPr>
                <w:sz w:val="20"/>
                <w:szCs w:val="20"/>
                <w:color w:val="auto"/>
              </w:rPr>
            </w:pPr>
            <w:r>
              <w:rPr>
                <w:rFonts w:ascii="Calibri" w:cs="Calibri" w:eastAsia="Calibri" w:hAnsi="Calibri"/>
                <w:sz w:val="17"/>
                <w:szCs w:val="17"/>
                <w:b w:val="1"/>
                <w:bCs w:val="1"/>
                <w:color w:val="1C4787"/>
                <w:w w:val="98"/>
              </w:rPr>
              <w:t>Q3</w:t>
            </w:r>
          </w:p>
        </w:tc>
        <w:tc>
          <w:tcPr>
            <w:tcW w:w="260" w:type="dxa"/>
            <w:vAlign w:val="bottom"/>
            <w:shd w:val="clear" w:color="auto" w:fill="E6EEFF"/>
          </w:tcPr>
          <w:p>
            <w:pPr>
              <w:spacing w:after="0"/>
              <w:rPr>
                <w:sz w:val="18"/>
                <w:szCs w:val="18"/>
                <w:color w:val="auto"/>
              </w:rPr>
            </w:pPr>
          </w:p>
        </w:tc>
        <w:tc>
          <w:tcPr>
            <w:tcW w:w="940" w:type="dxa"/>
            <w:vAlign w:val="bottom"/>
            <w:shd w:val="clear" w:color="auto" w:fill="E6EEFF"/>
          </w:tcPr>
          <w:p>
            <w:pPr>
              <w:jc w:val="center"/>
              <w:ind w:right="174"/>
              <w:spacing w:after="0"/>
              <w:rPr>
                <w:sz w:val="20"/>
                <w:szCs w:val="20"/>
                <w:color w:val="auto"/>
              </w:rPr>
            </w:pPr>
            <w:r>
              <w:rPr>
                <w:rFonts w:ascii="Calibri" w:cs="Calibri" w:eastAsia="Calibri" w:hAnsi="Calibri"/>
                <w:sz w:val="17"/>
                <w:szCs w:val="17"/>
                <w:b w:val="1"/>
                <w:bCs w:val="1"/>
                <w:color w:val="1C4787"/>
                <w:w w:val="98"/>
              </w:rPr>
              <w:t>Q4</w:t>
            </w:r>
          </w:p>
        </w:tc>
        <w:tc>
          <w:tcPr>
            <w:tcW w:w="220" w:type="dxa"/>
            <w:vAlign w:val="bottom"/>
            <w:shd w:val="clear" w:color="auto" w:fill="000000"/>
          </w:tcPr>
          <w:p>
            <w:pPr>
              <w:spacing w:after="0"/>
              <w:rPr>
                <w:sz w:val="18"/>
                <w:szCs w:val="18"/>
                <w:color w:val="auto"/>
              </w:rPr>
            </w:pPr>
          </w:p>
        </w:tc>
        <w:tc>
          <w:tcPr>
            <w:tcW w:w="1420" w:type="dxa"/>
            <w:vAlign w:val="bottom"/>
            <w:gridSpan w:val="2"/>
            <w:vMerge w:val="restart"/>
            <w:shd w:val="clear" w:color="auto" w:fill="E6EEFF"/>
          </w:tcPr>
          <w:p>
            <w:pPr>
              <w:ind w:left="40"/>
              <w:spacing w:after="0"/>
              <w:rPr>
                <w:sz w:val="20"/>
                <w:szCs w:val="20"/>
                <w:color w:val="auto"/>
              </w:rPr>
            </w:pPr>
            <w:r>
              <w:rPr>
                <w:rFonts w:ascii="Calibri" w:cs="Calibri" w:eastAsia="Calibri" w:hAnsi="Calibri"/>
                <w:sz w:val="17"/>
                <w:szCs w:val="17"/>
                <w:b w:val="1"/>
                <w:bCs w:val="1"/>
                <w:color w:val="1C4787"/>
                <w:w w:val="99"/>
              </w:rPr>
              <w:t>December 31, 2023</w:t>
            </w:r>
          </w:p>
        </w:tc>
        <w:tc>
          <w:tcPr>
            <w:tcW w:w="0" w:type="dxa"/>
            <w:vAlign w:val="bottom"/>
          </w:tcPr>
          <w:p>
            <w:pPr>
              <w:spacing w:after="0"/>
              <w:rPr>
                <w:sz w:val="1"/>
                <w:szCs w:val="1"/>
                <w:color w:val="auto"/>
              </w:rPr>
            </w:pPr>
          </w:p>
        </w:tc>
      </w:tr>
      <w:tr>
        <w:trPr>
          <w:trHeight w:val="96"/>
        </w:trPr>
        <w:tc>
          <w:tcPr>
            <w:tcW w:w="4420" w:type="dxa"/>
            <w:vAlign w:val="bottom"/>
            <w:shd w:val="clear" w:color="auto" w:fill="E6EEFF"/>
          </w:tcPr>
          <w:p>
            <w:pPr>
              <w:spacing w:after="0"/>
              <w:rPr>
                <w:sz w:val="8"/>
                <w:szCs w:val="8"/>
                <w:color w:val="auto"/>
              </w:rPr>
            </w:pPr>
          </w:p>
        </w:tc>
        <w:tc>
          <w:tcPr>
            <w:tcW w:w="80" w:type="dxa"/>
            <w:vAlign w:val="bottom"/>
            <w:shd w:val="clear" w:color="auto" w:fill="E6EEFF"/>
          </w:tcPr>
          <w:p>
            <w:pPr>
              <w:spacing w:after="0"/>
              <w:rPr>
                <w:sz w:val="8"/>
                <w:szCs w:val="8"/>
                <w:color w:val="auto"/>
              </w:rPr>
            </w:pPr>
          </w:p>
        </w:tc>
        <w:tc>
          <w:tcPr>
            <w:tcW w:w="280" w:type="dxa"/>
            <w:vAlign w:val="bottom"/>
            <w:shd w:val="clear" w:color="auto" w:fill="E6EEFF"/>
          </w:tcPr>
          <w:p>
            <w:pPr>
              <w:spacing w:after="0"/>
              <w:rPr>
                <w:sz w:val="8"/>
                <w:szCs w:val="8"/>
                <w:color w:val="auto"/>
              </w:rPr>
            </w:pPr>
          </w:p>
        </w:tc>
        <w:tc>
          <w:tcPr>
            <w:tcW w:w="920" w:type="dxa"/>
            <w:vAlign w:val="bottom"/>
            <w:vMerge w:val="restart"/>
            <w:shd w:val="clear" w:color="auto" w:fill="E6EEFF"/>
          </w:tcPr>
          <w:p>
            <w:pPr>
              <w:jc w:val="center"/>
              <w:ind w:right="174"/>
              <w:spacing w:after="0" w:line="205" w:lineRule="exact"/>
              <w:rPr>
                <w:sz w:val="20"/>
                <w:szCs w:val="20"/>
                <w:color w:val="auto"/>
              </w:rPr>
            </w:pPr>
            <w:r>
              <w:rPr>
                <w:rFonts w:ascii="Calibri" w:cs="Calibri" w:eastAsia="Calibri" w:hAnsi="Calibri"/>
                <w:sz w:val="17"/>
                <w:szCs w:val="17"/>
                <w:b w:val="1"/>
                <w:bCs w:val="1"/>
                <w:color w:val="1C4787"/>
                <w:w w:val="98"/>
              </w:rPr>
              <w:t>2023</w:t>
            </w:r>
          </w:p>
        </w:tc>
        <w:tc>
          <w:tcPr>
            <w:tcW w:w="100" w:type="dxa"/>
            <w:vAlign w:val="bottom"/>
            <w:shd w:val="clear" w:color="auto" w:fill="E6EEFF"/>
          </w:tcPr>
          <w:p>
            <w:pPr>
              <w:spacing w:after="0"/>
              <w:rPr>
                <w:sz w:val="8"/>
                <w:szCs w:val="8"/>
                <w:color w:val="auto"/>
              </w:rPr>
            </w:pPr>
          </w:p>
        </w:tc>
        <w:tc>
          <w:tcPr>
            <w:tcW w:w="260" w:type="dxa"/>
            <w:vAlign w:val="bottom"/>
            <w:shd w:val="clear" w:color="auto" w:fill="E6EEFF"/>
          </w:tcPr>
          <w:p>
            <w:pPr>
              <w:spacing w:after="0"/>
              <w:rPr>
                <w:sz w:val="8"/>
                <w:szCs w:val="8"/>
                <w:color w:val="auto"/>
              </w:rPr>
            </w:pPr>
          </w:p>
        </w:tc>
        <w:tc>
          <w:tcPr>
            <w:tcW w:w="940" w:type="dxa"/>
            <w:vAlign w:val="bottom"/>
            <w:vMerge w:val="restart"/>
            <w:shd w:val="clear" w:color="auto" w:fill="E6EEFF"/>
          </w:tcPr>
          <w:p>
            <w:pPr>
              <w:jc w:val="center"/>
              <w:ind w:right="194"/>
              <w:spacing w:after="0" w:line="205" w:lineRule="exact"/>
              <w:rPr>
                <w:sz w:val="20"/>
                <w:szCs w:val="20"/>
                <w:color w:val="auto"/>
              </w:rPr>
            </w:pPr>
            <w:r>
              <w:rPr>
                <w:rFonts w:ascii="Calibri" w:cs="Calibri" w:eastAsia="Calibri" w:hAnsi="Calibri"/>
                <w:sz w:val="17"/>
                <w:szCs w:val="17"/>
                <w:b w:val="1"/>
                <w:bCs w:val="1"/>
                <w:color w:val="1C4787"/>
                <w:w w:val="98"/>
              </w:rPr>
              <w:t>2023</w:t>
            </w:r>
          </w:p>
        </w:tc>
        <w:tc>
          <w:tcPr>
            <w:tcW w:w="80" w:type="dxa"/>
            <w:vAlign w:val="bottom"/>
            <w:shd w:val="clear" w:color="auto" w:fill="E6EEFF"/>
          </w:tcPr>
          <w:p>
            <w:pPr>
              <w:spacing w:after="0"/>
              <w:rPr>
                <w:sz w:val="8"/>
                <w:szCs w:val="8"/>
                <w:color w:val="auto"/>
              </w:rPr>
            </w:pPr>
          </w:p>
        </w:tc>
        <w:tc>
          <w:tcPr>
            <w:tcW w:w="280" w:type="dxa"/>
            <w:vAlign w:val="bottom"/>
            <w:shd w:val="clear" w:color="auto" w:fill="E6EEFF"/>
          </w:tcPr>
          <w:p>
            <w:pPr>
              <w:spacing w:after="0"/>
              <w:rPr>
                <w:sz w:val="8"/>
                <w:szCs w:val="8"/>
                <w:color w:val="auto"/>
              </w:rPr>
            </w:pPr>
          </w:p>
        </w:tc>
        <w:tc>
          <w:tcPr>
            <w:tcW w:w="920" w:type="dxa"/>
            <w:vAlign w:val="bottom"/>
            <w:vMerge w:val="restart"/>
            <w:shd w:val="clear" w:color="auto" w:fill="E6EEFF"/>
          </w:tcPr>
          <w:p>
            <w:pPr>
              <w:jc w:val="center"/>
              <w:ind w:right="174"/>
              <w:spacing w:after="0" w:line="205" w:lineRule="exact"/>
              <w:rPr>
                <w:sz w:val="20"/>
                <w:szCs w:val="20"/>
                <w:color w:val="auto"/>
              </w:rPr>
            </w:pPr>
            <w:r>
              <w:rPr>
                <w:rFonts w:ascii="Calibri" w:cs="Calibri" w:eastAsia="Calibri" w:hAnsi="Calibri"/>
                <w:sz w:val="17"/>
                <w:szCs w:val="17"/>
                <w:b w:val="1"/>
                <w:bCs w:val="1"/>
                <w:color w:val="1C4787"/>
                <w:w w:val="98"/>
              </w:rPr>
              <w:t>2023</w:t>
            </w:r>
          </w:p>
        </w:tc>
        <w:tc>
          <w:tcPr>
            <w:tcW w:w="100" w:type="dxa"/>
            <w:vAlign w:val="bottom"/>
            <w:shd w:val="clear" w:color="auto" w:fill="E6EEFF"/>
          </w:tcPr>
          <w:p>
            <w:pPr>
              <w:spacing w:after="0"/>
              <w:rPr>
                <w:sz w:val="8"/>
                <w:szCs w:val="8"/>
                <w:color w:val="auto"/>
              </w:rPr>
            </w:pPr>
          </w:p>
        </w:tc>
        <w:tc>
          <w:tcPr>
            <w:tcW w:w="260" w:type="dxa"/>
            <w:vAlign w:val="bottom"/>
            <w:shd w:val="clear" w:color="auto" w:fill="E6EEFF"/>
          </w:tcPr>
          <w:p>
            <w:pPr>
              <w:spacing w:after="0"/>
              <w:rPr>
                <w:sz w:val="8"/>
                <w:szCs w:val="8"/>
                <w:color w:val="auto"/>
              </w:rPr>
            </w:pPr>
          </w:p>
        </w:tc>
        <w:tc>
          <w:tcPr>
            <w:tcW w:w="940" w:type="dxa"/>
            <w:vAlign w:val="bottom"/>
            <w:vMerge w:val="restart"/>
            <w:shd w:val="clear" w:color="auto" w:fill="E6EEFF"/>
          </w:tcPr>
          <w:p>
            <w:pPr>
              <w:jc w:val="center"/>
              <w:ind w:right="194"/>
              <w:spacing w:after="0" w:line="205" w:lineRule="exact"/>
              <w:rPr>
                <w:sz w:val="20"/>
                <w:szCs w:val="20"/>
                <w:color w:val="auto"/>
              </w:rPr>
            </w:pPr>
            <w:r>
              <w:rPr>
                <w:rFonts w:ascii="Calibri" w:cs="Calibri" w:eastAsia="Calibri" w:hAnsi="Calibri"/>
                <w:sz w:val="17"/>
                <w:szCs w:val="17"/>
                <w:b w:val="1"/>
                <w:bCs w:val="1"/>
                <w:color w:val="1C4787"/>
                <w:w w:val="98"/>
              </w:rPr>
              <w:t>2023</w:t>
            </w:r>
          </w:p>
        </w:tc>
        <w:tc>
          <w:tcPr>
            <w:tcW w:w="220" w:type="dxa"/>
            <w:vAlign w:val="bottom"/>
            <w:shd w:val="clear" w:color="auto" w:fill="000000"/>
          </w:tcPr>
          <w:p>
            <w:pPr>
              <w:spacing w:after="0"/>
              <w:rPr>
                <w:sz w:val="8"/>
                <w:szCs w:val="8"/>
                <w:color w:val="auto"/>
              </w:rPr>
            </w:pPr>
          </w:p>
        </w:tc>
        <w:tc>
          <w:tcPr>
            <w:tcW w:w="1420" w:type="dxa"/>
            <w:vAlign w:val="bottom"/>
            <w:gridSpan w:val="2"/>
            <w:vMerge w:val="continue"/>
            <w:shd w:val="clear" w:color="auto" w:fill="E6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420" w:type="dxa"/>
            <w:vAlign w:val="bottom"/>
            <w:shd w:val="clear" w:color="auto" w:fill="E6EEFF"/>
          </w:tcPr>
          <w:p>
            <w:pPr>
              <w:spacing w:after="0"/>
              <w:rPr>
                <w:sz w:val="12"/>
                <w:szCs w:val="12"/>
                <w:color w:val="auto"/>
              </w:rPr>
            </w:pPr>
          </w:p>
        </w:tc>
        <w:tc>
          <w:tcPr>
            <w:tcW w:w="80" w:type="dxa"/>
            <w:vAlign w:val="bottom"/>
            <w:shd w:val="clear" w:color="auto" w:fill="E6EEFF"/>
          </w:tcPr>
          <w:p>
            <w:pPr>
              <w:spacing w:after="0"/>
              <w:rPr>
                <w:sz w:val="12"/>
                <w:szCs w:val="12"/>
                <w:color w:val="auto"/>
              </w:rPr>
            </w:pPr>
          </w:p>
        </w:tc>
        <w:tc>
          <w:tcPr>
            <w:tcW w:w="280" w:type="dxa"/>
            <w:vAlign w:val="bottom"/>
            <w:tcBorders>
              <w:bottom w:val="single" w:sz="8" w:color="auto"/>
            </w:tcBorders>
            <w:shd w:val="clear" w:color="auto" w:fill="E6EEFF"/>
          </w:tcPr>
          <w:p>
            <w:pPr>
              <w:spacing w:after="0"/>
              <w:rPr>
                <w:sz w:val="12"/>
                <w:szCs w:val="12"/>
                <w:color w:val="auto"/>
              </w:rPr>
            </w:pPr>
          </w:p>
        </w:tc>
        <w:tc>
          <w:tcPr>
            <w:tcW w:w="920" w:type="dxa"/>
            <w:vAlign w:val="bottom"/>
            <w:tcBorders>
              <w:bottom w:val="single" w:sz="8" w:color="auto"/>
            </w:tcBorders>
            <w:vMerge w:val="continue"/>
            <w:shd w:val="clear" w:color="auto" w:fill="E6EEFF"/>
          </w:tcPr>
          <w:p>
            <w:pPr>
              <w:spacing w:after="0"/>
              <w:rPr>
                <w:sz w:val="12"/>
                <w:szCs w:val="12"/>
                <w:color w:val="auto"/>
              </w:rPr>
            </w:pPr>
          </w:p>
        </w:tc>
        <w:tc>
          <w:tcPr>
            <w:tcW w:w="100" w:type="dxa"/>
            <w:vAlign w:val="bottom"/>
            <w:tcBorders>
              <w:bottom w:val="single" w:sz="8" w:color="auto"/>
            </w:tcBorders>
            <w:shd w:val="clear" w:color="auto" w:fill="E6EEFF"/>
          </w:tcPr>
          <w:p>
            <w:pPr>
              <w:spacing w:after="0"/>
              <w:rPr>
                <w:sz w:val="12"/>
                <w:szCs w:val="12"/>
                <w:color w:val="auto"/>
              </w:rPr>
            </w:pPr>
          </w:p>
        </w:tc>
        <w:tc>
          <w:tcPr>
            <w:tcW w:w="260" w:type="dxa"/>
            <w:vAlign w:val="bottom"/>
            <w:tcBorders>
              <w:bottom w:val="single" w:sz="8" w:color="auto"/>
            </w:tcBorders>
            <w:shd w:val="clear" w:color="auto" w:fill="E6EEFF"/>
          </w:tcPr>
          <w:p>
            <w:pPr>
              <w:spacing w:after="0"/>
              <w:rPr>
                <w:sz w:val="12"/>
                <w:szCs w:val="12"/>
                <w:color w:val="auto"/>
              </w:rPr>
            </w:pPr>
          </w:p>
        </w:tc>
        <w:tc>
          <w:tcPr>
            <w:tcW w:w="940" w:type="dxa"/>
            <w:vAlign w:val="bottom"/>
            <w:tcBorders>
              <w:bottom w:val="single" w:sz="8" w:color="auto"/>
            </w:tcBorders>
            <w:vMerge w:val="continue"/>
            <w:shd w:val="clear" w:color="auto" w:fill="E6EEFF"/>
          </w:tcPr>
          <w:p>
            <w:pPr>
              <w:spacing w:after="0"/>
              <w:rPr>
                <w:sz w:val="12"/>
                <w:szCs w:val="12"/>
                <w:color w:val="auto"/>
              </w:rPr>
            </w:pPr>
          </w:p>
        </w:tc>
        <w:tc>
          <w:tcPr>
            <w:tcW w:w="80" w:type="dxa"/>
            <w:vAlign w:val="bottom"/>
            <w:tcBorders>
              <w:bottom w:val="single" w:sz="8" w:color="auto"/>
            </w:tcBorders>
            <w:shd w:val="clear" w:color="auto" w:fill="E6EEFF"/>
          </w:tcPr>
          <w:p>
            <w:pPr>
              <w:spacing w:after="0"/>
              <w:rPr>
                <w:sz w:val="12"/>
                <w:szCs w:val="12"/>
                <w:color w:val="auto"/>
              </w:rPr>
            </w:pPr>
          </w:p>
        </w:tc>
        <w:tc>
          <w:tcPr>
            <w:tcW w:w="280" w:type="dxa"/>
            <w:vAlign w:val="bottom"/>
            <w:tcBorders>
              <w:bottom w:val="single" w:sz="8" w:color="auto"/>
            </w:tcBorders>
            <w:shd w:val="clear" w:color="auto" w:fill="E6EEFF"/>
          </w:tcPr>
          <w:p>
            <w:pPr>
              <w:spacing w:after="0"/>
              <w:rPr>
                <w:sz w:val="12"/>
                <w:szCs w:val="12"/>
                <w:color w:val="auto"/>
              </w:rPr>
            </w:pPr>
          </w:p>
        </w:tc>
        <w:tc>
          <w:tcPr>
            <w:tcW w:w="920" w:type="dxa"/>
            <w:vAlign w:val="bottom"/>
            <w:tcBorders>
              <w:bottom w:val="single" w:sz="8" w:color="auto"/>
            </w:tcBorders>
            <w:vMerge w:val="continue"/>
            <w:shd w:val="clear" w:color="auto" w:fill="E6EEFF"/>
          </w:tcPr>
          <w:p>
            <w:pPr>
              <w:spacing w:after="0"/>
              <w:rPr>
                <w:sz w:val="12"/>
                <w:szCs w:val="12"/>
                <w:color w:val="auto"/>
              </w:rPr>
            </w:pPr>
          </w:p>
        </w:tc>
        <w:tc>
          <w:tcPr>
            <w:tcW w:w="100" w:type="dxa"/>
            <w:vAlign w:val="bottom"/>
            <w:shd w:val="clear" w:color="auto" w:fill="E6EEFF"/>
          </w:tcPr>
          <w:p>
            <w:pPr>
              <w:spacing w:after="0"/>
              <w:rPr>
                <w:sz w:val="12"/>
                <w:szCs w:val="12"/>
                <w:color w:val="auto"/>
              </w:rPr>
            </w:pPr>
          </w:p>
        </w:tc>
        <w:tc>
          <w:tcPr>
            <w:tcW w:w="260" w:type="dxa"/>
            <w:vAlign w:val="bottom"/>
            <w:tcBorders>
              <w:bottom w:val="single" w:sz="8" w:color="auto"/>
            </w:tcBorders>
            <w:shd w:val="clear" w:color="auto" w:fill="E6EEFF"/>
          </w:tcPr>
          <w:p>
            <w:pPr>
              <w:spacing w:after="0"/>
              <w:rPr>
                <w:sz w:val="12"/>
                <w:szCs w:val="12"/>
                <w:color w:val="auto"/>
              </w:rPr>
            </w:pPr>
          </w:p>
        </w:tc>
        <w:tc>
          <w:tcPr>
            <w:tcW w:w="940" w:type="dxa"/>
            <w:vAlign w:val="bottom"/>
            <w:tcBorders>
              <w:bottom w:val="single" w:sz="8" w:color="auto"/>
            </w:tcBorders>
            <w:vMerge w:val="continue"/>
            <w:shd w:val="clear" w:color="auto" w:fill="E6EEFF"/>
          </w:tcPr>
          <w:p>
            <w:pPr>
              <w:spacing w:after="0"/>
              <w:rPr>
                <w:sz w:val="12"/>
                <w:szCs w:val="12"/>
                <w:color w:val="auto"/>
              </w:rPr>
            </w:pPr>
          </w:p>
        </w:tc>
        <w:tc>
          <w:tcPr>
            <w:tcW w:w="220" w:type="dxa"/>
            <w:vAlign w:val="bottom"/>
            <w:tcBorders>
              <w:bottom w:val="single" w:sz="8" w:color="auto"/>
            </w:tcBorders>
            <w:shd w:val="clear" w:color="auto" w:fill="000000"/>
          </w:tcPr>
          <w:p>
            <w:pPr>
              <w:spacing w:after="0"/>
              <w:rPr>
                <w:sz w:val="12"/>
                <w:szCs w:val="12"/>
                <w:color w:val="auto"/>
              </w:rPr>
            </w:pPr>
          </w:p>
        </w:tc>
        <w:tc>
          <w:tcPr>
            <w:tcW w:w="360" w:type="dxa"/>
            <w:vAlign w:val="bottom"/>
            <w:tcBorders>
              <w:bottom w:val="single" w:sz="8" w:color="auto"/>
            </w:tcBorders>
            <w:shd w:val="clear" w:color="auto" w:fill="E6EEFF"/>
          </w:tcPr>
          <w:p>
            <w:pPr>
              <w:spacing w:after="0"/>
              <w:rPr>
                <w:sz w:val="12"/>
                <w:szCs w:val="12"/>
                <w:color w:val="auto"/>
              </w:rPr>
            </w:pPr>
          </w:p>
        </w:tc>
        <w:tc>
          <w:tcPr>
            <w:tcW w:w="1060" w:type="dxa"/>
            <w:vAlign w:val="bottom"/>
            <w:tcBorders>
              <w:bottom w:val="single" w:sz="8" w:color="auto"/>
            </w:tcBorders>
            <w:shd w:val="clear" w:color="auto" w:fill="E6EEFF"/>
          </w:tcPr>
          <w:p>
            <w:pPr>
              <w:jc w:val="right"/>
              <w:ind w:right="577"/>
              <w:spacing w:after="0" w:line="132" w:lineRule="exact"/>
              <w:rPr>
                <w:sz w:val="20"/>
                <w:szCs w:val="20"/>
                <w:color w:val="auto"/>
              </w:rPr>
            </w:pPr>
            <w:r>
              <w:rPr>
                <w:rFonts w:ascii="Calibri" w:cs="Calibri" w:eastAsia="Calibri" w:hAnsi="Calibri"/>
                <w:sz w:val="11"/>
                <w:szCs w:val="11"/>
                <w:b w:val="1"/>
                <w:bCs w:val="1"/>
                <w:color w:val="1C4787"/>
              </w:rPr>
              <w:t>(1)</w:t>
            </w:r>
          </w:p>
        </w:tc>
        <w:tc>
          <w:tcPr>
            <w:tcW w:w="0" w:type="dxa"/>
            <w:vAlign w:val="bottom"/>
          </w:tcPr>
          <w:p>
            <w:pPr>
              <w:spacing w:after="0"/>
              <w:rPr>
                <w:sz w:val="1"/>
                <w:szCs w:val="1"/>
                <w:color w:val="auto"/>
              </w:rPr>
            </w:pPr>
          </w:p>
        </w:tc>
      </w:tr>
      <w:tr>
        <w:trPr>
          <w:trHeight w:val="139"/>
        </w:trPr>
        <w:tc>
          <w:tcPr>
            <w:tcW w:w="4500" w:type="dxa"/>
            <w:vAlign w:val="bottom"/>
            <w:gridSpan w:val="2"/>
          </w:tcPr>
          <w:p>
            <w:pPr>
              <w:ind w:left="20"/>
              <w:spacing w:after="0" w:line="139" w:lineRule="exact"/>
              <w:rPr>
                <w:sz w:val="20"/>
                <w:szCs w:val="20"/>
                <w:color w:val="auto"/>
              </w:rPr>
            </w:pPr>
            <w:r>
              <w:rPr>
                <w:rFonts w:ascii="Calibri" w:cs="Calibri" w:eastAsia="Calibri" w:hAnsi="Calibri"/>
                <w:sz w:val="15"/>
                <w:szCs w:val="15"/>
                <w:color w:val="auto"/>
              </w:rPr>
              <w:t>Comprehensive Income (loss) available (related) to common</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450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stockholders</w:t>
            </w:r>
          </w:p>
        </w:tc>
        <w:tc>
          <w:tcPr>
            <w:tcW w:w="280" w:type="dxa"/>
            <w:vAlign w:val="bottom"/>
          </w:tcPr>
          <w:p>
            <w:pPr>
              <w:jc w:val="right"/>
              <w:ind w:right="74"/>
              <w:spacing w:after="0"/>
              <w:rPr>
                <w:sz w:val="20"/>
                <w:szCs w:val="20"/>
                <w:color w:val="auto"/>
              </w:rPr>
            </w:pPr>
            <w:r>
              <w:rPr>
                <w:rFonts w:ascii="Calibri" w:cs="Calibri" w:eastAsia="Calibri" w:hAnsi="Calibri"/>
                <w:sz w:val="17"/>
                <w:szCs w:val="17"/>
                <w:color w:val="auto"/>
              </w:rPr>
              <w:t>$</w:t>
            </w:r>
          </w:p>
        </w:tc>
        <w:tc>
          <w:tcPr>
            <w:tcW w:w="920" w:type="dxa"/>
            <w:vAlign w:val="bottom"/>
          </w:tcPr>
          <w:p>
            <w:pPr>
              <w:jc w:val="right"/>
              <w:spacing w:after="0"/>
              <w:rPr>
                <w:sz w:val="20"/>
                <w:szCs w:val="20"/>
                <w:color w:val="auto"/>
              </w:rPr>
            </w:pPr>
            <w:r>
              <w:rPr>
                <w:rFonts w:ascii="Calibri" w:cs="Calibri" w:eastAsia="Calibri" w:hAnsi="Calibri"/>
                <w:sz w:val="17"/>
                <w:szCs w:val="17"/>
                <w:color w:val="auto"/>
              </w:rPr>
              <w:t>(22,827)</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Calibri" w:cs="Calibri" w:eastAsia="Calibri" w:hAnsi="Calibri"/>
                <w:sz w:val="17"/>
                <w:szCs w:val="17"/>
                <w:color w:val="auto"/>
                <w:w w:val="92"/>
              </w:rPr>
              <w:t>$</w:t>
            </w:r>
          </w:p>
        </w:tc>
        <w:tc>
          <w:tcPr>
            <w:tcW w:w="940" w:type="dxa"/>
            <w:vAlign w:val="bottom"/>
          </w:tcPr>
          <w:p>
            <w:pPr>
              <w:jc w:val="right"/>
              <w:spacing w:after="0"/>
              <w:rPr>
                <w:sz w:val="20"/>
                <w:szCs w:val="20"/>
                <w:color w:val="auto"/>
              </w:rPr>
            </w:pPr>
            <w:r>
              <w:rPr>
                <w:rFonts w:ascii="Calibri" w:cs="Calibri" w:eastAsia="Calibri" w:hAnsi="Calibri"/>
                <w:sz w:val="17"/>
                <w:szCs w:val="17"/>
                <w:color w:val="auto"/>
              </w:rPr>
              <w:t>39,966</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Calibri" w:cs="Calibri" w:eastAsia="Calibri" w:hAnsi="Calibri"/>
                <w:sz w:val="17"/>
                <w:szCs w:val="17"/>
                <w:color w:val="auto"/>
              </w:rPr>
              <w:t>$</w:t>
            </w:r>
          </w:p>
        </w:tc>
        <w:tc>
          <w:tcPr>
            <w:tcW w:w="920" w:type="dxa"/>
            <w:vAlign w:val="bottom"/>
          </w:tcPr>
          <w:p>
            <w:pPr>
              <w:jc w:val="right"/>
              <w:spacing w:after="0"/>
              <w:rPr>
                <w:sz w:val="20"/>
                <w:szCs w:val="20"/>
                <w:color w:val="auto"/>
              </w:rPr>
            </w:pPr>
            <w:r>
              <w:rPr>
                <w:rFonts w:ascii="Calibri" w:cs="Calibri" w:eastAsia="Calibri" w:hAnsi="Calibri"/>
                <w:sz w:val="17"/>
                <w:szCs w:val="17"/>
                <w:color w:val="auto"/>
              </w:rPr>
              <w:t>(182,163)</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Calibri" w:cs="Calibri" w:eastAsia="Calibri" w:hAnsi="Calibri"/>
                <w:sz w:val="17"/>
                <w:szCs w:val="17"/>
                <w:color w:val="auto"/>
                <w:w w:val="92"/>
              </w:rPr>
              <w:t>$</w:t>
            </w:r>
          </w:p>
        </w:tc>
        <w:tc>
          <w:tcPr>
            <w:tcW w:w="940" w:type="dxa"/>
            <w:vAlign w:val="bottom"/>
          </w:tcPr>
          <w:p>
            <w:pPr>
              <w:jc w:val="right"/>
              <w:spacing w:after="0"/>
              <w:rPr>
                <w:sz w:val="20"/>
                <w:szCs w:val="20"/>
                <w:color w:val="auto"/>
              </w:rPr>
            </w:pPr>
            <w:r>
              <w:rPr>
                <w:rFonts w:ascii="Calibri" w:cs="Calibri" w:eastAsia="Calibri" w:hAnsi="Calibri"/>
                <w:sz w:val="17"/>
                <w:szCs w:val="17"/>
                <w:color w:val="auto"/>
              </w:rPr>
              <w:t>96,646</w:t>
            </w:r>
          </w:p>
        </w:tc>
        <w:tc>
          <w:tcPr>
            <w:tcW w:w="220" w:type="dxa"/>
            <w:vAlign w:val="bottom"/>
            <w:shd w:val="clear" w:color="auto" w:fill="000000"/>
          </w:tcPr>
          <w:p>
            <w:pPr>
              <w:spacing w:after="0"/>
              <w:rPr>
                <w:sz w:val="18"/>
                <w:szCs w:val="18"/>
                <w:color w:val="auto"/>
              </w:rPr>
            </w:pPr>
          </w:p>
        </w:tc>
        <w:tc>
          <w:tcPr>
            <w:tcW w:w="360" w:type="dxa"/>
            <w:vAlign w:val="bottom"/>
          </w:tcPr>
          <w:p>
            <w:pPr>
              <w:ind w:left="20"/>
              <w:spacing w:after="0"/>
              <w:rPr>
                <w:sz w:val="20"/>
                <w:szCs w:val="20"/>
                <w:color w:val="auto"/>
              </w:rPr>
            </w:pPr>
            <w:r>
              <w:rPr>
                <w:rFonts w:ascii="Calibri" w:cs="Calibri" w:eastAsia="Calibri" w:hAnsi="Calibri"/>
                <w:sz w:val="17"/>
                <w:szCs w:val="17"/>
                <w:color w:val="auto"/>
              </w:rPr>
              <w:t>$</w:t>
            </w:r>
          </w:p>
        </w:tc>
        <w:tc>
          <w:tcPr>
            <w:tcW w:w="1060" w:type="dxa"/>
            <w:vAlign w:val="bottom"/>
          </w:tcPr>
          <w:p>
            <w:pPr>
              <w:jc w:val="right"/>
              <w:spacing w:after="0"/>
              <w:rPr>
                <w:sz w:val="20"/>
                <w:szCs w:val="20"/>
                <w:color w:val="auto"/>
              </w:rPr>
            </w:pPr>
            <w:r>
              <w:rPr>
                <w:rFonts w:ascii="Calibri" w:cs="Calibri" w:eastAsia="Calibri" w:hAnsi="Calibri"/>
                <w:sz w:val="17"/>
                <w:szCs w:val="17"/>
                <w:color w:val="auto"/>
              </w:rPr>
              <w:t>(68,378)</w:t>
            </w:r>
          </w:p>
        </w:tc>
        <w:tc>
          <w:tcPr>
            <w:tcW w:w="0" w:type="dxa"/>
            <w:vAlign w:val="bottom"/>
          </w:tcPr>
          <w:p>
            <w:pPr>
              <w:spacing w:after="0"/>
              <w:rPr>
                <w:sz w:val="1"/>
                <w:szCs w:val="1"/>
                <w:color w:val="auto"/>
              </w:rPr>
            </w:pPr>
          </w:p>
        </w:tc>
      </w:tr>
      <w:tr>
        <w:trPr>
          <w:trHeight w:val="22"/>
        </w:trPr>
        <w:tc>
          <w:tcPr>
            <w:tcW w:w="4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500" w:type="dxa"/>
            <w:vAlign w:val="bottom"/>
            <w:gridSpan w:val="2"/>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Weighted average common shares outstanding</w:t>
            </w:r>
          </w:p>
        </w:tc>
        <w:tc>
          <w:tcPr>
            <w:tcW w:w="280" w:type="dxa"/>
            <w:vAlign w:val="bottom"/>
            <w:tcBorders>
              <w:bottom w:val="single" w:sz="8" w:color="auto"/>
            </w:tcBorders>
            <w:shd w:val="clear" w:color="auto" w:fill="E6EEFF"/>
          </w:tcPr>
          <w:p>
            <w:pPr>
              <w:spacing w:after="0"/>
              <w:rPr>
                <w:sz w:val="18"/>
                <w:szCs w:val="18"/>
                <w:color w:val="auto"/>
              </w:rPr>
            </w:pPr>
          </w:p>
        </w:tc>
        <w:tc>
          <w:tcPr>
            <w:tcW w:w="9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36,917</w:t>
            </w:r>
          </w:p>
        </w:tc>
        <w:tc>
          <w:tcPr>
            <w:tcW w:w="100" w:type="dxa"/>
            <w:vAlign w:val="bottom"/>
            <w:shd w:val="clear" w:color="auto" w:fill="E6EEFF"/>
          </w:tcPr>
          <w:p>
            <w:pPr>
              <w:spacing w:after="0"/>
              <w:rPr>
                <w:sz w:val="18"/>
                <w:szCs w:val="18"/>
                <w:color w:val="auto"/>
              </w:rPr>
            </w:pPr>
          </w:p>
        </w:tc>
        <w:tc>
          <w:tcPr>
            <w:tcW w:w="260" w:type="dxa"/>
            <w:vAlign w:val="bottom"/>
            <w:tcBorders>
              <w:bottom w:val="single" w:sz="8" w:color="auto"/>
            </w:tcBorders>
            <w:shd w:val="clear" w:color="auto" w:fill="E6EEFF"/>
          </w:tcPr>
          <w:p>
            <w:pPr>
              <w:spacing w:after="0"/>
              <w:rPr>
                <w:sz w:val="18"/>
                <w:szCs w:val="18"/>
                <w:color w:val="auto"/>
              </w:rPr>
            </w:pP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40,076</w:t>
            </w:r>
          </w:p>
        </w:tc>
        <w:tc>
          <w:tcPr>
            <w:tcW w:w="80" w:type="dxa"/>
            <w:vAlign w:val="bottom"/>
            <w:shd w:val="clear" w:color="auto" w:fill="E6EEFF"/>
          </w:tcPr>
          <w:p>
            <w:pPr>
              <w:spacing w:after="0"/>
              <w:rPr>
                <w:sz w:val="18"/>
                <w:szCs w:val="18"/>
                <w:color w:val="auto"/>
              </w:rPr>
            </w:pPr>
          </w:p>
        </w:tc>
        <w:tc>
          <w:tcPr>
            <w:tcW w:w="280" w:type="dxa"/>
            <w:vAlign w:val="bottom"/>
            <w:tcBorders>
              <w:bottom w:val="single" w:sz="8" w:color="auto"/>
            </w:tcBorders>
            <w:shd w:val="clear" w:color="auto" w:fill="E6EEFF"/>
          </w:tcPr>
          <w:p>
            <w:pPr>
              <w:spacing w:after="0"/>
              <w:rPr>
                <w:sz w:val="18"/>
                <w:szCs w:val="18"/>
                <w:color w:val="auto"/>
              </w:rPr>
            </w:pPr>
          </w:p>
        </w:tc>
        <w:tc>
          <w:tcPr>
            <w:tcW w:w="9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46,506</w:t>
            </w:r>
          </w:p>
        </w:tc>
        <w:tc>
          <w:tcPr>
            <w:tcW w:w="100" w:type="dxa"/>
            <w:vAlign w:val="bottom"/>
            <w:shd w:val="clear" w:color="auto" w:fill="E6EEFF"/>
          </w:tcPr>
          <w:p>
            <w:pPr>
              <w:spacing w:after="0"/>
              <w:rPr>
                <w:sz w:val="18"/>
                <w:szCs w:val="18"/>
                <w:color w:val="auto"/>
              </w:rPr>
            </w:pPr>
          </w:p>
        </w:tc>
        <w:tc>
          <w:tcPr>
            <w:tcW w:w="260" w:type="dxa"/>
            <w:vAlign w:val="bottom"/>
            <w:tcBorders>
              <w:bottom w:val="single" w:sz="8" w:color="auto"/>
            </w:tcBorders>
            <w:shd w:val="clear" w:color="auto" w:fill="E6EEFF"/>
          </w:tcPr>
          <w:p>
            <w:pPr>
              <w:spacing w:after="0"/>
              <w:rPr>
                <w:sz w:val="18"/>
                <w:szCs w:val="18"/>
                <w:color w:val="auto"/>
              </w:rPr>
            </w:pP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49,185</w:t>
            </w:r>
          </w:p>
        </w:tc>
        <w:tc>
          <w:tcPr>
            <w:tcW w:w="220" w:type="dxa"/>
            <w:vAlign w:val="bottom"/>
            <w:tcBorders>
              <w:bottom w:val="single" w:sz="8" w:color="auto"/>
            </w:tcBorders>
            <w:shd w:val="clear" w:color="auto" w:fill="000000"/>
          </w:tcPr>
          <w:p>
            <w:pPr>
              <w:spacing w:after="0"/>
              <w:rPr>
                <w:sz w:val="18"/>
                <w:szCs w:val="18"/>
                <w:color w:val="auto"/>
              </w:rPr>
            </w:pPr>
          </w:p>
        </w:tc>
        <w:tc>
          <w:tcPr>
            <w:tcW w:w="360" w:type="dxa"/>
            <w:vAlign w:val="bottom"/>
            <w:tcBorders>
              <w:bottom w:val="single" w:sz="8" w:color="auto"/>
            </w:tcBorders>
            <w:shd w:val="clear" w:color="auto" w:fill="E6EEFF"/>
          </w:tcPr>
          <w:p>
            <w:pPr>
              <w:spacing w:after="0"/>
              <w:rPr>
                <w:sz w:val="18"/>
                <w:szCs w:val="18"/>
                <w:color w:val="auto"/>
              </w:rPr>
            </w:pPr>
          </w:p>
        </w:tc>
        <w:tc>
          <w:tcPr>
            <w:tcW w:w="10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43,054</w:t>
            </w:r>
          </w:p>
        </w:tc>
        <w:tc>
          <w:tcPr>
            <w:tcW w:w="0" w:type="dxa"/>
            <w:vAlign w:val="bottom"/>
          </w:tcPr>
          <w:p>
            <w:pPr>
              <w:spacing w:after="0"/>
              <w:rPr>
                <w:sz w:val="1"/>
                <w:szCs w:val="1"/>
                <w:color w:val="auto"/>
              </w:rPr>
            </w:pPr>
          </w:p>
        </w:tc>
      </w:tr>
      <w:tr>
        <w:trPr>
          <w:trHeight w:val="219"/>
        </w:trPr>
        <w:tc>
          <w:tcPr>
            <w:tcW w:w="4500" w:type="dxa"/>
            <w:vAlign w:val="bottom"/>
            <w:gridSpan w:val="2"/>
          </w:tcPr>
          <w:p>
            <w:pPr>
              <w:ind w:left="20"/>
              <w:spacing w:after="0"/>
              <w:rPr>
                <w:sz w:val="20"/>
                <w:szCs w:val="20"/>
                <w:color w:val="auto"/>
              </w:rPr>
            </w:pPr>
            <w:r>
              <w:rPr>
                <w:rFonts w:ascii="Calibri" w:cs="Calibri" w:eastAsia="Calibri" w:hAnsi="Calibri"/>
                <w:sz w:val="17"/>
                <w:szCs w:val="17"/>
                <w:color w:val="auto"/>
              </w:rPr>
              <w:t>Comprehensive Income (loss) per common share</w:t>
            </w:r>
          </w:p>
        </w:tc>
        <w:tc>
          <w:tcPr>
            <w:tcW w:w="280" w:type="dxa"/>
            <w:vAlign w:val="bottom"/>
            <w:tcBorders>
              <w:bottom w:val="single" w:sz="8" w:color="auto"/>
            </w:tcBorders>
          </w:tcPr>
          <w:p>
            <w:pPr>
              <w:jc w:val="right"/>
              <w:ind w:right="7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(0.60)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1.00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(3.92)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1.96</w:t>
            </w:r>
          </w:p>
        </w:tc>
        <w:tc>
          <w:tcPr>
            <w:tcW w:w="220" w:type="dxa"/>
            <w:vAlign w:val="bottom"/>
            <w:tcBorders>
              <w:bottom w:val="single" w:sz="8" w:color="auto"/>
            </w:tcBorders>
            <w:shd w:val="clear" w:color="auto" w:fill="000000"/>
          </w:tcPr>
          <w:p>
            <w:pPr>
              <w:spacing w:after="0"/>
              <w:rPr>
                <w:sz w:val="19"/>
                <w:szCs w:val="19"/>
                <w:color w:val="auto"/>
              </w:rPr>
            </w:pPr>
          </w:p>
        </w:tc>
        <w:tc>
          <w:tcPr>
            <w:tcW w:w="36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w:t>
            </w:r>
          </w:p>
        </w:tc>
        <w:tc>
          <w:tcPr>
            <w:tcW w:w="10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(1.59)</w:t>
            </w:r>
          </w:p>
        </w:tc>
        <w:tc>
          <w:tcPr>
            <w:tcW w:w="0" w:type="dxa"/>
            <w:vAlign w:val="bottom"/>
          </w:tcPr>
          <w:p>
            <w:pPr>
              <w:spacing w:after="0"/>
              <w:rPr>
                <w:sz w:val="1"/>
                <w:szCs w:val="1"/>
                <w:color w:val="auto"/>
              </w:rPr>
            </w:pPr>
          </w:p>
        </w:tc>
      </w:tr>
      <w:tr>
        <w:trPr>
          <w:trHeight w:val="20"/>
        </w:trPr>
        <w:tc>
          <w:tcPr>
            <w:tcW w:w="4420" w:type="dxa"/>
            <w:vAlign w:val="bottom"/>
            <w:tcBorders>
              <w:bottom w:val="single" w:sz="8" w:color="E6EEFF"/>
            </w:tcBorders>
          </w:tcPr>
          <w:p>
            <w:pPr>
              <w:spacing w:after="0" w:line="20" w:lineRule="exact"/>
              <w:rPr>
                <w:sz w:val="1"/>
                <w:szCs w:val="1"/>
                <w:color w:val="auto"/>
              </w:rPr>
            </w:pPr>
          </w:p>
        </w:tc>
        <w:tc>
          <w:tcPr>
            <w:tcW w:w="80" w:type="dxa"/>
            <w:vAlign w:val="bottom"/>
            <w:tcBorders>
              <w:bottom w:val="single" w:sz="8" w:color="E6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420" w:type="dxa"/>
            <w:vAlign w:val="bottom"/>
            <w:shd w:val="clear" w:color="auto" w:fill="E6EEFF"/>
          </w:tcPr>
          <w:p>
            <w:pPr>
              <w:spacing w:after="0"/>
              <w:rPr>
                <w:sz w:val="9"/>
                <w:szCs w:val="9"/>
                <w:color w:val="auto"/>
              </w:rPr>
            </w:pPr>
          </w:p>
        </w:tc>
        <w:tc>
          <w:tcPr>
            <w:tcW w:w="80" w:type="dxa"/>
            <w:vAlign w:val="bottom"/>
            <w:shd w:val="clear" w:color="auto" w:fill="E6EEFF"/>
          </w:tcPr>
          <w:p>
            <w:pPr>
              <w:spacing w:after="0"/>
              <w:rPr>
                <w:sz w:val="9"/>
                <w:szCs w:val="9"/>
                <w:color w:val="auto"/>
              </w:rPr>
            </w:pPr>
          </w:p>
        </w:tc>
        <w:tc>
          <w:tcPr>
            <w:tcW w:w="280" w:type="dxa"/>
            <w:vAlign w:val="bottom"/>
            <w:shd w:val="clear" w:color="auto" w:fill="E6EEFF"/>
          </w:tcPr>
          <w:p>
            <w:pPr>
              <w:spacing w:after="0"/>
              <w:rPr>
                <w:sz w:val="9"/>
                <w:szCs w:val="9"/>
                <w:color w:val="auto"/>
              </w:rPr>
            </w:pPr>
          </w:p>
        </w:tc>
        <w:tc>
          <w:tcPr>
            <w:tcW w:w="920" w:type="dxa"/>
            <w:vAlign w:val="bottom"/>
            <w:shd w:val="clear" w:color="auto" w:fill="E6EEFF"/>
          </w:tcPr>
          <w:p>
            <w:pPr>
              <w:spacing w:after="0"/>
              <w:rPr>
                <w:sz w:val="9"/>
                <w:szCs w:val="9"/>
                <w:color w:val="auto"/>
              </w:rPr>
            </w:pPr>
          </w:p>
        </w:tc>
        <w:tc>
          <w:tcPr>
            <w:tcW w:w="100" w:type="dxa"/>
            <w:vAlign w:val="bottom"/>
            <w:shd w:val="clear" w:color="auto" w:fill="E6EEFF"/>
          </w:tcPr>
          <w:p>
            <w:pPr>
              <w:spacing w:after="0"/>
              <w:rPr>
                <w:sz w:val="9"/>
                <w:szCs w:val="9"/>
                <w:color w:val="auto"/>
              </w:rPr>
            </w:pPr>
          </w:p>
        </w:tc>
        <w:tc>
          <w:tcPr>
            <w:tcW w:w="260" w:type="dxa"/>
            <w:vAlign w:val="bottom"/>
            <w:shd w:val="clear" w:color="auto" w:fill="E6EEFF"/>
          </w:tcPr>
          <w:p>
            <w:pPr>
              <w:spacing w:after="0"/>
              <w:rPr>
                <w:sz w:val="9"/>
                <w:szCs w:val="9"/>
                <w:color w:val="auto"/>
              </w:rPr>
            </w:pPr>
          </w:p>
        </w:tc>
        <w:tc>
          <w:tcPr>
            <w:tcW w:w="940" w:type="dxa"/>
            <w:vAlign w:val="bottom"/>
            <w:shd w:val="clear" w:color="auto" w:fill="E6EEFF"/>
          </w:tcPr>
          <w:p>
            <w:pPr>
              <w:spacing w:after="0"/>
              <w:rPr>
                <w:sz w:val="9"/>
                <w:szCs w:val="9"/>
                <w:color w:val="auto"/>
              </w:rPr>
            </w:pPr>
          </w:p>
        </w:tc>
        <w:tc>
          <w:tcPr>
            <w:tcW w:w="80" w:type="dxa"/>
            <w:vAlign w:val="bottom"/>
            <w:shd w:val="clear" w:color="auto" w:fill="E6EEFF"/>
          </w:tcPr>
          <w:p>
            <w:pPr>
              <w:spacing w:after="0"/>
              <w:rPr>
                <w:sz w:val="9"/>
                <w:szCs w:val="9"/>
                <w:color w:val="auto"/>
              </w:rPr>
            </w:pPr>
          </w:p>
        </w:tc>
        <w:tc>
          <w:tcPr>
            <w:tcW w:w="280" w:type="dxa"/>
            <w:vAlign w:val="bottom"/>
            <w:shd w:val="clear" w:color="auto" w:fill="E6EEFF"/>
          </w:tcPr>
          <w:p>
            <w:pPr>
              <w:spacing w:after="0"/>
              <w:rPr>
                <w:sz w:val="9"/>
                <w:szCs w:val="9"/>
                <w:color w:val="auto"/>
              </w:rPr>
            </w:pPr>
          </w:p>
        </w:tc>
        <w:tc>
          <w:tcPr>
            <w:tcW w:w="920" w:type="dxa"/>
            <w:vAlign w:val="bottom"/>
            <w:shd w:val="clear" w:color="auto" w:fill="E6EEFF"/>
          </w:tcPr>
          <w:p>
            <w:pPr>
              <w:spacing w:after="0"/>
              <w:rPr>
                <w:sz w:val="9"/>
                <w:szCs w:val="9"/>
                <w:color w:val="auto"/>
              </w:rPr>
            </w:pPr>
          </w:p>
        </w:tc>
        <w:tc>
          <w:tcPr>
            <w:tcW w:w="100" w:type="dxa"/>
            <w:vAlign w:val="bottom"/>
            <w:shd w:val="clear" w:color="auto" w:fill="E6EEFF"/>
          </w:tcPr>
          <w:p>
            <w:pPr>
              <w:spacing w:after="0"/>
              <w:rPr>
                <w:sz w:val="9"/>
                <w:szCs w:val="9"/>
                <w:color w:val="auto"/>
              </w:rPr>
            </w:pPr>
          </w:p>
        </w:tc>
        <w:tc>
          <w:tcPr>
            <w:tcW w:w="260" w:type="dxa"/>
            <w:vAlign w:val="bottom"/>
            <w:shd w:val="clear" w:color="auto" w:fill="E6EEFF"/>
          </w:tcPr>
          <w:p>
            <w:pPr>
              <w:spacing w:after="0"/>
              <w:rPr>
                <w:sz w:val="9"/>
                <w:szCs w:val="9"/>
                <w:color w:val="auto"/>
              </w:rPr>
            </w:pPr>
          </w:p>
        </w:tc>
        <w:tc>
          <w:tcPr>
            <w:tcW w:w="940" w:type="dxa"/>
            <w:vAlign w:val="bottom"/>
            <w:shd w:val="clear" w:color="auto" w:fill="E6EEFF"/>
          </w:tcPr>
          <w:p>
            <w:pPr>
              <w:spacing w:after="0"/>
              <w:rPr>
                <w:sz w:val="9"/>
                <w:szCs w:val="9"/>
                <w:color w:val="auto"/>
              </w:rPr>
            </w:pPr>
          </w:p>
        </w:tc>
        <w:tc>
          <w:tcPr>
            <w:tcW w:w="220" w:type="dxa"/>
            <w:vAlign w:val="bottom"/>
            <w:vMerge w:val="restart"/>
            <w:shd w:val="clear" w:color="auto" w:fill="000000"/>
          </w:tcPr>
          <w:p>
            <w:pPr>
              <w:spacing w:after="0"/>
              <w:rPr>
                <w:sz w:val="9"/>
                <w:szCs w:val="9"/>
                <w:color w:val="auto"/>
              </w:rPr>
            </w:pPr>
          </w:p>
        </w:tc>
        <w:tc>
          <w:tcPr>
            <w:tcW w:w="360" w:type="dxa"/>
            <w:vAlign w:val="bottom"/>
            <w:shd w:val="clear" w:color="auto" w:fill="E6EEFF"/>
          </w:tcPr>
          <w:p>
            <w:pPr>
              <w:spacing w:after="0"/>
              <w:rPr>
                <w:sz w:val="9"/>
                <w:szCs w:val="9"/>
                <w:color w:val="auto"/>
              </w:rPr>
            </w:pPr>
          </w:p>
        </w:tc>
        <w:tc>
          <w:tcPr>
            <w:tcW w:w="1060" w:type="dxa"/>
            <w:vAlign w:val="bottom"/>
            <w:shd w:val="clear" w:color="auto" w:fill="E6EEFF"/>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Beginning Book Value per Common Share</w:t>
            </w:r>
          </w:p>
        </w:tc>
        <w:tc>
          <w:tcPr>
            <w:tcW w:w="280" w:type="dxa"/>
            <w:vAlign w:val="bottom"/>
          </w:tcPr>
          <w:p>
            <w:pPr>
              <w:jc w:val="right"/>
              <w:ind w:right="7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28.90</w:t>
            </w:r>
          </w:p>
        </w:tc>
        <w:tc>
          <w:tcPr>
            <w:tcW w:w="100" w:type="dxa"/>
            <w:vAlign w:val="bottom"/>
          </w:tcPr>
          <w:p>
            <w:pPr>
              <w:spacing w:after="0"/>
              <w:rPr>
                <w:sz w:val="18"/>
                <w:szCs w:val="18"/>
                <w:color w:val="auto"/>
              </w:rPr>
            </w:pPr>
          </w:p>
        </w:tc>
        <w:tc>
          <w:tcPr>
            <w:tcW w:w="260" w:type="dxa"/>
            <w:vAlign w:val="bottom"/>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27.20</w:t>
            </w:r>
          </w:p>
        </w:tc>
        <w:tc>
          <w:tcPr>
            <w:tcW w:w="80" w:type="dxa"/>
            <w:vAlign w:val="bottom"/>
          </w:tcPr>
          <w:p>
            <w:pPr>
              <w:spacing w:after="0"/>
              <w:rPr>
                <w:sz w:val="18"/>
                <w:szCs w:val="18"/>
                <w:color w:val="auto"/>
              </w:rPr>
            </w:pPr>
          </w:p>
        </w:tc>
        <w:tc>
          <w:tcPr>
            <w:tcW w:w="280" w:type="dxa"/>
            <w:vAlign w:val="bottom"/>
          </w:tcPr>
          <w:p>
            <w:pPr>
              <w:jc w:val="right"/>
              <w:ind w:right="7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26.90</w:t>
            </w:r>
          </w:p>
        </w:tc>
        <w:tc>
          <w:tcPr>
            <w:tcW w:w="100" w:type="dxa"/>
            <w:vAlign w:val="bottom"/>
          </w:tcPr>
          <w:p>
            <w:pPr>
              <w:spacing w:after="0"/>
              <w:rPr>
                <w:sz w:val="18"/>
                <w:szCs w:val="18"/>
                <w:color w:val="auto"/>
              </w:rPr>
            </w:pPr>
          </w:p>
        </w:tc>
        <w:tc>
          <w:tcPr>
            <w:tcW w:w="260" w:type="dxa"/>
            <w:vAlign w:val="bottom"/>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21.73</w:t>
            </w:r>
          </w:p>
        </w:tc>
        <w:tc>
          <w:tcPr>
            <w:tcW w:w="220" w:type="dxa"/>
            <w:vAlign w:val="bottom"/>
            <w:vMerge w:val="continue"/>
            <w:shd w:val="clear" w:color="auto" w:fill="000000"/>
          </w:tcPr>
          <w:p>
            <w:pPr>
              <w:spacing w:after="0"/>
              <w:rPr>
                <w:sz w:val="18"/>
                <w:szCs w:val="18"/>
                <w:color w:val="auto"/>
              </w:rPr>
            </w:pPr>
          </w:p>
        </w:tc>
        <w:tc>
          <w:tcPr>
            <w:tcW w:w="360" w:type="dxa"/>
            <w:vAlign w:val="bottom"/>
          </w:tcPr>
          <w:p>
            <w:pPr>
              <w:ind w:left="20"/>
              <w:spacing w:after="0" w:line="205" w:lineRule="exact"/>
              <w:rPr>
                <w:sz w:val="20"/>
                <w:szCs w:val="20"/>
                <w:color w:val="auto"/>
              </w:rPr>
            </w:pPr>
            <w:r>
              <w:rPr>
                <w:rFonts w:ascii="Calibri" w:cs="Calibri" w:eastAsia="Calibri" w:hAnsi="Calibri"/>
                <w:sz w:val="17"/>
                <w:szCs w:val="17"/>
                <w:color w:val="auto"/>
              </w:rPr>
              <w:t>$</w:t>
            </w:r>
          </w:p>
        </w:tc>
        <w:tc>
          <w:tcPr>
            <w:tcW w:w="1060" w:type="dxa"/>
            <w:vAlign w:val="bottom"/>
          </w:tcPr>
          <w:p>
            <w:pPr>
              <w:jc w:val="right"/>
              <w:spacing w:after="0" w:line="205" w:lineRule="exact"/>
              <w:rPr>
                <w:sz w:val="20"/>
                <w:szCs w:val="20"/>
                <w:color w:val="auto"/>
              </w:rPr>
            </w:pPr>
            <w:r>
              <w:rPr>
                <w:rFonts w:ascii="Calibri" w:cs="Calibri" w:eastAsia="Calibri" w:hAnsi="Calibri"/>
                <w:sz w:val="17"/>
                <w:szCs w:val="17"/>
                <w:color w:val="auto"/>
              </w:rPr>
              <w:t>28.90</w:t>
            </w:r>
          </w:p>
        </w:tc>
        <w:tc>
          <w:tcPr>
            <w:tcW w:w="0" w:type="dxa"/>
            <w:vAlign w:val="bottom"/>
          </w:tcPr>
          <w:p>
            <w:pPr>
              <w:spacing w:after="0"/>
              <w:rPr>
                <w:sz w:val="1"/>
                <w:szCs w:val="1"/>
                <w:color w:val="auto"/>
              </w:rPr>
            </w:pPr>
          </w:p>
        </w:tc>
      </w:tr>
      <w:tr>
        <w:trPr>
          <w:trHeight w:val="226"/>
        </w:trPr>
        <w:tc>
          <w:tcPr>
            <w:tcW w:w="450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Comprehensive Income (loss) per common share</w:t>
            </w:r>
          </w:p>
        </w:tc>
        <w:tc>
          <w:tcPr>
            <w:tcW w:w="280" w:type="dxa"/>
            <w:vAlign w:val="bottom"/>
            <w:shd w:val="clear" w:color="auto" w:fill="E6EEFF"/>
          </w:tcPr>
          <w:p>
            <w:pPr>
              <w:spacing w:after="0"/>
              <w:rPr>
                <w:sz w:val="19"/>
                <w:szCs w:val="19"/>
                <w:color w:val="auto"/>
              </w:rPr>
            </w:pPr>
          </w:p>
        </w:tc>
        <w:tc>
          <w:tcPr>
            <w:tcW w:w="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(0.60)</w:t>
            </w:r>
          </w:p>
        </w:tc>
        <w:tc>
          <w:tcPr>
            <w:tcW w:w="100" w:type="dxa"/>
            <w:vAlign w:val="bottom"/>
            <w:shd w:val="clear" w:color="auto" w:fill="E6EEFF"/>
          </w:tcPr>
          <w:p>
            <w:pPr>
              <w:spacing w:after="0"/>
              <w:rPr>
                <w:sz w:val="19"/>
                <w:szCs w:val="19"/>
                <w:color w:val="auto"/>
              </w:rPr>
            </w:pPr>
          </w:p>
        </w:tc>
        <w:tc>
          <w:tcPr>
            <w:tcW w:w="260" w:type="dxa"/>
            <w:vAlign w:val="bottom"/>
            <w:shd w:val="clear" w:color="auto" w:fill="E6EEFF"/>
          </w:tcPr>
          <w:p>
            <w:pPr>
              <w:spacing w:after="0"/>
              <w:rPr>
                <w:sz w:val="19"/>
                <w:szCs w:val="19"/>
                <w:color w:val="auto"/>
              </w:rPr>
            </w:pPr>
          </w:p>
        </w:tc>
        <w:tc>
          <w:tcPr>
            <w:tcW w:w="9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1.00</w:t>
            </w:r>
          </w:p>
        </w:tc>
        <w:tc>
          <w:tcPr>
            <w:tcW w:w="80" w:type="dxa"/>
            <w:vAlign w:val="bottom"/>
            <w:shd w:val="clear" w:color="auto" w:fill="E6EEFF"/>
          </w:tcPr>
          <w:p>
            <w:pPr>
              <w:spacing w:after="0"/>
              <w:rPr>
                <w:sz w:val="19"/>
                <w:szCs w:val="19"/>
                <w:color w:val="auto"/>
              </w:rPr>
            </w:pPr>
          </w:p>
        </w:tc>
        <w:tc>
          <w:tcPr>
            <w:tcW w:w="280" w:type="dxa"/>
            <w:vAlign w:val="bottom"/>
            <w:shd w:val="clear" w:color="auto" w:fill="E6EEFF"/>
          </w:tcPr>
          <w:p>
            <w:pPr>
              <w:spacing w:after="0"/>
              <w:rPr>
                <w:sz w:val="19"/>
                <w:szCs w:val="19"/>
                <w:color w:val="auto"/>
              </w:rPr>
            </w:pPr>
          </w:p>
        </w:tc>
        <w:tc>
          <w:tcPr>
            <w:tcW w:w="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(3.92)</w:t>
            </w:r>
          </w:p>
        </w:tc>
        <w:tc>
          <w:tcPr>
            <w:tcW w:w="100" w:type="dxa"/>
            <w:vAlign w:val="bottom"/>
            <w:shd w:val="clear" w:color="auto" w:fill="E6EEFF"/>
          </w:tcPr>
          <w:p>
            <w:pPr>
              <w:spacing w:after="0"/>
              <w:rPr>
                <w:sz w:val="19"/>
                <w:szCs w:val="19"/>
                <w:color w:val="auto"/>
              </w:rPr>
            </w:pPr>
          </w:p>
        </w:tc>
        <w:tc>
          <w:tcPr>
            <w:tcW w:w="260" w:type="dxa"/>
            <w:vAlign w:val="bottom"/>
            <w:shd w:val="clear" w:color="auto" w:fill="E6EEFF"/>
          </w:tcPr>
          <w:p>
            <w:pPr>
              <w:spacing w:after="0"/>
              <w:rPr>
                <w:sz w:val="19"/>
                <w:szCs w:val="19"/>
                <w:color w:val="auto"/>
              </w:rPr>
            </w:pPr>
          </w:p>
        </w:tc>
        <w:tc>
          <w:tcPr>
            <w:tcW w:w="9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1.96</w:t>
            </w:r>
          </w:p>
        </w:tc>
        <w:tc>
          <w:tcPr>
            <w:tcW w:w="220" w:type="dxa"/>
            <w:vAlign w:val="bottom"/>
            <w:shd w:val="clear" w:color="auto" w:fill="000000"/>
          </w:tcPr>
          <w:p>
            <w:pPr>
              <w:spacing w:after="0"/>
              <w:rPr>
                <w:sz w:val="19"/>
                <w:szCs w:val="19"/>
                <w:color w:val="auto"/>
              </w:rPr>
            </w:pPr>
          </w:p>
        </w:tc>
        <w:tc>
          <w:tcPr>
            <w:tcW w:w="360" w:type="dxa"/>
            <w:vAlign w:val="bottom"/>
            <w:shd w:val="clear" w:color="auto" w:fill="E6EEFF"/>
          </w:tcPr>
          <w:p>
            <w:pPr>
              <w:spacing w:after="0"/>
              <w:rPr>
                <w:sz w:val="19"/>
                <w:szCs w:val="19"/>
                <w:color w:val="auto"/>
              </w:rPr>
            </w:pPr>
          </w:p>
        </w:tc>
        <w:tc>
          <w:tcPr>
            <w:tcW w:w="10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(1.59)</w:t>
            </w:r>
          </w:p>
        </w:tc>
        <w:tc>
          <w:tcPr>
            <w:tcW w:w="0" w:type="dxa"/>
            <w:vAlign w:val="bottom"/>
          </w:tcPr>
          <w:p>
            <w:pPr>
              <w:spacing w:after="0"/>
              <w:rPr>
                <w:sz w:val="1"/>
                <w:szCs w:val="1"/>
                <w:color w:val="auto"/>
              </w:rPr>
            </w:pPr>
          </w:p>
        </w:tc>
      </w:tr>
      <w:tr>
        <w:trPr>
          <w:trHeight w:val="212"/>
        </w:trPr>
        <w:tc>
          <w:tcPr>
            <w:tcW w:w="450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Dividends Declared per common Share</w:t>
            </w:r>
          </w:p>
        </w:tc>
        <w:tc>
          <w:tcPr>
            <w:tcW w:w="280" w:type="dxa"/>
            <w:vAlign w:val="bottom"/>
          </w:tcPr>
          <w:p>
            <w:pPr>
              <w:spacing w:after="0"/>
              <w:rPr>
                <w:sz w:val="18"/>
                <w:szCs w:val="18"/>
                <w:color w:val="auto"/>
              </w:rPr>
            </w:pP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(1.40)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(1.20)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(1.20)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(1.20)</w:t>
            </w:r>
          </w:p>
        </w:tc>
        <w:tc>
          <w:tcPr>
            <w:tcW w:w="220" w:type="dxa"/>
            <w:vAlign w:val="bottom"/>
            <w:shd w:val="clear" w:color="auto" w:fill="000000"/>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line="205" w:lineRule="exact"/>
              <w:rPr>
                <w:sz w:val="20"/>
                <w:szCs w:val="20"/>
                <w:color w:val="auto"/>
              </w:rPr>
            </w:pPr>
            <w:r>
              <w:rPr>
                <w:rFonts w:ascii="Calibri" w:cs="Calibri" w:eastAsia="Calibri" w:hAnsi="Calibri"/>
                <w:sz w:val="17"/>
                <w:szCs w:val="17"/>
                <w:color w:val="auto"/>
              </w:rPr>
              <w:t>(5.00)</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Accretve (Dilutve) Efect of Capital Actvity</w:t>
            </w:r>
          </w:p>
        </w:tc>
        <w:tc>
          <w:tcPr>
            <w:tcW w:w="280" w:type="dxa"/>
            <w:vAlign w:val="bottom"/>
            <w:tcBorders>
              <w:bottom w:val="single" w:sz="8" w:color="auto"/>
            </w:tcBorders>
            <w:shd w:val="clear" w:color="auto" w:fill="E6EEFF"/>
          </w:tcPr>
          <w:p>
            <w:pPr>
              <w:spacing w:after="0"/>
              <w:rPr>
                <w:sz w:val="19"/>
                <w:szCs w:val="19"/>
                <w:color w:val="auto"/>
              </w:rPr>
            </w:pPr>
          </w:p>
        </w:tc>
        <w:tc>
          <w:tcPr>
            <w:tcW w:w="92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0.30</w:t>
            </w:r>
          </w:p>
        </w:tc>
        <w:tc>
          <w:tcPr>
            <w:tcW w:w="100" w:type="dxa"/>
            <w:vAlign w:val="bottom"/>
            <w:shd w:val="clear" w:color="auto" w:fill="E6EEFF"/>
          </w:tcPr>
          <w:p>
            <w:pPr>
              <w:spacing w:after="0"/>
              <w:rPr>
                <w:sz w:val="19"/>
                <w:szCs w:val="19"/>
                <w:color w:val="auto"/>
              </w:rPr>
            </w:pPr>
          </w:p>
        </w:tc>
        <w:tc>
          <w:tcPr>
            <w:tcW w:w="260" w:type="dxa"/>
            <w:vAlign w:val="bottom"/>
            <w:tcBorders>
              <w:bottom w:val="single" w:sz="8" w:color="auto"/>
            </w:tcBorders>
            <w:shd w:val="clear" w:color="auto" w:fill="E6EEFF"/>
          </w:tcPr>
          <w:p>
            <w:pPr>
              <w:spacing w:after="0"/>
              <w:rPr>
                <w:sz w:val="19"/>
                <w:szCs w:val="19"/>
                <w:color w:val="auto"/>
              </w:rPr>
            </w:pPr>
          </w:p>
        </w:tc>
        <w:tc>
          <w:tcPr>
            <w:tcW w:w="9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(0.10)</w:t>
            </w:r>
          </w:p>
        </w:tc>
        <w:tc>
          <w:tcPr>
            <w:tcW w:w="80" w:type="dxa"/>
            <w:vAlign w:val="bottom"/>
            <w:shd w:val="clear" w:color="auto" w:fill="E6EEFF"/>
          </w:tcPr>
          <w:p>
            <w:pPr>
              <w:spacing w:after="0"/>
              <w:rPr>
                <w:sz w:val="19"/>
                <w:szCs w:val="19"/>
                <w:color w:val="auto"/>
              </w:rPr>
            </w:pPr>
          </w:p>
        </w:tc>
        <w:tc>
          <w:tcPr>
            <w:tcW w:w="280" w:type="dxa"/>
            <w:vAlign w:val="bottom"/>
            <w:tcBorders>
              <w:bottom w:val="single" w:sz="8" w:color="auto"/>
            </w:tcBorders>
            <w:shd w:val="clear" w:color="auto" w:fill="E6EEFF"/>
          </w:tcPr>
          <w:p>
            <w:pPr>
              <w:spacing w:after="0"/>
              <w:rPr>
                <w:sz w:val="19"/>
                <w:szCs w:val="19"/>
                <w:color w:val="auto"/>
              </w:rPr>
            </w:pPr>
          </w:p>
        </w:tc>
        <w:tc>
          <w:tcPr>
            <w:tcW w:w="92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(0.05)</w:t>
            </w:r>
          </w:p>
        </w:tc>
        <w:tc>
          <w:tcPr>
            <w:tcW w:w="100" w:type="dxa"/>
            <w:vAlign w:val="bottom"/>
            <w:shd w:val="clear" w:color="auto" w:fill="E6EEFF"/>
          </w:tcPr>
          <w:p>
            <w:pPr>
              <w:spacing w:after="0"/>
              <w:rPr>
                <w:sz w:val="19"/>
                <w:szCs w:val="19"/>
                <w:color w:val="auto"/>
              </w:rPr>
            </w:pPr>
          </w:p>
        </w:tc>
        <w:tc>
          <w:tcPr>
            <w:tcW w:w="260" w:type="dxa"/>
            <w:vAlign w:val="bottom"/>
            <w:tcBorders>
              <w:bottom w:val="single" w:sz="8" w:color="auto"/>
            </w:tcBorders>
            <w:shd w:val="clear" w:color="auto" w:fill="E6EEFF"/>
          </w:tcPr>
          <w:p>
            <w:pPr>
              <w:spacing w:after="0"/>
              <w:rPr>
                <w:sz w:val="19"/>
                <w:szCs w:val="19"/>
                <w:color w:val="auto"/>
              </w:rPr>
            </w:pPr>
          </w:p>
        </w:tc>
        <w:tc>
          <w:tcPr>
            <w:tcW w:w="9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0.05</w:t>
            </w:r>
          </w:p>
        </w:tc>
        <w:tc>
          <w:tcPr>
            <w:tcW w:w="220" w:type="dxa"/>
            <w:vAlign w:val="bottom"/>
            <w:tcBorders>
              <w:bottom w:val="single" w:sz="8" w:color="auto"/>
            </w:tcBorders>
            <w:shd w:val="clear" w:color="auto" w:fill="000000"/>
          </w:tcPr>
          <w:p>
            <w:pPr>
              <w:spacing w:after="0"/>
              <w:rPr>
                <w:sz w:val="19"/>
                <w:szCs w:val="19"/>
                <w:color w:val="auto"/>
              </w:rPr>
            </w:pPr>
          </w:p>
        </w:tc>
        <w:tc>
          <w:tcPr>
            <w:tcW w:w="360" w:type="dxa"/>
            <w:vAlign w:val="bottom"/>
            <w:tcBorders>
              <w:bottom w:val="single" w:sz="8" w:color="auto"/>
            </w:tcBorders>
            <w:shd w:val="clear" w:color="auto" w:fill="E6EEFF"/>
          </w:tcPr>
          <w:p>
            <w:pPr>
              <w:spacing w:after="0"/>
              <w:rPr>
                <w:sz w:val="19"/>
                <w:szCs w:val="19"/>
                <w:color w:val="auto"/>
              </w:rPr>
            </w:pPr>
          </w:p>
        </w:tc>
        <w:tc>
          <w:tcPr>
            <w:tcW w:w="106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0.23</w:t>
            </w:r>
          </w:p>
        </w:tc>
        <w:tc>
          <w:tcPr>
            <w:tcW w:w="0" w:type="dxa"/>
            <w:vAlign w:val="bottom"/>
          </w:tcPr>
          <w:p>
            <w:pPr>
              <w:spacing w:after="0"/>
              <w:rPr>
                <w:sz w:val="1"/>
                <w:szCs w:val="1"/>
                <w:color w:val="auto"/>
              </w:rPr>
            </w:pPr>
          </w:p>
        </w:tc>
      </w:tr>
      <w:tr>
        <w:trPr>
          <w:trHeight w:val="219"/>
        </w:trPr>
        <w:tc>
          <w:tcPr>
            <w:tcW w:w="4500" w:type="dxa"/>
            <w:vAlign w:val="bottom"/>
            <w:gridSpan w:val="2"/>
          </w:tcPr>
          <w:p>
            <w:pPr>
              <w:ind w:left="20"/>
              <w:spacing w:after="0"/>
              <w:rPr>
                <w:sz w:val="20"/>
                <w:szCs w:val="20"/>
                <w:color w:val="auto"/>
              </w:rPr>
            </w:pPr>
            <w:r>
              <w:rPr>
                <w:rFonts w:ascii="Calibri" w:cs="Calibri" w:eastAsia="Calibri" w:hAnsi="Calibri"/>
                <w:sz w:val="17"/>
                <w:szCs w:val="17"/>
                <w:color w:val="auto"/>
              </w:rPr>
              <w:t>Ending Book Value per Common Share</w:t>
            </w:r>
          </w:p>
        </w:tc>
        <w:tc>
          <w:tcPr>
            <w:tcW w:w="280" w:type="dxa"/>
            <w:vAlign w:val="bottom"/>
          </w:tcPr>
          <w:p>
            <w:pPr>
              <w:jc w:val="right"/>
              <w:ind w:right="7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27.20</w:t>
            </w:r>
          </w:p>
        </w:tc>
        <w:tc>
          <w:tcPr>
            <w:tcW w:w="100" w:type="dxa"/>
            <w:vAlign w:val="bottom"/>
          </w:tcPr>
          <w:p>
            <w:pPr>
              <w:spacing w:after="0"/>
              <w:rPr>
                <w:sz w:val="19"/>
                <w:szCs w:val="19"/>
                <w:color w:val="auto"/>
              </w:rPr>
            </w:pPr>
          </w:p>
        </w:tc>
        <w:tc>
          <w:tcPr>
            <w:tcW w:w="260" w:type="dxa"/>
            <w:vAlign w:val="bottom"/>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26.90</w:t>
            </w:r>
          </w:p>
        </w:tc>
        <w:tc>
          <w:tcPr>
            <w:tcW w:w="80" w:type="dxa"/>
            <w:vAlign w:val="bottom"/>
          </w:tcPr>
          <w:p>
            <w:pPr>
              <w:spacing w:after="0"/>
              <w:rPr>
                <w:sz w:val="19"/>
                <w:szCs w:val="19"/>
                <w:color w:val="auto"/>
              </w:rPr>
            </w:pPr>
          </w:p>
        </w:tc>
        <w:tc>
          <w:tcPr>
            <w:tcW w:w="280" w:type="dxa"/>
            <w:vAlign w:val="bottom"/>
          </w:tcPr>
          <w:p>
            <w:pPr>
              <w:jc w:val="right"/>
              <w:ind w:right="7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21.73</w:t>
            </w:r>
          </w:p>
        </w:tc>
        <w:tc>
          <w:tcPr>
            <w:tcW w:w="100" w:type="dxa"/>
            <w:vAlign w:val="bottom"/>
          </w:tcPr>
          <w:p>
            <w:pPr>
              <w:spacing w:after="0"/>
              <w:rPr>
                <w:sz w:val="19"/>
                <w:szCs w:val="19"/>
                <w:color w:val="auto"/>
              </w:rPr>
            </w:pPr>
          </w:p>
        </w:tc>
        <w:tc>
          <w:tcPr>
            <w:tcW w:w="260" w:type="dxa"/>
            <w:vAlign w:val="bottom"/>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22.54</w:t>
            </w:r>
          </w:p>
        </w:tc>
        <w:tc>
          <w:tcPr>
            <w:tcW w:w="220" w:type="dxa"/>
            <w:vAlign w:val="bottom"/>
            <w:shd w:val="clear" w:color="auto" w:fill="000000"/>
          </w:tcPr>
          <w:p>
            <w:pPr>
              <w:spacing w:after="0"/>
              <w:rPr>
                <w:sz w:val="19"/>
                <w:szCs w:val="19"/>
                <w:color w:val="auto"/>
              </w:rPr>
            </w:pPr>
          </w:p>
        </w:tc>
        <w:tc>
          <w:tcPr>
            <w:tcW w:w="360" w:type="dxa"/>
            <w:vAlign w:val="bottom"/>
          </w:tcPr>
          <w:p>
            <w:pPr>
              <w:ind w:left="20"/>
              <w:spacing w:after="0" w:line="205" w:lineRule="exact"/>
              <w:rPr>
                <w:sz w:val="20"/>
                <w:szCs w:val="20"/>
                <w:color w:val="auto"/>
              </w:rPr>
            </w:pPr>
            <w:r>
              <w:rPr>
                <w:rFonts w:ascii="Calibri" w:cs="Calibri" w:eastAsia="Calibri" w:hAnsi="Calibri"/>
                <w:sz w:val="17"/>
                <w:szCs w:val="17"/>
                <w:color w:val="auto"/>
              </w:rPr>
              <w:t>$</w:t>
            </w:r>
          </w:p>
        </w:tc>
        <w:tc>
          <w:tcPr>
            <w:tcW w:w="1060" w:type="dxa"/>
            <w:vAlign w:val="bottom"/>
          </w:tcPr>
          <w:p>
            <w:pPr>
              <w:jc w:val="right"/>
              <w:spacing w:after="0" w:line="205" w:lineRule="exact"/>
              <w:rPr>
                <w:sz w:val="20"/>
                <w:szCs w:val="20"/>
                <w:color w:val="auto"/>
              </w:rPr>
            </w:pPr>
            <w:r>
              <w:rPr>
                <w:rFonts w:ascii="Calibri" w:cs="Calibri" w:eastAsia="Calibri" w:hAnsi="Calibri"/>
                <w:sz w:val="17"/>
                <w:szCs w:val="17"/>
                <w:color w:val="auto"/>
              </w:rPr>
              <w:t>22.54</w:t>
            </w:r>
          </w:p>
        </w:tc>
        <w:tc>
          <w:tcPr>
            <w:tcW w:w="0" w:type="dxa"/>
            <w:vAlign w:val="bottom"/>
          </w:tcPr>
          <w:p>
            <w:pPr>
              <w:spacing w:after="0"/>
              <w:rPr>
                <w:sz w:val="1"/>
                <w:szCs w:val="1"/>
                <w:color w:val="auto"/>
              </w:rPr>
            </w:pPr>
          </w:p>
        </w:tc>
      </w:tr>
      <w:tr>
        <w:trPr>
          <w:trHeight w:val="20"/>
        </w:trPr>
        <w:tc>
          <w:tcPr>
            <w:tcW w:w="4420" w:type="dxa"/>
            <w:vAlign w:val="bottom"/>
            <w:tcBorders>
              <w:bottom w:val="single" w:sz="8" w:color="E6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420" w:type="dxa"/>
            <w:vAlign w:val="bottom"/>
            <w:shd w:val="clear" w:color="auto" w:fill="E6EEFF"/>
          </w:tcPr>
          <w:p>
            <w:pPr>
              <w:spacing w:after="0"/>
              <w:rPr>
                <w:sz w:val="9"/>
                <w:szCs w:val="9"/>
                <w:color w:val="auto"/>
              </w:rPr>
            </w:pPr>
          </w:p>
        </w:tc>
        <w:tc>
          <w:tcPr>
            <w:tcW w:w="80" w:type="dxa"/>
            <w:vAlign w:val="bottom"/>
            <w:shd w:val="clear" w:color="auto" w:fill="E6EEFF"/>
          </w:tcPr>
          <w:p>
            <w:pPr>
              <w:spacing w:after="0"/>
              <w:rPr>
                <w:sz w:val="9"/>
                <w:szCs w:val="9"/>
                <w:color w:val="auto"/>
              </w:rPr>
            </w:pPr>
          </w:p>
        </w:tc>
        <w:tc>
          <w:tcPr>
            <w:tcW w:w="280" w:type="dxa"/>
            <w:vAlign w:val="bottom"/>
            <w:shd w:val="clear" w:color="auto" w:fill="E6EEFF"/>
          </w:tcPr>
          <w:p>
            <w:pPr>
              <w:spacing w:after="0"/>
              <w:rPr>
                <w:sz w:val="9"/>
                <w:szCs w:val="9"/>
                <w:color w:val="auto"/>
              </w:rPr>
            </w:pPr>
          </w:p>
        </w:tc>
        <w:tc>
          <w:tcPr>
            <w:tcW w:w="920" w:type="dxa"/>
            <w:vAlign w:val="bottom"/>
            <w:shd w:val="clear" w:color="auto" w:fill="E6EEFF"/>
          </w:tcPr>
          <w:p>
            <w:pPr>
              <w:spacing w:after="0"/>
              <w:rPr>
                <w:sz w:val="9"/>
                <w:szCs w:val="9"/>
                <w:color w:val="auto"/>
              </w:rPr>
            </w:pPr>
          </w:p>
        </w:tc>
        <w:tc>
          <w:tcPr>
            <w:tcW w:w="100" w:type="dxa"/>
            <w:vAlign w:val="bottom"/>
            <w:shd w:val="clear" w:color="auto" w:fill="E6EEFF"/>
          </w:tcPr>
          <w:p>
            <w:pPr>
              <w:spacing w:after="0"/>
              <w:rPr>
                <w:sz w:val="9"/>
                <w:szCs w:val="9"/>
                <w:color w:val="auto"/>
              </w:rPr>
            </w:pPr>
          </w:p>
        </w:tc>
        <w:tc>
          <w:tcPr>
            <w:tcW w:w="260" w:type="dxa"/>
            <w:vAlign w:val="bottom"/>
            <w:shd w:val="clear" w:color="auto" w:fill="E6EEFF"/>
          </w:tcPr>
          <w:p>
            <w:pPr>
              <w:spacing w:after="0"/>
              <w:rPr>
                <w:sz w:val="9"/>
                <w:szCs w:val="9"/>
                <w:color w:val="auto"/>
              </w:rPr>
            </w:pPr>
          </w:p>
        </w:tc>
        <w:tc>
          <w:tcPr>
            <w:tcW w:w="940" w:type="dxa"/>
            <w:vAlign w:val="bottom"/>
            <w:shd w:val="clear" w:color="auto" w:fill="E6EEFF"/>
          </w:tcPr>
          <w:p>
            <w:pPr>
              <w:spacing w:after="0"/>
              <w:rPr>
                <w:sz w:val="9"/>
                <w:szCs w:val="9"/>
                <w:color w:val="auto"/>
              </w:rPr>
            </w:pPr>
          </w:p>
        </w:tc>
        <w:tc>
          <w:tcPr>
            <w:tcW w:w="80" w:type="dxa"/>
            <w:vAlign w:val="bottom"/>
            <w:shd w:val="clear" w:color="auto" w:fill="E6EEFF"/>
          </w:tcPr>
          <w:p>
            <w:pPr>
              <w:spacing w:after="0"/>
              <w:rPr>
                <w:sz w:val="9"/>
                <w:szCs w:val="9"/>
                <w:color w:val="auto"/>
              </w:rPr>
            </w:pPr>
          </w:p>
        </w:tc>
        <w:tc>
          <w:tcPr>
            <w:tcW w:w="280" w:type="dxa"/>
            <w:vAlign w:val="bottom"/>
            <w:shd w:val="clear" w:color="auto" w:fill="E6EEFF"/>
          </w:tcPr>
          <w:p>
            <w:pPr>
              <w:spacing w:after="0"/>
              <w:rPr>
                <w:sz w:val="9"/>
                <w:szCs w:val="9"/>
                <w:color w:val="auto"/>
              </w:rPr>
            </w:pPr>
          </w:p>
        </w:tc>
        <w:tc>
          <w:tcPr>
            <w:tcW w:w="920" w:type="dxa"/>
            <w:vAlign w:val="bottom"/>
            <w:shd w:val="clear" w:color="auto" w:fill="E6EEFF"/>
          </w:tcPr>
          <w:p>
            <w:pPr>
              <w:spacing w:after="0"/>
              <w:rPr>
                <w:sz w:val="9"/>
                <w:szCs w:val="9"/>
                <w:color w:val="auto"/>
              </w:rPr>
            </w:pPr>
          </w:p>
        </w:tc>
        <w:tc>
          <w:tcPr>
            <w:tcW w:w="100" w:type="dxa"/>
            <w:vAlign w:val="bottom"/>
            <w:shd w:val="clear" w:color="auto" w:fill="E6EEFF"/>
          </w:tcPr>
          <w:p>
            <w:pPr>
              <w:spacing w:after="0"/>
              <w:rPr>
                <w:sz w:val="9"/>
                <w:szCs w:val="9"/>
                <w:color w:val="auto"/>
              </w:rPr>
            </w:pPr>
          </w:p>
        </w:tc>
        <w:tc>
          <w:tcPr>
            <w:tcW w:w="260" w:type="dxa"/>
            <w:vAlign w:val="bottom"/>
            <w:shd w:val="clear" w:color="auto" w:fill="E6EEFF"/>
          </w:tcPr>
          <w:p>
            <w:pPr>
              <w:spacing w:after="0"/>
              <w:rPr>
                <w:sz w:val="9"/>
                <w:szCs w:val="9"/>
                <w:color w:val="auto"/>
              </w:rPr>
            </w:pPr>
          </w:p>
        </w:tc>
        <w:tc>
          <w:tcPr>
            <w:tcW w:w="940" w:type="dxa"/>
            <w:vAlign w:val="bottom"/>
            <w:shd w:val="clear" w:color="auto" w:fill="E6EEFF"/>
          </w:tcPr>
          <w:p>
            <w:pPr>
              <w:spacing w:after="0"/>
              <w:rPr>
                <w:sz w:val="9"/>
                <w:szCs w:val="9"/>
                <w:color w:val="auto"/>
              </w:rPr>
            </w:pPr>
          </w:p>
        </w:tc>
        <w:tc>
          <w:tcPr>
            <w:tcW w:w="220" w:type="dxa"/>
            <w:vAlign w:val="bottom"/>
            <w:shd w:val="clear" w:color="auto" w:fill="000000"/>
          </w:tcPr>
          <w:p>
            <w:pPr>
              <w:spacing w:after="0"/>
              <w:rPr>
                <w:sz w:val="9"/>
                <w:szCs w:val="9"/>
                <w:color w:val="auto"/>
              </w:rPr>
            </w:pPr>
          </w:p>
        </w:tc>
        <w:tc>
          <w:tcPr>
            <w:tcW w:w="360" w:type="dxa"/>
            <w:vAlign w:val="bottom"/>
            <w:shd w:val="clear" w:color="auto" w:fill="E6EEFF"/>
          </w:tcPr>
          <w:p>
            <w:pPr>
              <w:spacing w:after="0"/>
              <w:rPr>
                <w:sz w:val="9"/>
                <w:szCs w:val="9"/>
                <w:color w:val="auto"/>
              </w:rPr>
            </w:pPr>
          </w:p>
        </w:tc>
        <w:tc>
          <w:tcPr>
            <w:tcW w:w="1060" w:type="dxa"/>
            <w:vAlign w:val="bottom"/>
            <w:shd w:val="clear" w:color="auto" w:fill="E6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center"/>
              <w:ind w:right="380"/>
              <w:spacing w:after="0" w:line="160" w:lineRule="exact"/>
              <w:rPr>
                <w:sz w:val="20"/>
                <w:szCs w:val="20"/>
                <w:color w:val="auto"/>
              </w:rPr>
            </w:pPr>
            <w:r>
              <w:rPr>
                <w:rFonts w:ascii="Calibri" w:cs="Calibri" w:eastAsia="Calibri" w:hAnsi="Calibri"/>
                <w:sz w:val="17"/>
                <w:szCs w:val="17"/>
                <w:b w:val="1"/>
                <w:bCs w:val="1"/>
                <w:color w:val="1C4787"/>
                <w:w w:val="98"/>
              </w:rPr>
              <w:t>Q1</w:t>
            </w:r>
          </w:p>
        </w:tc>
        <w:tc>
          <w:tcPr>
            <w:tcW w:w="260" w:type="dxa"/>
            <w:vAlign w:val="bottom"/>
          </w:tcPr>
          <w:p>
            <w:pPr>
              <w:spacing w:after="0"/>
              <w:rPr>
                <w:sz w:val="13"/>
                <w:szCs w:val="13"/>
                <w:color w:val="auto"/>
              </w:rPr>
            </w:pPr>
          </w:p>
        </w:tc>
        <w:tc>
          <w:tcPr>
            <w:tcW w:w="1020" w:type="dxa"/>
            <w:vAlign w:val="bottom"/>
            <w:gridSpan w:val="2"/>
          </w:tcPr>
          <w:p>
            <w:pPr>
              <w:jc w:val="center"/>
              <w:ind w:right="340"/>
              <w:spacing w:after="0" w:line="160" w:lineRule="exact"/>
              <w:rPr>
                <w:sz w:val="20"/>
                <w:szCs w:val="20"/>
                <w:color w:val="auto"/>
              </w:rPr>
            </w:pPr>
            <w:r>
              <w:rPr>
                <w:rFonts w:ascii="Calibri" w:cs="Calibri" w:eastAsia="Calibri" w:hAnsi="Calibri"/>
                <w:sz w:val="17"/>
                <w:szCs w:val="17"/>
                <w:b w:val="1"/>
                <w:bCs w:val="1"/>
                <w:color w:val="1C4787"/>
                <w:w w:val="98"/>
              </w:rPr>
              <w:t>Q2</w:t>
            </w:r>
          </w:p>
        </w:tc>
        <w:tc>
          <w:tcPr>
            <w:tcW w:w="280" w:type="dxa"/>
            <w:vAlign w:val="bottom"/>
          </w:tcPr>
          <w:p>
            <w:pPr>
              <w:spacing w:after="0"/>
              <w:rPr>
                <w:sz w:val="13"/>
                <w:szCs w:val="13"/>
                <w:color w:val="auto"/>
              </w:rPr>
            </w:pPr>
          </w:p>
        </w:tc>
        <w:tc>
          <w:tcPr>
            <w:tcW w:w="1020" w:type="dxa"/>
            <w:vAlign w:val="bottom"/>
            <w:gridSpan w:val="2"/>
          </w:tcPr>
          <w:p>
            <w:pPr>
              <w:jc w:val="center"/>
              <w:ind w:right="380"/>
              <w:spacing w:after="0" w:line="160" w:lineRule="exact"/>
              <w:rPr>
                <w:sz w:val="20"/>
                <w:szCs w:val="20"/>
                <w:color w:val="auto"/>
              </w:rPr>
            </w:pPr>
            <w:r>
              <w:rPr>
                <w:rFonts w:ascii="Calibri" w:cs="Calibri" w:eastAsia="Calibri" w:hAnsi="Calibri"/>
                <w:sz w:val="17"/>
                <w:szCs w:val="17"/>
                <w:b w:val="1"/>
                <w:bCs w:val="1"/>
                <w:color w:val="1C4787"/>
                <w:w w:val="98"/>
              </w:rPr>
              <w:t>Q3</w:t>
            </w:r>
          </w:p>
        </w:tc>
        <w:tc>
          <w:tcPr>
            <w:tcW w:w="260" w:type="dxa"/>
            <w:vAlign w:val="bottom"/>
          </w:tcPr>
          <w:p>
            <w:pPr>
              <w:spacing w:after="0"/>
              <w:rPr>
                <w:sz w:val="13"/>
                <w:szCs w:val="13"/>
                <w:color w:val="auto"/>
              </w:rPr>
            </w:pPr>
          </w:p>
        </w:tc>
        <w:tc>
          <w:tcPr>
            <w:tcW w:w="940" w:type="dxa"/>
            <w:vAlign w:val="bottom"/>
          </w:tcPr>
          <w:p>
            <w:pPr>
              <w:jc w:val="center"/>
              <w:ind w:right="174"/>
              <w:spacing w:after="0" w:line="160" w:lineRule="exact"/>
              <w:rPr>
                <w:sz w:val="20"/>
                <w:szCs w:val="20"/>
                <w:color w:val="auto"/>
              </w:rPr>
            </w:pPr>
            <w:r>
              <w:rPr>
                <w:rFonts w:ascii="Calibri" w:cs="Calibri" w:eastAsia="Calibri" w:hAnsi="Calibri"/>
                <w:sz w:val="17"/>
                <w:szCs w:val="17"/>
                <w:b w:val="1"/>
                <w:bCs w:val="1"/>
                <w:color w:val="1C4787"/>
                <w:w w:val="98"/>
              </w:rPr>
              <w:t>Q4</w:t>
            </w:r>
          </w:p>
        </w:tc>
        <w:tc>
          <w:tcPr>
            <w:tcW w:w="220" w:type="dxa"/>
            <w:vAlign w:val="bottom"/>
            <w:shd w:val="clear" w:color="auto" w:fill="000000"/>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Calibri" w:cs="Calibri" w:eastAsia="Calibri" w:hAnsi="Calibri"/>
                <w:sz w:val="17"/>
                <w:szCs w:val="17"/>
                <w:b w:val="1"/>
                <w:bCs w:val="1"/>
                <w:color w:val="1C4787"/>
                <w:w w:val="99"/>
              </w:rPr>
              <w:t>December 31, 2022</w:t>
            </w:r>
          </w:p>
        </w:tc>
        <w:tc>
          <w:tcPr>
            <w:tcW w:w="0" w:type="dxa"/>
            <w:vAlign w:val="bottom"/>
          </w:tcPr>
          <w:p>
            <w:pPr>
              <w:spacing w:after="0"/>
              <w:rPr>
                <w:sz w:val="1"/>
                <w:szCs w:val="1"/>
                <w:color w:val="auto"/>
              </w:rPr>
            </w:pPr>
          </w:p>
        </w:tc>
      </w:tr>
      <w:tr>
        <w:trPr>
          <w:trHeight w:val="96"/>
        </w:trPr>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vMerge w:val="restart"/>
          </w:tcPr>
          <w:p>
            <w:pPr>
              <w:jc w:val="center"/>
              <w:ind w:right="174"/>
              <w:spacing w:after="0" w:line="205" w:lineRule="exact"/>
              <w:rPr>
                <w:sz w:val="20"/>
                <w:szCs w:val="20"/>
                <w:color w:val="auto"/>
              </w:rPr>
            </w:pPr>
            <w:r>
              <w:rPr>
                <w:rFonts w:ascii="Calibri" w:cs="Calibri" w:eastAsia="Calibri" w:hAnsi="Calibri"/>
                <w:sz w:val="17"/>
                <w:szCs w:val="17"/>
                <w:b w:val="1"/>
                <w:bCs w:val="1"/>
                <w:color w:val="1C4787"/>
                <w:w w:val="98"/>
              </w:rPr>
              <w:t>2022</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vMerge w:val="restart"/>
          </w:tcPr>
          <w:p>
            <w:pPr>
              <w:jc w:val="center"/>
              <w:ind w:right="194"/>
              <w:spacing w:after="0" w:line="205" w:lineRule="exact"/>
              <w:rPr>
                <w:sz w:val="20"/>
                <w:szCs w:val="20"/>
                <w:color w:val="auto"/>
              </w:rPr>
            </w:pPr>
            <w:r>
              <w:rPr>
                <w:rFonts w:ascii="Calibri" w:cs="Calibri" w:eastAsia="Calibri" w:hAnsi="Calibri"/>
                <w:sz w:val="17"/>
                <w:szCs w:val="17"/>
                <w:b w:val="1"/>
                <w:bCs w:val="1"/>
                <w:color w:val="1C4787"/>
                <w:w w:val="98"/>
              </w:rPr>
              <w:t>2022</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vMerge w:val="restart"/>
          </w:tcPr>
          <w:p>
            <w:pPr>
              <w:jc w:val="center"/>
              <w:ind w:right="174"/>
              <w:spacing w:after="0" w:line="205" w:lineRule="exact"/>
              <w:rPr>
                <w:sz w:val="20"/>
                <w:szCs w:val="20"/>
                <w:color w:val="auto"/>
              </w:rPr>
            </w:pPr>
            <w:r>
              <w:rPr>
                <w:rFonts w:ascii="Calibri" w:cs="Calibri" w:eastAsia="Calibri" w:hAnsi="Calibri"/>
                <w:sz w:val="17"/>
                <w:szCs w:val="17"/>
                <w:b w:val="1"/>
                <w:bCs w:val="1"/>
                <w:color w:val="1C4787"/>
                <w:w w:val="98"/>
              </w:rPr>
              <w:t>2022</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vMerge w:val="restart"/>
          </w:tcPr>
          <w:p>
            <w:pPr>
              <w:jc w:val="center"/>
              <w:ind w:right="194"/>
              <w:spacing w:after="0" w:line="205" w:lineRule="exact"/>
              <w:rPr>
                <w:sz w:val="20"/>
                <w:szCs w:val="20"/>
                <w:color w:val="auto"/>
              </w:rPr>
            </w:pPr>
            <w:r>
              <w:rPr>
                <w:rFonts w:ascii="Calibri" w:cs="Calibri" w:eastAsia="Calibri" w:hAnsi="Calibri"/>
                <w:sz w:val="17"/>
                <w:szCs w:val="17"/>
                <w:b w:val="1"/>
                <w:bCs w:val="1"/>
                <w:color w:val="1C4787"/>
                <w:w w:val="98"/>
              </w:rPr>
              <w:t>2022</w:t>
            </w:r>
          </w:p>
        </w:tc>
        <w:tc>
          <w:tcPr>
            <w:tcW w:w="220" w:type="dxa"/>
            <w:vAlign w:val="bottom"/>
            <w:shd w:val="clear" w:color="auto" w:fill="000000"/>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420" w:type="dxa"/>
            <w:vAlign w:val="bottom"/>
            <w:tcBorders>
              <w:bottom w:val="single" w:sz="8" w:color="E6EEFF"/>
            </w:tcBorders>
          </w:tcPr>
          <w:p>
            <w:pPr>
              <w:spacing w:after="0"/>
              <w:rPr>
                <w:sz w:val="12"/>
                <w:szCs w:val="12"/>
                <w:color w:val="auto"/>
              </w:rPr>
            </w:pPr>
          </w:p>
        </w:tc>
        <w:tc>
          <w:tcPr>
            <w:tcW w:w="80" w:type="dxa"/>
            <w:vAlign w:val="bottom"/>
            <w:tcBorders>
              <w:bottom w:val="single" w:sz="8" w:color="E6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shd w:val="clear" w:color="auto" w:fill="000000"/>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77"/>
              <w:spacing w:after="0" w:line="132" w:lineRule="exact"/>
              <w:rPr>
                <w:sz w:val="20"/>
                <w:szCs w:val="20"/>
                <w:color w:val="auto"/>
              </w:rPr>
            </w:pPr>
            <w:r>
              <w:rPr>
                <w:rFonts w:ascii="Calibri" w:cs="Calibri" w:eastAsia="Calibri" w:hAnsi="Calibri"/>
                <w:sz w:val="11"/>
                <w:szCs w:val="11"/>
                <w:b w:val="1"/>
                <w:bCs w:val="1"/>
                <w:color w:val="1C4787"/>
              </w:rPr>
              <w:t>(1)</w:t>
            </w:r>
          </w:p>
        </w:tc>
        <w:tc>
          <w:tcPr>
            <w:tcW w:w="0" w:type="dxa"/>
            <w:vAlign w:val="bottom"/>
          </w:tcPr>
          <w:p>
            <w:pPr>
              <w:spacing w:after="0"/>
              <w:rPr>
                <w:sz w:val="1"/>
                <w:szCs w:val="1"/>
                <w:color w:val="auto"/>
              </w:rPr>
            </w:pPr>
          </w:p>
        </w:tc>
      </w:tr>
      <w:tr>
        <w:trPr>
          <w:trHeight w:val="146"/>
        </w:trPr>
        <w:tc>
          <w:tcPr>
            <w:tcW w:w="4500" w:type="dxa"/>
            <w:vAlign w:val="bottom"/>
            <w:gridSpan w:val="2"/>
            <w:shd w:val="clear" w:color="auto" w:fill="E6EEFF"/>
          </w:tcPr>
          <w:p>
            <w:pPr>
              <w:ind w:left="20"/>
              <w:spacing w:after="0" w:line="146" w:lineRule="exact"/>
              <w:rPr>
                <w:sz w:val="20"/>
                <w:szCs w:val="20"/>
                <w:color w:val="auto"/>
              </w:rPr>
            </w:pPr>
            <w:r>
              <w:rPr>
                <w:rFonts w:ascii="Calibri" w:cs="Calibri" w:eastAsia="Calibri" w:hAnsi="Calibri"/>
                <w:sz w:val="15"/>
                <w:szCs w:val="15"/>
                <w:color w:val="auto"/>
              </w:rPr>
              <w:t>Comprehensive Income (loss) available (related) to common</w:t>
            </w:r>
          </w:p>
        </w:tc>
        <w:tc>
          <w:tcPr>
            <w:tcW w:w="280" w:type="dxa"/>
            <w:vAlign w:val="bottom"/>
            <w:shd w:val="clear" w:color="auto" w:fill="E6EEFF"/>
          </w:tcPr>
          <w:p>
            <w:pPr>
              <w:spacing w:after="0"/>
              <w:rPr>
                <w:sz w:val="12"/>
                <w:szCs w:val="12"/>
                <w:color w:val="auto"/>
              </w:rPr>
            </w:pPr>
          </w:p>
        </w:tc>
        <w:tc>
          <w:tcPr>
            <w:tcW w:w="920" w:type="dxa"/>
            <w:vAlign w:val="bottom"/>
            <w:shd w:val="clear" w:color="auto" w:fill="E6EEFF"/>
          </w:tcPr>
          <w:p>
            <w:pPr>
              <w:spacing w:after="0"/>
              <w:rPr>
                <w:sz w:val="12"/>
                <w:szCs w:val="12"/>
                <w:color w:val="auto"/>
              </w:rPr>
            </w:pPr>
          </w:p>
        </w:tc>
        <w:tc>
          <w:tcPr>
            <w:tcW w:w="100" w:type="dxa"/>
            <w:vAlign w:val="bottom"/>
            <w:shd w:val="clear" w:color="auto" w:fill="E6EEFF"/>
          </w:tcPr>
          <w:p>
            <w:pPr>
              <w:spacing w:after="0"/>
              <w:rPr>
                <w:sz w:val="12"/>
                <w:szCs w:val="12"/>
                <w:color w:val="auto"/>
              </w:rPr>
            </w:pPr>
          </w:p>
        </w:tc>
        <w:tc>
          <w:tcPr>
            <w:tcW w:w="260" w:type="dxa"/>
            <w:vAlign w:val="bottom"/>
            <w:shd w:val="clear" w:color="auto" w:fill="E6EEFF"/>
          </w:tcPr>
          <w:p>
            <w:pPr>
              <w:spacing w:after="0"/>
              <w:rPr>
                <w:sz w:val="12"/>
                <w:szCs w:val="12"/>
                <w:color w:val="auto"/>
              </w:rPr>
            </w:pPr>
          </w:p>
        </w:tc>
        <w:tc>
          <w:tcPr>
            <w:tcW w:w="940" w:type="dxa"/>
            <w:vAlign w:val="bottom"/>
            <w:shd w:val="clear" w:color="auto" w:fill="E6EEFF"/>
          </w:tcPr>
          <w:p>
            <w:pPr>
              <w:spacing w:after="0"/>
              <w:rPr>
                <w:sz w:val="12"/>
                <w:szCs w:val="12"/>
                <w:color w:val="auto"/>
              </w:rPr>
            </w:pPr>
          </w:p>
        </w:tc>
        <w:tc>
          <w:tcPr>
            <w:tcW w:w="80" w:type="dxa"/>
            <w:vAlign w:val="bottom"/>
            <w:shd w:val="clear" w:color="auto" w:fill="E6EEFF"/>
          </w:tcPr>
          <w:p>
            <w:pPr>
              <w:spacing w:after="0"/>
              <w:rPr>
                <w:sz w:val="12"/>
                <w:szCs w:val="12"/>
                <w:color w:val="auto"/>
              </w:rPr>
            </w:pPr>
          </w:p>
        </w:tc>
        <w:tc>
          <w:tcPr>
            <w:tcW w:w="280" w:type="dxa"/>
            <w:vAlign w:val="bottom"/>
            <w:shd w:val="clear" w:color="auto" w:fill="E6EEFF"/>
          </w:tcPr>
          <w:p>
            <w:pPr>
              <w:spacing w:after="0"/>
              <w:rPr>
                <w:sz w:val="12"/>
                <w:szCs w:val="12"/>
                <w:color w:val="auto"/>
              </w:rPr>
            </w:pPr>
          </w:p>
        </w:tc>
        <w:tc>
          <w:tcPr>
            <w:tcW w:w="920" w:type="dxa"/>
            <w:vAlign w:val="bottom"/>
            <w:shd w:val="clear" w:color="auto" w:fill="E6EEFF"/>
          </w:tcPr>
          <w:p>
            <w:pPr>
              <w:spacing w:after="0"/>
              <w:rPr>
                <w:sz w:val="12"/>
                <w:szCs w:val="12"/>
                <w:color w:val="auto"/>
              </w:rPr>
            </w:pPr>
          </w:p>
        </w:tc>
        <w:tc>
          <w:tcPr>
            <w:tcW w:w="100" w:type="dxa"/>
            <w:vAlign w:val="bottom"/>
            <w:shd w:val="clear" w:color="auto" w:fill="E6EEFF"/>
          </w:tcPr>
          <w:p>
            <w:pPr>
              <w:spacing w:after="0"/>
              <w:rPr>
                <w:sz w:val="12"/>
                <w:szCs w:val="12"/>
                <w:color w:val="auto"/>
              </w:rPr>
            </w:pPr>
          </w:p>
        </w:tc>
        <w:tc>
          <w:tcPr>
            <w:tcW w:w="260" w:type="dxa"/>
            <w:vAlign w:val="bottom"/>
            <w:shd w:val="clear" w:color="auto" w:fill="E6EEFF"/>
          </w:tcPr>
          <w:p>
            <w:pPr>
              <w:spacing w:after="0"/>
              <w:rPr>
                <w:sz w:val="12"/>
                <w:szCs w:val="12"/>
                <w:color w:val="auto"/>
              </w:rPr>
            </w:pPr>
          </w:p>
        </w:tc>
        <w:tc>
          <w:tcPr>
            <w:tcW w:w="940" w:type="dxa"/>
            <w:vAlign w:val="bottom"/>
            <w:shd w:val="clear" w:color="auto" w:fill="E6EEFF"/>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360" w:type="dxa"/>
            <w:vAlign w:val="bottom"/>
            <w:shd w:val="clear" w:color="auto" w:fill="E6EEFF"/>
          </w:tcPr>
          <w:p>
            <w:pPr>
              <w:spacing w:after="0"/>
              <w:rPr>
                <w:sz w:val="12"/>
                <w:szCs w:val="12"/>
                <w:color w:val="auto"/>
              </w:rPr>
            </w:pPr>
          </w:p>
        </w:tc>
        <w:tc>
          <w:tcPr>
            <w:tcW w:w="1060" w:type="dxa"/>
            <w:vAlign w:val="bottom"/>
            <w:shd w:val="clear" w:color="auto" w:fill="E6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500" w:type="dxa"/>
            <w:vAlign w:val="bottom"/>
            <w:tcBorders>
              <w:bottom w:val="single" w:sz="8" w:color="E6EEFF"/>
            </w:tcBorders>
            <w:gridSpan w:val="2"/>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stockholders</w:t>
            </w:r>
          </w:p>
        </w:tc>
        <w:tc>
          <w:tcPr>
            <w:tcW w:w="280" w:type="dxa"/>
            <w:vAlign w:val="bottom"/>
            <w:tcBorders>
              <w:bottom w:val="single" w:sz="8" w:color="E6EEFF"/>
            </w:tcBorders>
            <w:shd w:val="clear" w:color="auto" w:fill="E6EEFF"/>
          </w:tcPr>
          <w:p>
            <w:pPr>
              <w:jc w:val="right"/>
              <w:ind w:right="74"/>
              <w:spacing w:after="0"/>
              <w:rPr>
                <w:sz w:val="20"/>
                <w:szCs w:val="20"/>
                <w:color w:val="auto"/>
              </w:rPr>
            </w:pPr>
            <w:r>
              <w:rPr>
                <w:rFonts w:ascii="Calibri" w:cs="Calibri" w:eastAsia="Calibri" w:hAnsi="Calibri"/>
                <w:sz w:val="17"/>
                <w:szCs w:val="17"/>
                <w:color w:val="auto"/>
              </w:rPr>
              <w:t>$</w:t>
            </w:r>
          </w:p>
        </w:tc>
        <w:tc>
          <w:tcPr>
            <w:tcW w:w="92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(147,967)</w:t>
            </w:r>
          </w:p>
        </w:tc>
        <w:tc>
          <w:tcPr>
            <w:tcW w:w="100" w:type="dxa"/>
            <w:vAlign w:val="bottom"/>
            <w:tcBorders>
              <w:bottom w:val="single" w:sz="8" w:color="E6EEFF"/>
            </w:tcBorders>
            <w:shd w:val="clear" w:color="auto" w:fill="E6EEFF"/>
          </w:tcPr>
          <w:p>
            <w:pPr>
              <w:spacing w:after="0"/>
              <w:rPr>
                <w:sz w:val="19"/>
                <w:szCs w:val="19"/>
                <w:color w:val="auto"/>
              </w:rPr>
            </w:pPr>
          </w:p>
        </w:tc>
        <w:tc>
          <w:tcPr>
            <w:tcW w:w="260" w:type="dxa"/>
            <w:vAlign w:val="bottom"/>
            <w:tcBorders>
              <w:bottom w:val="single" w:sz="8" w:color="E6EEFF"/>
            </w:tcBorders>
            <w:shd w:val="clear" w:color="auto" w:fill="E6EEFF"/>
          </w:tcPr>
          <w:p>
            <w:pPr>
              <w:jc w:val="right"/>
              <w:ind w:right="74"/>
              <w:spacing w:after="0"/>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(96,237)</w:t>
            </w:r>
          </w:p>
        </w:tc>
        <w:tc>
          <w:tcPr>
            <w:tcW w:w="80" w:type="dxa"/>
            <w:vAlign w:val="bottom"/>
            <w:tcBorders>
              <w:bottom w:val="single" w:sz="8" w:color="E6EEFF"/>
            </w:tcBorders>
            <w:shd w:val="clear" w:color="auto" w:fill="E6EEFF"/>
          </w:tcPr>
          <w:p>
            <w:pPr>
              <w:spacing w:after="0"/>
              <w:rPr>
                <w:sz w:val="19"/>
                <w:szCs w:val="19"/>
                <w:color w:val="auto"/>
              </w:rPr>
            </w:pPr>
          </w:p>
        </w:tc>
        <w:tc>
          <w:tcPr>
            <w:tcW w:w="280" w:type="dxa"/>
            <w:vAlign w:val="bottom"/>
            <w:tcBorders>
              <w:bottom w:val="single" w:sz="8" w:color="E6EEFF"/>
            </w:tcBorders>
            <w:shd w:val="clear" w:color="auto" w:fill="E6EEFF"/>
          </w:tcPr>
          <w:p>
            <w:pPr>
              <w:jc w:val="right"/>
              <w:ind w:right="74"/>
              <w:spacing w:after="0"/>
              <w:rPr>
                <w:sz w:val="20"/>
                <w:szCs w:val="20"/>
                <w:color w:val="auto"/>
              </w:rPr>
            </w:pPr>
            <w:r>
              <w:rPr>
                <w:rFonts w:ascii="Calibri" w:cs="Calibri" w:eastAsia="Calibri" w:hAnsi="Calibri"/>
                <w:sz w:val="17"/>
                <w:szCs w:val="17"/>
                <w:color w:val="auto"/>
              </w:rPr>
              <w:t>$</w:t>
            </w:r>
          </w:p>
        </w:tc>
        <w:tc>
          <w:tcPr>
            <w:tcW w:w="92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(155,710)</w:t>
            </w:r>
          </w:p>
        </w:tc>
        <w:tc>
          <w:tcPr>
            <w:tcW w:w="100" w:type="dxa"/>
            <w:vAlign w:val="bottom"/>
            <w:tcBorders>
              <w:bottom w:val="single" w:sz="8" w:color="E6EEFF"/>
            </w:tcBorders>
            <w:shd w:val="clear" w:color="auto" w:fill="E6EEFF"/>
          </w:tcPr>
          <w:p>
            <w:pPr>
              <w:spacing w:after="0"/>
              <w:rPr>
                <w:sz w:val="19"/>
                <w:szCs w:val="19"/>
                <w:color w:val="auto"/>
              </w:rPr>
            </w:pPr>
          </w:p>
        </w:tc>
        <w:tc>
          <w:tcPr>
            <w:tcW w:w="260" w:type="dxa"/>
            <w:vAlign w:val="bottom"/>
            <w:tcBorders>
              <w:bottom w:val="single" w:sz="8" w:color="E6EEFF"/>
            </w:tcBorders>
            <w:shd w:val="clear" w:color="auto" w:fill="E6EEFF"/>
          </w:tcPr>
          <w:p>
            <w:pPr>
              <w:jc w:val="right"/>
              <w:ind w:right="74"/>
              <w:spacing w:after="0"/>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39,502</w:t>
            </w:r>
          </w:p>
        </w:tc>
        <w:tc>
          <w:tcPr>
            <w:tcW w:w="220" w:type="dxa"/>
            <w:vAlign w:val="bottom"/>
            <w:tcBorders>
              <w:bottom w:val="single" w:sz="8" w:color="auto"/>
            </w:tcBorders>
            <w:shd w:val="clear" w:color="auto" w:fill="000000"/>
          </w:tcPr>
          <w:p>
            <w:pPr>
              <w:spacing w:after="0"/>
              <w:rPr>
                <w:sz w:val="19"/>
                <w:szCs w:val="19"/>
                <w:color w:val="auto"/>
              </w:rPr>
            </w:pPr>
          </w:p>
        </w:tc>
        <w:tc>
          <w:tcPr>
            <w:tcW w:w="360" w:type="dxa"/>
            <w:vAlign w:val="bottom"/>
            <w:tcBorders>
              <w:bottom w:val="single" w:sz="8" w:color="E6EEFF"/>
            </w:tcBorders>
            <w:shd w:val="clear" w:color="auto" w:fill="E6EEFF"/>
          </w:tcPr>
          <w:p>
            <w:pPr>
              <w:ind w:left="20"/>
              <w:spacing w:after="0"/>
              <w:rPr>
                <w:sz w:val="20"/>
                <w:szCs w:val="20"/>
                <w:color w:val="auto"/>
              </w:rPr>
            </w:pPr>
            <w:r>
              <w:rPr>
                <w:rFonts w:ascii="Calibri" w:cs="Calibri" w:eastAsia="Calibri" w:hAnsi="Calibri"/>
                <w:sz w:val="17"/>
                <w:szCs w:val="17"/>
                <w:color w:val="auto"/>
              </w:rPr>
              <w:t>$</w:t>
            </w:r>
          </w:p>
        </w:tc>
        <w:tc>
          <w:tcPr>
            <w:tcW w:w="106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(360,412)</w:t>
            </w:r>
          </w:p>
        </w:tc>
        <w:tc>
          <w:tcPr>
            <w:tcW w:w="0" w:type="dxa"/>
            <w:vAlign w:val="bottom"/>
          </w:tcPr>
          <w:p>
            <w:pPr>
              <w:spacing w:after="0"/>
              <w:rPr>
                <w:sz w:val="1"/>
                <w:szCs w:val="1"/>
                <w:color w:val="auto"/>
              </w:rPr>
            </w:pPr>
          </w:p>
        </w:tc>
      </w:tr>
      <w:tr>
        <w:trPr>
          <w:trHeight w:val="212"/>
        </w:trPr>
        <w:tc>
          <w:tcPr>
            <w:tcW w:w="4500" w:type="dxa"/>
            <w:vAlign w:val="bottom"/>
            <w:tcBorders>
              <w:bottom w:val="single" w:sz="8" w:color="E6EEFF"/>
            </w:tcBorders>
            <w:gridSpan w:val="2"/>
          </w:tcPr>
          <w:p>
            <w:pPr>
              <w:ind w:left="20"/>
              <w:spacing w:after="0" w:line="205" w:lineRule="exact"/>
              <w:rPr>
                <w:sz w:val="20"/>
                <w:szCs w:val="20"/>
                <w:color w:val="auto"/>
              </w:rPr>
            </w:pPr>
            <w:r>
              <w:rPr>
                <w:rFonts w:ascii="Calibri" w:cs="Calibri" w:eastAsia="Calibri" w:hAnsi="Calibri"/>
                <w:sz w:val="17"/>
                <w:szCs w:val="17"/>
                <w:color w:val="auto"/>
              </w:rPr>
              <w:t>Weighted average common shares outstanding</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19,245</w:t>
            </w:r>
          </w:p>
        </w:tc>
        <w:tc>
          <w:tcPr>
            <w:tcW w:w="100" w:type="dxa"/>
            <w:vAlign w:val="bottom"/>
            <w:tcBorders>
              <w:bottom w:val="single" w:sz="8" w:color="E6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21,303</w:t>
            </w:r>
          </w:p>
        </w:tc>
        <w:tc>
          <w:tcPr>
            <w:tcW w:w="80" w:type="dxa"/>
            <w:vAlign w:val="bottom"/>
            <w:tcBorders>
              <w:bottom w:val="single" w:sz="8" w:color="E6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24,650</w:t>
            </w:r>
          </w:p>
        </w:tc>
        <w:tc>
          <w:tcPr>
            <w:tcW w:w="100" w:type="dxa"/>
            <w:vAlign w:val="bottom"/>
            <w:tcBorders>
              <w:bottom w:val="single" w:sz="8" w:color="E6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29,169</w:t>
            </w:r>
          </w:p>
        </w:tc>
        <w:tc>
          <w:tcPr>
            <w:tcW w:w="220" w:type="dxa"/>
            <w:vAlign w:val="bottom"/>
            <w:tcBorders>
              <w:bottom w:val="single" w:sz="8" w:color="auto"/>
            </w:tcBorders>
            <w:shd w:val="clear" w:color="auto" w:fill="000000"/>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23,594</w:t>
            </w:r>
          </w:p>
        </w:tc>
        <w:tc>
          <w:tcPr>
            <w:tcW w:w="0" w:type="dxa"/>
            <w:vAlign w:val="bottom"/>
          </w:tcPr>
          <w:p>
            <w:pPr>
              <w:spacing w:after="0"/>
              <w:rPr>
                <w:sz w:val="1"/>
                <w:szCs w:val="1"/>
                <w:color w:val="auto"/>
              </w:rPr>
            </w:pPr>
          </w:p>
        </w:tc>
      </w:tr>
      <w:tr>
        <w:trPr>
          <w:trHeight w:val="244"/>
        </w:trPr>
        <w:tc>
          <w:tcPr>
            <w:tcW w:w="4500" w:type="dxa"/>
            <w:vAlign w:val="bottom"/>
            <w:tcBorders>
              <w:bottom w:val="single" w:sz="8" w:color="E6EEFF"/>
            </w:tcBorders>
            <w:gridSpan w:val="2"/>
            <w:shd w:val="clear" w:color="auto" w:fill="E6EEFF"/>
          </w:tcPr>
          <w:p>
            <w:pPr>
              <w:ind w:left="20"/>
              <w:spacing w:after="0"/>
              <w:rPr>
                <w:sz w:val="20"/>
                <w:szCs w:val="20"/>
                <w:color w:val="auto"/>
              </w:rPr>
            </w:pPr>
            <w:r>
              <w:rPr>
                <w:rFonts w:ascii="Calibri" w:cs="Calibri" w:eastAsia="Calibri" w:hAnsi="Calibri"/>
                <w:sz w:val="17"/>
                <w:szCs w:val="17"/>
                <w:color w:val="auto"/>
              </w:rPr>
              <w:t>Comprehensive Income (loss) per common share</w:t>
            </w:r>
          </w:p>
        </w:tc>
        <w:tc>
          <w:tcPr>
            <w:tcW w:w="280" w:type="dxa"/>
            <w:vAlign w:val="bottom"/>
            <w:tcBorders>
              <w:bottom w:val="single" w:sz="8" w:color="auto"/>
            </w:tcBorders>
            <w:shd w:val="clear" w:color="auto" w:fill="E6EEFF"/>
          </w:tcPr>
          <w:p>
            <w:pPr>
              <w:jc w:val="right"/>
              <w:ind w:right="7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(7.70)</w:t>
            </w:r>
          </w:p>
        </w:tc>
        <w:tc>
          <w:tcPr>
            <w:tcW w:w="100" w:type="dxa"/>
            <w:vAlign w:val="bottom"/>
            <w:tcBorders>
              <w:bottom w:val="single" w:sz="8" w:color="E6EEFF"/>
            </w:tcBorders>
            <w:shd w:val="clear" w:color="auto" w:fill="E6EEFF"/>
          </w:tcPr>
          <w:p>
            <w:pPr>
              <w:spacing w:after="0"/>
              <w:rPr>
                <w:sz w:val="20"/>
                <w:szCs w:val="20"/>
                <w:color w:val="auto"/>
              </w:rPr>
            </w:pPr>
          </w:p>
        </w:tc>
        <w:tc>
          <w:tcPr>
            <w:tcW w:w="260" w:type="dxa"/>
            <w:vAlign w:val="bottom"/>
            <w:tcBorders>
              <w:bottom w:val="single" w:sz="8" w:color="auto"/>
            </w:tcBorders>
            <w:shd w:val="clear" w:color="auto" w:fill="E6EEFF"/>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(4.50)</w:t>
            </w:r>
          </w:p>
        </w:tc>
        <w:tc>
          <w:tcPr>
            <w:tcW w:w="80" w:type="dxa"/>
            <w:vAlign w:val="bottom"/>
            <w:tcBorders>
              <w:bottom w:val="single" w:sz="8" w:color="E6EEFF"/>
            </w:tcBorders>
            <w:shd w:val="clear" w:color="auto" w:fill="E6EEFF"/>
          </w:tcPr>
          <w:p>
            <w:pPr>
              <w:spacing w:after="0"/>
              <w:rPr>
                <w:sz w:val="20"/>
                <w:szCs w:val="20"/>
                <w:color w:val="auto"/>
              </w:rPr>
            </w:pPr>
          </w:p>
        </w:tc>
        <w:tc>
          <w:tcPr>
            <w:tcW w:w="280" w:type="dxa"/>
            <w:vAlign w:val="bottom"/>
            <w:tcBorders>
              <w:bottom w:val="single" w:sz="8" w:color="auto"/>
            </w:tcBorders>
            <w:shd w:val="clear" w:color="auto" w:fill="E6EEFF"/>
          </w:tcPr>
          <w:p>
            <w:pPr>
              <w:jc w:val="right"/>
              <w:ind w:right="7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(6.30)</w:t>
            </w:r>
          </w:p>
        </w:tc>
        <w:tc>
          <w:tcPr>
            <w:tcW w:w="100" w:type="dxa"/>
            <w:vAlign w:val="bottom"/>
            <w:tcBorders>
              <w:bottom w:val="single" w:sz="8" w:color="E6EEFF"/>
            </w:tcBorders>
            <w:shd w:val="clear" w:color="auto" w:fill="E6EEFF"/>
          </w:tcPr>
          <w:p>
            <w:pPr>
              <w:spacing w:after="0"/>
              <w:rPr>
                <w:sz w:val="20"/>
                <w:szCs w:val="20"/>
                <w:color w:val="auto"/>
              </w:rPr>
            </w:pPr>
          </w:p>
        </w:tc>
        <w:tc>
          <w:tcPr>
            <w:tcW w:w="260" w:type="dxa"/>
            <w:vAlign w:val="bottom"/>
            <w:tcBorders>
              <w:bottom w:val="single" w:sz="8" w:color="auto"/>
            </w:tcBorders>
            <w:shd w:val="clear" w:color="auto" w:fill="E6EEFF"/>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1.35</w:t>
            </w:r>
          </w:p>
        </w:tc>
        <w:tc>
          <w:tcPr>
            <w:tcW w:w="220" w:type="dxa"/>
            <w:vAlign w:val="bottom"/>
            <w:tcBorders>
              <w:bottom w:val="single" w:sz="8" w:color="auto"/>
            </w:tcBorders>
            <w:shd w:val="clear" w:color="auto" w:fill="000000"/>
          </w:tcPr>
          <w:p>
            <w:pPr>
              <w:spacing w:after="0"/>
              <w:rPr>
                <w:sz w:val="20"/>
                <w:szCs w:val="20"/>
                <w:color w:val="auto"/>
              </w:rPr>
            </w:pPr>
          </w:p>
        </w:tc>
        <w:tc>
          <w:tcPr>
            <w:tcW w:w="360" w:type="dxa"/>
            <w:vAlign w:val="bottom"/>
            <w:tcBorders>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0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(15.28)</w:t>
            </w:r>
          </w:p>
        </w:tc>
        <w:tc>
          <w:tcPr>
            <w:tcW w:w="0" w:type="dxa"/>
            <w:vAlign w:val="bottom"/>
          </w:tcPr>
          <w:p>
            <w:pPr>
              <w:spacing w:after="0"/>
              <w:rPr>
                <w:sz w:val="1"/>
                <w:szCs w:val="1"/>
                <w:color w:val="auto"/>
              </w:rPr>
            </w:pPr>
          </w:p>
        </w:tc>
      </w:tr>
      <w:tr>
        <w:trPr>
          <w:trHeight w:val="20"/>
        </w:trPr>
        <w:tc>
          <w:tcPr>
            <w:tcW w:w="4420" w:type="dxa"/>
            <w:vAlign w:val="bottom"/>
            <w:tcBorders>
              <w:top w:val="single" w:sz="8" w:color="E6EEFF"/>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280" w:type="dxa"/>
            <w:vAlign w:val="bottom"/>
            <w:tcBorders>
              <w:top w:val="single" w:sz="8" w:color="E6EEFF"/>
              <w:bottom w:val="single" w:sz="8" w:color="auto"/>
            </w:tcBorders>
          </w:tcPr>
          <w:p>
            <w:pPr>
              <w:spacing w:after="0" w:line="20" w:lineRule="exact"/>
              <w:rPr>
                <w:sz w:val="1"/>
                <w:szCs w:val="1"/>
                <w:color w:val="auto"/>
              </w:rPr>
            </w:pPr>
          </w:p>
        </w:tc>
        <w:tc>
          <w:tcPr>
            <w:tcW w:w="92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26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280" w:type="dxa"/>
            <w:vAlign w:val="bottom"/>
            <w:tcBorders>
              <w:top w:val="single" w:sz="8" w:color="E6EEFF"/>
              <w:bottom w:val="single" w:sz="8" w:color="auto"/>
            </w:tcBorders>
          </w:tcPr>
          <w:p>
            <w:pPr>
              <w:spacing w:after="0" w:line="20" w:lineRule="exact"/>
              <w:rPr>
                <w:sz w:val="1"/>
                <w:szCs w:val="1"/>
                <w:color w:val="auto"/>
              </w:rPr>
            </w:pPr>
          </w:p>
        </w:tc>
        <w:tc>
          <w:tcPr>
            <w:tcW w:w="92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26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60" w:type="dxa"/>
            <w:vAlign w:val="bottom"/>
            <w:tcBorders>
              <w:top w:val="single" w:sz="8" w:color="E6EEFF"/>
              <w:bottom w:val="single" w:sz="8" w:color="auto"/>
            </w:tcBorders>
          </w:tcPr>
          <w:p>
            <w:pPr>
              <w:spacing w:after="0" w:line="20" w:lineRule="exact"/>
              <w:rPr>
                <w:sz w:val="1"/>
                <w:szCs w:val="1"/>
                <w:color w:val="auto"/>
              </w:rPr>
            </w:pPr>
          </w:p>
        </w:tc>
        <w:tc>
          <w:tcPr>
            <w:tcW w:w="1060" w:type="dxa"/>
            <w:vAlign w:val="bottom"/>
            <w:tcBorders>
              <w:top w:val="single" w:sz="8" w:color="E6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vMerge w:val="restart"/>
            <w:shd w:val="clear" w:color="auto" w:fill="000000"/>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Beginning Book Value per Common Share</w:t>
            </w:r>
          </w:p>
        </w:tc>
        <w:tc>
          <w:tcPr>
            <w:tcW w:w="280" w:type="dxa"/>
            <w:vAlign w:val="bottom"/>
            <w:shd w:val="clear" w:color="auto" w:fill="E6EEFF"/>
          </w:tcPr>
          <w:p>
            <w:pPr>
              <w:jc w:val="right"/>
              <w:ind w:right="7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51.65</w:t>
            </w:r>
          </w:p>
        </w:tc>
        <w:tc>
          <w:tcPr>
            <w:tcW w:w="100" w:type="dxa"/>
            <w:vAlign w:val="bottom"/>
            <w:shd w:val="clear" w:color="auto" w:fill="E6EEFF"/>
          </w:tcPr>
          <w:p>
            <w:pPr>
              <w:spacing w:after="0"/>
              <w:rPr>
                <w:sz w:val="19"/>
                <w:szCs w:val="19"/>
                <w:color w:val="auto"/>
              </w:rPr>
            </w:pPr>
          </w:p>
        </w:tc>
        <w:tc>
          <w:tcPr>
            <w:tcW w:w="260" w:type="dxa"/>
            <w:vAlign w:val="bottom"/>
            <w:shd w:val="clear" w:color="auto" w:fill="E6EEFF"/>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42.40</w:t>
            </w:r>
          </w:p>
        </w:tc>
        <w:tc>
          <w:tcPr>
            <w:tcW w:w="80" w:type="dxa"/>
            <w:vAlign w:val="bottom"/>
            <w:shd w:val="clear" w:color="auto" w:fill="E6EEFF"/>
          </w:tcPr>
          <w:p>
            <w:pPr>
              <w:spacing w:after="0"/>
              <w:rPr>
                <w:sz w:val="19"/>
                <w:szCs w:val="19"/>
                <w:color w:val="auto"/>
              </w:rPr>
            </w:pPr>
          </w:p>
        </w:tc>
        <w:tc>
          <w:tcPr>
            <w:tcW w:w="280" w:type="dxa"/>
            <w:vAlign w:val="bottom"/>
            <w:shd w:val="clear" w:color="auto" w:fill="E6EEFF"/>
          </w:tcPr>
          <w:p>
            <w:pPr>
              <w:jc w:val="right"/>
              <w:ind w:right="7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36.25</w:t>
            </w:r>
          </w:p>
        </w:tc>
        <w:tc>
          <w:tcPr>
            <w:tcW w:w="100" w:type="dxa"/>
            <w:vAlign w:val="bottom"/>
            <w:shd w:val="clear" w:color="auto" w:fill="E6EEFF"/>
          </w:tcPr>
          <w:p>
            <w:pPr>
              <w:spacing w:after="0"/>
              <w:rPr>
                <w:sz w:val="19"/>
                <w:szCs w:val="19"/>
                <w:color w:val="auto"/>
              </w:rPr>
            </w:pPr>
          </w:p>
        </w:tc>
        <w:tc>
          <w:tcPr>
            <w:tcW w:w="260" w:type="dxa"/>
            <w:vAlign w:val="bottom"/>
            <w:shd w:val="clear" w:color="auto" w:fill="E6EEFF"/>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29.15</w:t>
            </w:r>
          </w:p>
        </w:tc>
        <w:tc>
          <w:tcPr>
            <w:tcW w:w="220" w:type="dxa"/>
            <w:vAlign w:val="bottom"/>
            <w:vMerge w:val="continue"/>
            <w:shd w:val="clear" w:color="auto" w:fill="000000"/>
          </w:tcPr>
          <w:p>
            <w:pPr>
              <w:spacing w:after="0"/>
              <w:rPr>
                <w:sz w:val="19"/>
                <w:szCs w:val="19"/>
                <w:color w:val="auto"/>
              </w:rPr>
            </w:pPr>
          </w:p>
        </w:tc>
        <w:tc>
          <w:tcPr>
            <w:tcW w:w="360" w:type="dxa"/>
            <w:vAlign w:val="bottom"/>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06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51.65</w:t>
            </w:r>
          </w:p>
        </w:tc>
        <w:tc>
          <w:tcPr>
            <w:tcW w:w="0" w:type="dxa"/>
            <w:vAlign w:val="bottom"/>
          </w:tcPr>
          <w:p>
            <w:pPr>
              <w:spacing w:after="0"/>
              <w:rPr>
                <w:sz w:val="1"/>
                <w:szCs w:val="1"/>
                <w:color w:val="auto"/>
              </w:rPr>
            </w:pPr>
          </w:p>
        </w:tc>
      </w:tr>
      <w:tr>
        <w:trPr>
          <w:trHeight w:val="212"/>
        </w:trPr>
        <w:tc>
          <w:tcPr>
            <w:tcW w:w="450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Comprehensive Income (loss) per common share</w:t>
            </w:r>
          </w:p>
        </w:tc>
        <w:tc>
          <w:tcPr>
            <w:tcW w:w="280" w:type="dxa"/>
            <w:vAlign w:val="bottom"/>
          </w:tcPr>
          <w:p>
            <w:pPr>
              <w:spacing w:after="0"/>
              <w:rPr>
                <w:sz w:val="18"/>
                <w:szCs w:val="18"/>
                <w:color w:val="auto"/>
              </w:rPr>
            </w:pP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(7.70)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(4.50)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(6.30)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1.35</w:t>
            </w:r>
          </w:p>
        </w:tc>
        <w:tc>
          <w:tcPr>
            <w:tcW w:w="220" w:type="dxa"/>
            <w:vAlign w:val="bottom"/>
            <w:shd w:val="clear" w:color="auto" w:fill="000000"/>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line="205" w:lineRule="exact"/>
              <w:rPr>
                <w:sz w:val="20"/>
                <w:szCs w:val="20"/>
                <w:color w:val="auto"/>
              </w:rPr>
            </w:pPr>
            <w:r>
              <w:rPr>
                <w:rFonts w:ascii="Calibri" w:cs="Calibri" w:eastAsia="Calibri" w:hAnsi="Calibri"/>
                <w:sz w:val="17"/>
                <w:szCs w:val="17"/>
                <w:color w:val="auto"/>
              </w:rPr>
              <w:t>(15.28)</w:t>
            </w:r>
          </w:p>
        </w:tc>
        <w:tc>
          <w:tcPr>
            <w:tcW w:w="0" w:type="dxa"/>
            <w:vAlign w:val="bottom"/>
          </w:tcPr>
          <w:p>
            <w:pPr>
              <w:spacing w:after="0"/>
              <w:rPr>
                <w:sz w:val="1"/>
                <w:szCs w:val="1"/>
                <w:color w:val="auto"/>
              </w:rPr>
            </w:pPr>
          </w:p>
        </w:tc>
      </w:tr>
      <w:tr>
        <w:trPr>
          <w:trHeight w:val="226"/>
        </w:trPr>
        <w:tc>
          <w:tcPr>
            <w:tcW w:w="450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Dividends Declared per common Share</w:t>
            </w:r>
          </w:p>
        </w:tc>
        <w:tc>
          <w:tcPr>
            <w:tcW w:w="280" w:type="dxa"/>
            <w:vAlign w:val="bottom"/>
            <w:shd w:val="clear" w:color="auto" w:fill="E6EEFF"/>
          </w:tcPr>
          <w:p>
            <w:pPr>
              <w:spacing w:after="0"/>
              <w:rPr>
                <w:sz w:val="19"/>
                <w:szCs w:val="19"/>
                <w:color w:val="auto"/>
              </w:rPr>
            </w:pPr>
          </w:p>
        </w:tc>
        <w:tc>
          <w:tcPr>
            <w:tcW w:w="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(1.50)</w:t>
            </w:r>
          </w:p>
        </w:tc>
        <w:tc>
          <w:tcPr>
            <w:tcW w:w="100" w:type="dxa"/>
            <w:vAlign w:val="bottom"/>
            <w:shd w:val="clear" w:color="auto" w:fill="E6EEFF"/>
          </w:tcPr>
          <w:p>
            <w:pPr>
              <w:spacing w:after="0"/>
              <w:rPr>
                <w:sz w:val="19"/>
                <w:szCs w:val="19"/>
                <w:color w:val="auto"/>
              </w:rPr>
            </w:pPr>
          </w:p>
        </w:tc>
        <w:tc>
          <w:tcPr>
            <w:tcW w:w="260" w:type="dxa"/>
            <w:vAlign w:val="bottom"/>
            <w:shd w:val="clear" w:color="auto" w:fill="E6EEFF"/>
          </w:tcPr>
          <w:p>
            <w:pPr>
              <w:spacing w:after="0"/>
              <w:rPr>
                <w:sz w:val="19"/>
                <w:szCs w:val="19"/>
                <w:color w:val="auto"/>
              </w:rPr>
            </w:pPr>
          </w:p>
        </w:tc>
        <w:tc>
          <w:tcPr>
            <w:tcW w:w="9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(1.50)</w:t>
            </w:r>
          </w:p>
        </w:tc>
        <w:tc>
          <w:tcPr>
            <w:tcW w:w="80" w:type="dxa"/>
            <w:vAlign w:val="bottom"/>
            <w:shd w:val="clear" w:color="auto" w:fill="E6EEFF"/>
          </w:tcPr>
          <w:p>
            <w:pPr>
              <w:spacing w:after="0"/>
              <w:rPr>
                <w:sz w:val="19"/>
                <w:szCs w:val="19"/>
                <w:color w:val="auto"/>
              </w:rPr>
            </w:pPr>
          </w:p>
        </w:tc>
        <w:tc>
          <w:tcPr>
            <w:tcW w:w="280" w:type="dxa"/>
            <w:vAlign w:val="bottom"/>
            <w:shd w:val="clear" w:color="auto" w:fill="E6EEFF"/>
          </w:tcPr>
          <w:p>
            <w:pPr>
              <w:spacing w:after="0"/>
              <w:rPr>
                <w:sz w:val="19"/>
                <w:szCs w:val="19"/>
                <w:color w:val="auto"/>
              </w:rPr>
            </w:pPr>
          </w:p>
        </w:tc>
        <w:tc>
          <w:tcPr>
            <w:tcW w:w="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(1.50)</w:t>
            </w:r>
          </w:p>
        </w:tc>
        <w:tc>
          <w:tcPr>
            <w:tcW w:w="100" w:type="dxa"/>
            <w:vAlign w:val="bottom"/>
            <w:shd w:val="clear" w:color="auto" w:fill="E6EEFF"/>
          </w:tcPr>
          <w:p>
            <w:pPr>
              <w:spacing w:after="0"/>
              <w:rPr>
                <w:sz w:val="19"/>
                <w:szCs w:val="19"/>
                <w:color w:val="auto"/>
              </w:rPr>
            </w:pPr>
          </w:p>
        </w:tc>
        <w:tc>
          <w:tcPr>
            <w:tcW w:w="260" w:type="dxa"/>
            <w:vAlign w:val="bottom"/>
            <w:shd w:val="clear" w:color="auto" w:fill="E6EEFF"/>
          </w:tcPr>
          <w:p>
            <w:pPr>
              <w:spacing w:after="0"/>
              <w:rPr>
                <w:sz w:val="19"/>
                <w:szCs w:val="19"/>
                <w:color w:val="auto"/>
              </w:rPr>
            </w:pPr>
          </w:p>
        </w:tc>
        <w:tc>
          <w:tcPr>
            <w:tcW w:w="9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(1.50)</w:t>
            </w:r>
          </w:p>
        </w:tc>
        <w:tc>
          <w:tcPr>
            <w:tcW w:w="220" w:type="dxa"/>
            <w:vAlign w:val="bottom"/>
            <w:shd w:val="clear" w:color="auto" w:fill="000000"/>
          </w:tcPr>
          <w:p>
            <w:pPr>
              <w:spacing w:after="0"/>
              <w:rPr>
                <w:sz w:val="19"/>
                <w:szCs w:val="19"/>
                <w:color w:val="auto"/>
              </w:rPr>
            </w:pPr>
          </w:p>
        </w:tc>
        <w:tc>
          <w:tcPr>
            <w:tcW w:w="360" w:type="dxa"/>
            <w:vAlign w:val="bottom"/>
            <w:shd w:val="clear" w:color="auto" w:fill="E6EEFF"/>
          </w:tcPr>
          <w:p>
            <w:pPr>
              <w:spacing w:after="0"/>
              <w:rPr>
                <w:sz w:val="19"/>
                <w:szCs w:val="19"/>
                <w:color w:val="auto"/>
              </w:rPr>
            </w:pPr>
          </w:p>
        </w:tc>
        <w:tc>
          <w:tcPr>
            <w:tcW w:w="10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(6.00)</w:t>
            </w:r>
          </w:p>
        </w:tc>
        <w:tc>
          <w:tcPr>
            <w:tcW w:w="0" w:type="dxa"/>
            <w:vAlign w:val="bottom"/>
          </w:tcPr>
          <w:p>
            <w:pPr>
              <w:spacing w:after="0"/>
              <w:rPr>
                <w:sz w:val="1"/>
                <w:szCs w:val="1"/>
                <w:color w:val="auto"/>
              </w:rPr>
            </w:pPr>
          </w:p>
        </w:tc>
      </w:tr>
      <w:tr>
        <w:trPr>
          <w:trHeight w:val="212"/>
        </w:trPr>
        <w:tc>
          <w:tcPr>
            <w:tcW w:w="4500" w:type="dxa"/>
            <w:vAlign w:val="bottom"/>
            <w:tcBorders>
              <w:bottom w:val="single" w:sz="8" w:color="E6EEFF"/>
            </w:tcBorders>
            <w:gridSpan w:val="2"/>
          </w:tcPr>
          <w:p>
            <w:pPr>
              <w:ind w:left="20"/>
              <w:spacing w:after="0" w:line="205" w:lineRule="exact"/>
              <w:rPr>
                <w:sz w:val="20"/>
                <w:szCs w:val="20"/>
                <w:color w:val="auto"/>
              </w:rPr>
            </w:pPr>
            <w:r>
              <w:rPr>
                <w:rFonts w:ascii="Calibri" w:cs="Calibri" w:eastAsia="Calibri" w:hAnsi="Calibri"/>
                <w:sz w:val="17"/>
                <w:szCs w:val="17"/>
                <w:color w:val="auto"/>
              </w:rPr>
              <w:t>Accretve (Dilutve) Efect of Capital Actvity</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(0.05)</w:t>
            </w:r>
          </w:p>
        </w:tc>
        <w:tc>
          <w:tcPr>
            <w:tcW w:w="100" w:type="dxa"/>
            <w:vAlign w:val="bottom"/>
            <w:tcBorders>
              <w:bottom w:val="single" w:sz="8" w:color="E6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(0.15)</w:t>
            </w:r>
          </w:p>
        </w:tc>
        <w:tc>
          <w:tcPr>
            <w:tcW w:w="80" w:type="dxa"/>
            <w:vAlign w:val="bottom"/>
            <w:tcBorders>
              <w:bottom w:val="single" w:sz="8" w:color="E6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0.70</w:t>
            </w:r>
          </w:p>
        </w:tc>
        <w:tc>
          <w:tcPr>
            <w:tcW w:w="100" w:type="dxa"/>
            <w:vAlign w:val="bottom"/>
            <w:tcBorders>
              <w:bottom w:val="single" w:sz="8" w:color="E6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(0.10)</w:t>
            </w:r>
          </w:p>
        </w:tc>
        <w:tc>
          <w:tcPr>
            <w:tcW w:w="220" w:type="dxa"/>
            <w:vAlign w:val="bottom"/>
            <w:tcBorders>
              <w:bottom w:val="single" w:sz="8" w:color="auto"/>
            </w:tcBorders>
            <w:shd w:val="clear" w:color="auto" w:fill="000000"/>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(1.47)</w:t>
            </w:r>
          </w:p>
        </w:tc>
        <w:tc>
          <w:tcPr>
            <w:tcW w:w="0" w:type="dxa"/>
            <w:vAlign w:val="bottom"/>
          </w:tcPr>
          <w:p>
            <w:pPr>
              <w:spacing w:after="0"/>
              <w:rPr>
                <w:sz w:val="1"/>
                <w:szCs w:val="1"/>
                <w:color w:val="auto"/>
              </w:rPr>
            </w:pPr>
          </w:p>
        </w:tc>
      </w:tr>
      <w:tr>
        <w:trPr>
          <w:trHeight w:val="244"/>
        </w:trPr>
        <w:tc>
          <w:tcPr>
            <w:tcW w:w="4500" w:type="dxa"/>
            <w:vAlign w:val="bottom"/>
            <w:tcBorders>
              <w:bottom w:val="single" w:sz="8" w:color="E6EEFF"/>
            </w:tcBorders>
            <w:gridSpan w:val="2"/>
            <w:shd w:val="clear" w:color="auto" w:fill="E6EEFF"/>
          </w:tcPr>
          <w:p>
            <w:pPr>
              <w:ind w:left="20"/>
              <w:spacing w:after="0"/>
              <w:rPr>
                <w:sz w:val="20"/>
                <w:szCs w:val="20"/>
                <w:color w:val="auto"/>
              </w:rPr>
            </w:pPr>
            <w:r>
              <w:rPr>
                <w:rFonts w:ascii="Calibri" w:cs="Calibri" w:eastAsia="Calibri" w:hAnsi="Calibri"/>
                <w:sz w:val="17"/>
                <w:szCs w:val="17"/>
                <w:color w:val="auto"/>
              </w:rPr>
              <w:t>Ending Book Value per Common Share</w:t>
            </w:r>
          </w:p>
        </w:tc>
        <w:tc>
          <w:tcPr>
            <w:tcW w:w="280" w:type="dxa"/>
            <w:vAlign w:val="bottom"/>
            <w:tcBorders>
              <w:bottom w:val="single" w:sz="8" w:color="auto"/>
            </w:tcBorders>
            <w:shd w:val="clear" w:color="auto" w:fill="E6EEFF"/>
          </w:tcPr>
          <w:p>
            <w:pPr>
              <w:jc w:val="right"/>
              <w:ind w:right="7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42.40</w:t>
            </w:r>
          </w:p>
        </w:tc>
        <w:tc>
          <w:tcPr>
            <w:tcW w:w="100" w:type="dxa"/>
            <w:vAlign w:val="bottom"/>
            <w:tcBorders>
              <w:bottom w:val="single" w:sz="8" w:color="E6EEFF"/>
            </w:tcBorders>
            <w:shd w:val="clear" w:color="auto" w:fill="E6EEFF"/>
          </w:tcPr>
          <w:p>
            <w:pPr>
              <w:spacing w:after="0"/>
              <w:rPr>
                <w:sz w:val="20"/>
                <w:szCs w:val="20"/>
                <w:color w:val="auto"/>
              </w:rPr>
            </w:pPr>
          </w:p>
        </w:tc>
        <w:tc>
          <w:tcPr>
            <w:tcW w:w="260" w:type="dxa"/>
            <w:vAlign w:val="bottom"/>
            <w:tcBorders>
              <w:bottom w:val="single" w:sz="8" w:color="auto"/>
            </w:tcBorders>
            <w:shd w:val="clear" w:color="auto" w:fill="E6EEFF"/>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36.25</w:t>
            </w:r>
          </w:p>
        </w:tc>
        <w:tc>
          <w:tcPr>
            <w:tcW w:w="80" w:type="dxa"/>
            <w:vAlign w:val="bottom"/>
            <w:tcBorders>
              <w:bottom w:val="single" w:sz="8" w:color="E6EEFF"/>
            </w:tcBorders>
            <w:shd w:val="clear" w:color="auto" w:fill="E6EEFF"/>
          </w:tcPr>
          <w:p>
            <w:pPr>
              <w:spacing w:after="0"/>
              <w:rPr>
                <w:sz w:val="20"/>
                <w:szCs w:val="20"/>
                <w:color w:val="auto"/>
              </w:rPr>
            </w:pPr>
          </w:p>
        </w:tc>
        <w:tc>
          <w:tcPr>
            <w:tcW w:w="280" w:type="dxa"/>
            <w:vAlign w:val="bottom"/>
            <w:tcBorders>
              <w:bottom w:val="single" w:sz="8" w:color="auto"/>
            </w:tcBorders>
            <w:shd w:val="clear" w:color="auto" w:fill="E6EEFF"/>
          </w:tcPr>
          <w:p>
            <w:pPr>
              <w:jc w:val="right"/>
              <w:ind w:right="74"/>
              <w:spacing w:after="0" w:line="205" w:lineRule="exact"/>
              <w:rPr>
                <w:sz w:val="20"/>
                <w:szCs w:val="20"/>
                <w:color w:val="auto"/>
              </w:rPr>
            </w:pPr>
            <w:r>
              <w:rPr>
                <w:rFonts w:ascii="Calibri" w:cs="Calibri" w:eastAsia="Calibri" w:hAnsi="Calibri"/>
                <w:sz w:val="17"/>
                <w:szCs w:val="17"/>
                <w:color w:val="auto"/>
              </w:rPr>
              <w:t>$</w:t>
            </w:r>
          </w:p>
        </w:tc>
        <w:tc>
          <w:tcPr>
            <w:tcW w:w="9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29.15</w:t>
            </w:r>
          </w:p>
        </w:tc>
        <w:tc>
          <w:tcPr>
            <w:tcW w:w="100" w:type="dxa"/>
            <w:vAlign w:val="bottom"/>
            <w:tcBorders>
              <w:bottom w:val="single" w:sz="8" w:color="E6EEFF"/>
            </w:tcBorders>
            <w:shd w:val="clear" w:color="auto" w:fill="E6EEFF"/>
          </w:tcPr>
          <w:p>
            <w:pPr>
              <w:spacing w:after="0"/>
              <w:rPr>
                <w:sz w:val="20"/>
                <w:szCs w:val="20"/>
                <w:color w:val="auto"/>
              </w:rPr>
            </w:pPr>
          </w:p>
        </w:tc>
        <w:tc>
          <w:tcPr>
            <w:tcW w:w="260" w:type="dxa"/>
            <w:vAlign w:val="bottom"/>
            <w:tcBorders>
              <w:bottom w:val="single" w:sz="8" w:color="auto"/>
            </w:tcBorders>
            <w:shd w:val="clear" w:color="auto" w:fill="E6EEFF"/>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28.90</w:t>
            </w:r>
          </w:p>
        </w:tc>
        <w:tc>
          <w:tcPr>
            <w:tcW w:w="220" w:type="dxa"/>
            <w:vAlign w:val="bottom"/>
            <w:tcBorders>
              <w:bottom w:val="single" w:sz="8" w:color="auto"/>
            </w:tcBorders>
            <w:shd w:val="clear" w:color="auto" w:fill="000000"/>
          </w:tcPr>
          <w:p>
            <w:pPr>
              <w:spacing w:after="0"/>
              <w:rPr>
                <w:sz w:val="20"/>
                <w:szCs w:val="20"/>
                <w:color w:val="auto"/>
              </w:rPr>
            </w:pPr>
          </w:p>
        </w:tc>
        <w:tc>
          <w:tcPr>
            <w:tcW w:w="360" w:type="dxa"/>
            <w:vAlign w:val="bottom"/>
            <w:tcBorders>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0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28.90</w:t>
            </w:r>
          </w:p>
        </w:tc>
        <w:tc>
          <w:tcPr>
            <w:tcW w:w="0" w:type="dxa"/>
            <w:vAlign w:val="bottom"/>
          </w:tcPr>
          <w:p>
            <w:pPr>
              <w:spacing w:after="0"/>
              <w:rPr>
                <w:sz w:val="1"/>
                <w:szCs w:val="1"/>
                <w:color w:val="auto"/>
              </w:rPr>
            </w:pPr>
          </w:p>
        </w:tc>
      </w:tr>
      <w:tr>
        <w:trPr>
          <w:trHeight w:val="20"/>
        </w:trPr>
        <w:tc>
          <w:tcPr>
            <w:tcW w:w="4420" w:type="dxa"/>
            <w:vAlign w:val="bottom"/>
            <w:tcBorders>
              <w:top w:val="single" w:sz="8" w:color="E6EEFF"/>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280" w:type="dxa"/>
            <w:vAlign w:val="bottom"/>
            <w:tcBorders>
              <w:top w:val="single" w:sz="8" w:color="E6EEFF"/>
              <w:bottom w:val="single" w:sz="8" w:color="auto"/>
            </w:tcBorders>
          </w:tcPr>
          <w:p>
            <w:pPr>
              <w:spacing w:after="0" w:line="20" w:lineRule="exact"/>
              <w:rPr>
                <w:sz w:val="1"/>
                <w:szCs w:val="1"/>
                <w:color w:val="auto"/>
              </w:rPr>
            </w:pPr>
          </w:p>
        </w:tc>
        <w:tc>
          <w:tcPr>
            <w:tcW w:w="92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26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280" w:type="dxa"/>
            <w:vAlign w:val="bottom"/>
            <w:tcBorders>
              <w:top w:val="single" w:sz="8" w:color="E6EEFF"/>
              <w:bottom w:val="single" w:sz="8" w:color="auto"/>
            </w:tcBorders>
          </w:tcPr>
          <w:p>
            <w:pPr>
              <w:spacing w:after="0" w:line="20" w:lineRule="exact"/>
              <w:rPr>
                <w:sz w:val="1"/>
                <w:szCs w:val="1"/>
                <w:color w:val="auto"/>
              </w:rPr>
            </w:pPr>
          </w:p>
        </w:tc>
        <w:tc>
          <w:tcPr>
            <w:tcW w:w="92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26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E6EEFF"/>
              <w:bottom w:val="single" w:sz="8" w:color="auto"/>
            </w:tcBorders>
          </w:tcPr>
          <w:p>
            <w:pPr>
              <w:spacing w:after="0" w:line="20" w:lineRule="exact"/>
              <w:rPr>
                <w:sz w:val="1"/>
                <w:szCs w:val="1"/>
                <w:color w:val="auto"/>
              </w:rPr>
            </w:pPr>
          </w:p>
        </w:tc>
        <w:tc>
          <w:tcPr>
            <w:tcW w:w="1060" w:type="dxa"/>
            <w:vAlign w:val="bottom"/>
            <w:tcBorders>
              <w:top w:val="single" w:sz="8" w:color="E6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left="240" w:hanging="237"/>
        <w:spacing w:after="0" w:line="238" w:lineRule="auto"/>
        <w:tabs>
          <w:tab w:leader="none" w:pos="252" w:val="left"/>
        </w:tabs>
        <w:numPr>
          <w:ilvl w:val="0"/>
          <w:numId w:val="11"/>
        </w:numPr>
        <w:rPr>
          <w:rFonts w:ascii="Calibri" w:cs="Calibri" w:eastAsia="Calibri" w:hAnsi="Calibri"/>
          <w:sz w:val="17"/>
          <w:szCs w:val="17"/>
          <w:color w:val="auto"/>
        </w:rPr>
      </w:pPr>
      <w:r>
        <w:rPr>
          <w:rFonts w:ascii="Calibri" w:cs="Calibri" w:eastAsia="Calibri" w:hAnsi="Calibri"/>
          <w:sz w:val="17"/>
          <w:szCs w:val="17"/>
          <w:color w:val="auto"/>
        </w:rPr>
        <w:t>Per shares amounts are not intended to be added across periods under GAAP. In this illustraton, comprehensive loss per common share for the year ended December 31, 2023 and December 31, 2022, is $(0.03) and $1.87 per share, respectvely (lower) higher than the algebraic sum of corresponding amounts for the four individual quarters of the year. Similarly, the (dilutve) accretve efect of our capital actvity is $(0.03) and $1.87 per common share, respectvely (larger) smaller when calculated on an annual basis as compared to the algebraic sum of the individual quarterly calculatons.</w:t>
      </w:r>
    </w:p>
    <w:p>
      <w:pPr>
        <w:spacing w:after="0" w:line="170" w:lineRule="exact"/>
        <w:rPr>
          <w:sz w:val="20"/>
          <w:szCs w:val="20"/>
          <w:color w:val="auto"/>
        </w:rPr>
      </w:pPr>
    </w:p>
    <w:p>
      <w:pPr>
        <w:ind w:firstLine="619"/>
        <w:spacing w:after="0" w:line="237" w:lineRule="auto"/>
        <w:rPr>
          <w:sz w:val="20"/>
          <w:szCs w:val="20"/>
          <w:color w:val="auto"/>
        </w:rPr>
      </w:pPr>
      <w:r>
        <w:rPr>
          <w:rFonts w:ascii="Calibri" w:cs="Calibri" w:eastAsia="Calibri" w:hAnsi="Calibri"/>
          <w:sz w:val="17"/>
          <w:szCs w:val="17"/>
          <w:color w:val="auto"/>
        </w:rPr>
        <w:t>The denominator efect is also present when aggregatng days into a month or months into a quarter for purposes of per share calculatons. Accordingly, the atributed accreton or diluton we report for a quarter or longer period may not be fully representatve of the daily results of our capital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8" w:name="page19"/>
    <w:bookmarkEnd w:id="18"/>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17</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ARMOUR is externally managed by ACM:</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ACM may terminate the management agreement for any reason. If ACM ceases to be our investment manager, fnancial insttutons providing any fnancing arrangements to us may not provide future fnancing to us.</w:t>
      </w:r>
    </w:p>
    <w:p>
      <w:pPr>
        <w:spacing w:after="0" w:line="106"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management agreement allows ACM to terminate its service to ARMOUR for any reason upon 180 days prior writen notce. No terminaton fee shall be due from ACM to ARMOUR following any terminaton by ACM.</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Financial insttutons that fnance our investments may require that ACM contnue to act in such capacity. If ACM ceases to be our manager, it may consttute an event of default and the fnancial insttuton providing the arrangement may have acceleraton rights with respect to outstanding borrowings and terminaton rights with respect to our ability to fnance our future investments with that insttuton. If we are unable to obtain fnancing for our accelerated borrowings and for our future investments under such circumstances, it is likely that we would be materially and adversely afected.</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ACM’s liability is limited under the management agreement and we have agreed to indemnify ACM and its afliates against certain liabilites. As a result, we could experience poor performance or losses for which ACM would not be liable.</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management agreement limits the liability of ACM and any directors and ofcers of ACM for money damages, except for liability resultng from actual receipt of an improper beneft or proft in money, property or services, or a fnal judgment based upon a fnding of actve and deliberate dishonesty by the director or ofcer that was material to the cause of acton adjudicated.</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Pursuant to the management agreement, ACM will not assume any responsibility other than to render the services called for thereunder and will not be responsible for any acton of our Board in following or declining to follow its advice or recommendatons. ACM and its afliates, directors, ofcers, stockholders, equity holders, employees, representatves and agents and any afliates thereof, will not be liable to us, our stockholders, any subsidiary of ours, the stockholders of any subsidiary of ours, our Board, any issuer of mortgage securites, any credit-party, any counterparty under any agreement, or any other person for any acts or omissions, errors of judgment or mistakes of law by ACM or its afliates, directors, ofcers, stockholders, equity holders, employees, representatves or agents, or any afliates thereof, under or in connecton with the management agreement, except if ACM was grossly negligent, acted with reckless disregard or engaged in willful misconduct or fraud while discharging its dutes under the management agreement. We have agreed to indemnify ACM and its afliates, directors, ofcers, stockholders, equity holders, employees, representatves and agents and any afliates thereof, with respect to all expenses, losses, costs, damages, liabilites, demands, charges and claims of any nature, actual or threatened (including reasonable atorneys’ fees), arising from or in respect of any acts or omissions, errors of judgment or mistakes of law (or any alleged acts or omissions, errors of judgment or mistakes of law) performed or made while actng in any capacity contemplated under the management agreement or pursuant to any underwritng or similar agreement to which ACM is a party that is related to our actvites, unless ACM was grossly negligent, acted with reckless disregard or engaged in willful misconduct or fraud while discharging its dutes under the management agreement. As a result, we could experience poor performance or losses for which ACM would not be liable.</w:t>
      </w:r>
    </w:p>
    <w:p>
      <w:pPr>
        <w:spacing w:after="0" w:line="187"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 additon, our artcles of incorporaton provide that no director or ofcer of ours shall be personally liable to us or our stockholders for money damages. Furthermore, our artcles of incorporaton permit and our by-laws require, us to indemnify, pay or reimburse any present or former director or ofcer of ours who is made or threatened to be made a party to a proceeding by reason of his or her service to us in such capacity. Ofcers and directors of ours who are also ofcers of ACM will therefore beneft from the exculpaton and indemnifcaton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1156335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9" w:name="page20"/>
    <w:bookmarkEnd w:id="19"/>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10" w:lineRule="exact"/>
        <w:rPr>
          <w:sz w:val="20"/>
          <w:szCs w:val="20"/>
          <w:color w:val="auto"/>
        </w:rPr>
      </w:pPr>
    </w:p>
    <w:p>
      <w:pPr>
        <w:ind w:left="11080"/>
        <w:spacing w:after="0"/>
        <w:rPr>
          <w:sz w:val="20"/>
          <w:szCs w:val="20"/>
          <w:color w:val="auto"/>
        </w:rPr>
      </w:pPr>
      <w:r>
        <w:rPr>
          <w:rFonts w:ascii="Calibri" w:cs="Calibri" w:eastAsia="Calibri" w:hAnsi="Calibri"/>
          <w:sz w:val="15"/>
          <w:szCs w:val="15"/>
          <w:color w:val="1C4787"/>
        </w:rPr>
        <w:t>18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alibri" w:cs="Calibri" w:eastAsia="Calibri" w:hAnsi="Calibri"/>
          <w:sz w:val="17"/>
          <w:szCs w:val="17"/>
          <w:color w:val="auto"/>
        </w:rPr>
        <w:t>provisions of our artcles of incorporaton and by-laws and accordingly may not be liable to us in such circumstances.</w:t>
      </w:r>
    </w:p>
    <w:p>
      <w:pPr>
        <w:spacing w:after="0" w:line="179"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There are potental conficts of interest with current and future investment enttes afliated with ACM.</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There are potental conficts of interest in allocatng investment opportunites among us and other funds, investment vehicles and ventures which ACM and its afliates may in the future form or sponsor, which additonal investment vehicles and ventures may have overlapping objectves with us and therefore may compete with us for investment opportunites and ACM resources. ACM has an allocaton policy that addresses the manner in which investment opportunites are allocated among the various enttes and strategies for which they provide investment management services. However, we cannot assure you that ACM will always allocate every investment opportunity in a manner that is advantageous for us; indeed, we may expect that the allocaton of investment opportunites will at tmes result in our receiving only a porton of, or none of, certain investment opportunites.</w:t>
      </w:r>
    </w:p>
    <w:p>
      <w:pPr>
        <w:spacing w:after="0" w:line="168"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There are potental conficts of interest with the allocaton of investment opportunites by ACM.</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In allocatng investment opportunites among us and any other funds or accounts that may be managed by them, ACM's personnel are guided by the principles that they will treat all enttes fairly and equitably, they will not arbitrarily distnguish among enttes and they will not favor one entty over another.</w:t>
      </w:r>
    </w:p>
    <w:p>
      <w:pPr>
        <w:spacing w:after="0" w:line="170" w:lineRule="exact"/>
        <w:rPr>
          <w:sz w:val="20"/>
          <w:szCs w:val="20"/>
          <w:color w:val="auto"/>
        </w:rPr>
      </w:pPr>
    </w:p>
    <w:p>
      <w:pPr>
        <w:jc w:val="both"/>
        <w:ind w:firstLine="425"/>
        <w:spacing w:after="0" w:line="238" w:lineRule="auto"/>
        <w:rPr>
          <w:sz w:val="20"/>
          <w:szCs w:val="20"/>
          <w:color w:val="auto"/>
        </w:rPr>
      </w:pPr>
      <w:r>
        <w:rPr>
          <w:rFonts w:ascii="Calibri" w:cs="Calibri" w:eastAsia="Calibri" w:hAnsi="Calibri"/>
          <w:sz w:val="17"/>
          <w:szCs w:val="17"/>
          <w:color w:val="auto"/>
        </w:rPr>
        <w:t>In allocatng a specifc investment opportunity among funds or accounts, ACM will make a determinaton, exercising its judgment in good faith, as to whether the opportunity is appropriate for each entty. Factors in making such a determinaton may include an evaluaton of each entty's liquidity, overall investment strategy and objectves, the compositon of the existng portolio, the size or amount of the available opportunity, the characteristcs of the securites involved, the liquidity of the markets in which the securites trade, the risks involved, and other factors relatng to the entty and the investment opportunity. ACM is not required to provide every opportunity to each entty.</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If ACM determines that an investment opportunity is appropriate for us, then ACM will allocate that opportunity in a manner that it determines, exercising its judgment in good faith, to be fair and equitable, taking into consideraton all allocatons taken as a whole. ACM has broad discreton in making that determinaton, and in amending that determinaton over tme.</w:t>
      </w:r>
    </w:p>
    <w:p>
      <w:pPr>
        <w:spacing w:after="0" w:line="169"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In the future, ACM may adopt additonal conficts of interest resoluton policies and procedures designed to support the equitable allocaton and to prevent the preferental allocaton of investment opportunites among enttes with overlapping investment objectves.</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Members of our management team have competng dutes to other enttes, which could result in decisions that are not in the best interests of our stockholders.</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executve ofcers and the employees of ACM are not required to spend all of their tme managing our actvites and our investment portolio. Our executve ofcers and the employees of ACM currently allocate a substantal majority of their tme to ARMOUR. Certain executve ofcers and the employees of ACM also allocate some of their tme to other businesses and actvites. None of these individuals is required to devote a specifc minimum amount of tme to our afairs, and the porton of their tme devoted elsewhere could become material. As a result of these overlapping responsibilites, there may be conficts of interest among and reduced tme commitments from our ofcers and employees of ACM that we will face in making investment decisions on our behalf. Accordingly, we will compete with ACM, and its existng actvites, other ventures and possibly other enttes in the future for the tme and atenton of these ofcers.</w:t>
      </w:r>
    </w:p>
    <w:p>
      <w:pPr>
        <w:spacing w:after="0" w:line="183"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In the future, we may enter, or ACM may cause us to enter, into additonal transactons with ACM or its afliates. In partcular, we may make loans to ACM or its afliates or purchase, or ACM may cause us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0" w:name="page21"/>
    <w:bookmarkEnd w:id="20"/>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19</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assets from ACM or its afliates or make co-purchases alongside ACM or its afliates. These transactons may not be the result of arm’s length negotatons and may involve conficts between our interests and the interests of ACM and/or its afliates in obtaining favorable terms and conditons.</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i w:val="1"/>
          <w:iCs w:val="1"/>
          <w:u w:val="single" w:color="auto"/>
          <w:color w:val="1C4787"/>
        </w:rPr>
        <w:t>ACM's management fees are calculated based on our gross equity raised and not on our performance. Gross equity raised substantally exceeds total stockholders' equity determined in accordance with GAAP and management fee expenses do not decline with reductons in our total stockholders' equity. As a result, ACM's annualized contractual management fee rate as of December 31, 2023, equaled 3.09% of stockholders' equity.</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management agreement enttles ACM to receive a management fee payable monthly in arrears calculated based on gross equity raised (see Note 8 and Note 14 to the consolidated fnancial statements). The annualized management fee rate is (a) 1.5% of gross equity raised up to $1.0 billion plus (b) 0.75% of gross equity raised in excess of $1.0 billion. Gross equity raised includes the total amounts of paid in capital relatng to both our common and preferred stock, before deducton of brokerage commissions and other costs of capital raising. Amounts paid to stockholders to repurchase common and preferred stock, before deducton of brokerage commissions and costs, reduce gross equity raised. Dividends specifcally designated by the Board as liquidaton dividends reduce the amount of gross equity raised. To date the Board has made no such specifc designaton of any of the dividends paid by the Company. Pursuant to prior versions of the management agreement, gross equity raised was reduced by $123,199 to refect dividends paid in in excess of taxable income prior to January 1, 2016. Regular dividends (including those treated as a return of capital for tax purposes on or afer January 1, 2016) and investment losses do not reduce gross equity raised. Investment gains and net income do not increase gross equity raised. Accordingly, we have experienced and may contnue to experience reductons in our total stockholders’ equity without a commensurate reducton in management fee expense.</w:t>
      </w:r>
    </w:p>
    <w:p>
      <w:pPr>
        <w:spacing w:after="0" w:line="17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At December 31, 2023 gross equity raised totaled $4,231,965 resultng in an efectve contractual management fee rate, prior to management fees waived, of 0.93% of that base. The resultng annualized contractual management fee of $39,240 represents 3.09% of the Company’s total stockholders’ equity determined in accordance with GAAP of $1,271,184 at December 31, 2023.</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ACM is enttled to receive monthly management fees that are based on gross equity raised regardless of our performance. Accordingly, ARMOUR has paid, and may in the future pay, signifcant management fees to ACM for a given month in which we experience a total comprehensive loss. ACM’s enttlement to such signifcant nonperformance-based compensaton may not provide sufcient incentve to ACM to devote its tme and efort to source and maximize risk adjusted returns on our investment portolio, which could, in turn, adversely afect our ability to pay dividends to our stockholders and the market price of our stock. Further, the management fee structure gives ACM the incentve to maximize gross equity raised by the issuance of new equity securites or the retenton of existng equity, regardless of the efect of these actons on existng stockholders. In other words, the management fee structure will reward ACM primarily based on the size of our equity raised and not on our current common equity capital or fnancial returns to common stockholders.</w:t>
      </w:r>
    </w:p>
    <w:p>
      <w:pPr>
        <w:spacing w:after="0" w:line="184"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ACM has voluntarily waived a porton of its contractual management fee. ACM has reduced, and may further reduce, the amount of or discontnue entrely its voluntary fee waiver without our consent.</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ACM began waiving 40% of its management fee beginning with the second quarter of 2020. ACM reduced the fee waiver to the rate of $7,800 for the year ended December 31, 2022. For the year ended December 31, 2023 ACM adjusted the fee waiver rate to $1,650 for the frst quarter of 2023 and $550 per month thereafer untl further notce (see Note 8 to the consolidated fnancial statements). ACM may prospectvely further reduce the amount of or discontnue entrely its voluntary fee waiver at its sole discreton and without requiring our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1156335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1" w:name="page22"/>
    <w:bookmarkEnd w:id="21"/>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20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The terminaton of the management agreement may be difcult and costly.</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may not terminate our management agreement with ACM before December 31, 2029, except for cause or in connecton with the liquidaton of ARMOUR or certain business combinaton transactons. For the period from January 1, 2024 through December 31, 2029, ARMOUR is obliged to pay contractual management fees totaling approximately $235,440 based on gross equity raised as of December 31, 2023, the date of the most recent management contract extension.</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term “cause” is limited to those circumstances described in the management agreement with ACM and generally includes a fnal court determinaton of material breach of the management agreement, willful misconduct, gross negligence or fraud. Upon a terminaton by us in connecton with the liquidaton of ARMOUR or certain business combinaton transactons the management agreement provides that ARMOUR will pay ACM a terminaton payment equal to four tmes the contractual base management fee payable to ACM in the preceding full 12 months, calculated as of the efectve date of the terminaton of the agreement. ACM's voluntary fee waiver does not reduce the amount of such terminaton payment. The contractual management fee payable to ACM for the 12 months ended December 31, 2023, was $38,121. The contractually required terminaton payment would increase the efectve cost to us to terminate the management agreement in connecton with the liquidaton of ARMOUR or certain business combinatons and adversely afect ARMOUR's atractveness as a potental business combinaton target.</w:t>
      </w:r>
    </w:p>
    <w:p>
      <w:pPr>
        <w:spacing w:after="0" w:line="171"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ARMOUR does not have the contractual right to voluntarily end our relatonship with ACM before December 31, 2029, even if we believe ACM’s performance is not satsfactory. Accordingly, we would need to negotate a mutually agreeable terminaton setlement in order to internalize new management of ARMOUR or engage a diferent manager. Such a negotated terminaton setlement may be difcult and costly to achieve.</w:t>
      </w:r>
    </w:p>
    <w:p>
      <w:pPr>
        <w:spacing w:after="0" w:line="166"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The management agreement with ACM will automatcally renew for an additonal 5-year term unless ARMOUR gives 180-day writen notce of non-renewal.</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current term of our management agreement with ACM extends through December 31, 2029. This management agreement will automatcally renew for an additonal fve-year term to December 31, 2034 unless ARMOUR gives ACM writen notce of non-renewal on or before July 3, 2029. Such non-renewal notce requires either two-thirds of our independent directors or holders of a majority of the common stock outstanding to fnd that (i) there has been unsatsfactory performance by ACM that is materially detrimental to ARMOUR or (ii) that the compensaton to ACM is unfair, in which case ACM may endeavor to renegotate such compensaton on terms agreeable to two-thirds of the independent directors. The term of the management agreement and automatc renewals thereof may limit ARMOUR’s ability to cancel or modify the agreement to address changing circumstances.</w:t>
      </w:r>
    </w:p>
    <w:p>
      <w:pPr>
        <w:spacing w:after="0" w:line="183"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The management agreement was not negotated on an arm’s-length basis and the terms, including fees payable, may not be as favorable to us as if they were negotated with an unafliated third-party</w:t>
      </w:r>
      <w:r>
        <w:rPr>
          <w:rFonts w:ascii="Calibri" w:cs="Calibri" w:eastAsia="Calibri" w:hAnsi="Calibri"/>
          <w:sz w:val="17"/>
          <w:szCs w:val="17"/>
          <w:i w:val="1"/>
          <w:iCs w:val="1"/>
          <w:color w:val="1C4787"/>
        </w:rPr>
        <w:t>.</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management agreement that we entered into with ACM was negotated between related partes, and we did not have the beneft of arm’s-length negotatons of the type normally conducted with an unafliated third-party. The terms of the management agreement, including fees payable, may not refect the terms that we may have received if it were negotated with an unrelated third-party. In additon, we may choose not to enforce, or to enforce less vigorously, our rights under the management agreement because of our desire to maintain our ongoing relatonship with ACM.</w:t>
      </w:r>
    </w:p>
    <w:p>
      <w:pPr>
        <w:spacing w:after="0" w:line="16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We and equity analysts consider Distributable Earnings as a measure of ARMOUR’s investment performance:</w:t>
      </w:r>
    </w:p>
    <w:p>
      <w:pPr>
        <w:spacing w:after="0" w:line="102"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Distributable Earnings is a non-GAAP measure which excludes gains and losses, and therefore is an imperfect measure of our overall fnancial performance.</w:t>
      </w:r>
    </w:p>
    <w:p>
      <w:pPr>
        <w:spacing w:after="0" w:line="238" w:lineRule="auto"/>
        <w:rPr>
          <w:sz w:val="20"/>
          <w:szCs w:val="20"/>
          <w:color w:val="auto"/>
        </w:rPr>
      </w:pPr>
      <w:r>
        <w:rPr>
          <w:rFonts w:ascii="Calibri" w:cs="Calibri" w:eastAsia="Calibri" w:hAnsi="Calibri"/>
          <w:sz w:val="17"/>
          <w:szCs w:val="17"/>
          <w:i w:val="1"/>
          <w:iCs w:val="1"/>
          <w:u w:val="single" w:color="auto"/>
          <w:color w:val="1C4787"/>
        </w:rPr>
        <w:t>Distributable Earnings is not a standardized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1115060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391160</wp:posOffset>
            </wp:positionV>
            <wp:extent cx="458470" cy="5073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2" w:name="page23"/>
    <w:bookmarkEnd w:id="22"/>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21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consider Distributable Earnings as a measure of our investment performance and discuss our periodic fnancial results in terms of Distributable Earnings in our press releases and conference calls with equity analysts. We believe that Distributable Earnings is useful to investors because it is related to the amount of dividends we may distribute. Distributable Earnings is a non-GAAP measure defned as net interest income plus TBA Drop Income adjusted for the net coupon efect of interest rate swaps minus net operatng expenses. Distributable Earnings difers, potentally signifcantly, from net interest income and from total comprehensive loss (which includes realized gains and losses and market value adjustments).</w:t>
      </w:r>
    </w:p>
    <w:p>
      <w:pPr>
        <w:spacing w:after="0" w:line="183"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following table illustrates the relatonship between Distributable Earnings and net interest income and total comprehensive income for the year ended December 31, 2023 and December 31, 2022.</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8140" w:type="dxa"/>
            <w:vAlign w:val="bottom"/>
            <w:shd w:val="clear" w:color="auto" w:fill="E6EEFF"/>
          </w:tcPr>
          <w:p>
            <w:pPr>
              <w:spacing w:after="0"/>
              <w:rPr>
                <w:sz w:val="19"/>
                <w:szCs w:val="19"/>
                <w:color w:val="auto"/>
              </w:rPr>
            </w:pPr>
          </w:p>
        </w:tc>
        <w:tc>
          <w:tcPr>
            <w:tcW w:w="1540" w:type="dxa"/>
            <w:vAlign w:val="bottom"/>
            <w:gridSpan w:val="3"/>
            <w:shd w:val="clear" w:color="auto" w:fill="E6EEFF"/>
          </w:tcPr>
          <w:p>
            <w:pPr>
              <w:ind w:left="60"/>
              <w:spacing w:after="0"/>
              <w:rPr>
                <w:sz w:val="20"/>
                <w:szCs w:val="20"/>
                <w:color w:val="auto"/>
              </w:rPr>
            </w:pPr>
            <w:r>
              <w:rPr>
                <w:rFonts w:ascii="Calibri" w:cs="Calibri" w:eastAsia="Calibri" w:hAnsi="Calibri"/>
                <w:sz w:val="17"/>
                <w:szCs w:val="17"/>
                <w:b w:val="1"/>
                <w:bCs w:val="1"/>
                <w:color w:val="1C4787"/>
              </w:rPr>
              <w:t>December 31, 2023</w:t>
            </w:r>
          </w:p>
        </w:tc>
        <w:tc>
          <w:tcPr>
            <w:tcW w:w="146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b w:val="1"/>
                <w:bCs w:val="1"/>
                <w:color w:val="1C4787"/>
              </w:rPr>
              <w:t>December 31, 2022</w:t>
            </w:r>
          </w:p>
        </w:tc>
      </w:tr>
      <w:tr>
        <w:trPr>
          <w:trHeight w:val="205"/>
        </w:trPr>
        <w:tc>
          <w:tcPr>
            <w:tcW w:w="8140" w:type="dxa"/>
            <w:vAlign w:val="bottom"/>
          </w:tcPr>
          <w:p>
            <w:pPr>
              <w:spacing w:after="0" w:line="190" w:lineRule="exact"/>
              <w:rPr>
                <w:sz w:val="20"/>
                <w:szCs w:val="20"/>
                <w:color w:val="auto"/>
              </w:rPr>
            </w:pPr>
            <w:r>
              <w:rPr>
                <w:rFonts w:ascii="Calibri" w:cs="Calibri" w:eastAsia="Calibri" w:hAnsi="Calibri"/>
                <w:sz w:val="17"/>
                <w:szCs w:val="17"/>
                <w:color w:val="auto"/>
              </w:rPr>
              <w:t>Net Interest Income</w:t>
            </w:r>
          </w:p>
        </w:tc>
        <w:tc>
          <w:tcPr>
            <w:tcW w:w="460" w:type="dxa"/>
            <w:vAlign w:val="bottom"/>
            <w:tcBorders>
              <w:top w:val="single" w:sz="8" w:color="auto"/>
            </w:tcBorders>
          </w:tcPr>
          <w:p>
            <w:pPr>
              <w:jc w:val="right"/>
              <w:ind w:right="27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27,109</w:t>
            </w:r>
          </w:p>
        </w:tc>
        <w:tc>
          <w:tcPr>
            <w:tcW w:w="80" w:type="dxa"/>
            <w:vAlign w:val="bottom"/>
          </w:tcPr>
          <w:p>
            <w:pPr>
              <w:spacing w:after="0"/>
              <w:rPr>
                <w:sz w:val="17"/>
                <w:szCs w:val="17"/>
                <w:color w:val="auto"/>
              </w:rPr>
            </w:pPr>
          </w:p>
        </w:tc>
        <w:tc>
          <w:tcPr>
            <w:tcW w:w="420" w:type="dxa"/>
            <w:vAlign w:val="bottom"/>
            <w:tcBorders>
              <w:top w:val="single" w:sz="8" w:color="auto"/>
            </w:tcBorders>
          </w:tcPr>
          <w:p>
            <w:pPr>
              <w:jc w:val="right"/>
              <w:ind w:right="234"/>
              <w:spacing w:after="0" w:line="205" w:lineRule="exact"/>
              <w:rPr>
                <w:sz w:val="20"/>
                <w:szCs w:val="20"/>
                <w:color w:val="auto"/>
              </w:rPr>
            </w:pPr>
            <w:r>
              <w:rPr>
                <w:rFonts w:ascii="Calibri" w:cs="Calibri" w:eastAsia="Calibri" w:hAnsi="Calibri"/>
                <w:sz w:val="17"/>
                <w:szCs w:val="17"/>
                <w:color w:val="auto"/>
                <w:w w:val="92"/>
              </w:rPr>
              <w:t>$</w:t>
            </w:r>
          </w:p>
        </w:tc>
        <w:tc>
          <w:tcPr>
            <w:tcW w:w="104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107,664</w:t>
            </w:r>
          </w:p>
        </w:tc>
      </w:tr>
      <w:tr>
        <w:trPr>
          <w:trHeight w:val="226"/>
        </w:trPr>
        <w:tc>
          <w:tcPr>
            <w:tcW w:w="8140" w:type="dxa"/>
            <w:vAlign w:val="bottom"/>
            <w:shd w:val="clear" w:color="auto" w:fill="E6EEFF"/>
          </w:tcPr>
          <w:p>
            <w:pPr>
              <w:spacing w:after="0"/>
              <w:rPr>
                <w:sz w:val="20"/>
                <w:szCs w:val="20"/>
                <w:color w:val="auto"/>
              </w:rPr>
            </w:pPr>
            <w:r>
              <w:rPr>
                <w:rFonts w:ascii="Calibri" w:cs="Calibri" w:eastAsia="Calibri" w:hAnsi="Calibri"/>
                <w:sz w:val="17"/>
                <w:szCs w:val="17"/>
                <w:color w:val="auto"/>
              </w:rPr>
              <w:t>TBA Drop Income</w:t>
            </w:r>
          </w:p>
        </w:tc>
        <w:tc>
          <w:tcPr>
            <w:tcW w:w="46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6,088</w:t>
            </w:r>
          </w:p>
        </w:tc>
        <w:tc>
          <w:tcPr>
            <w:tcW w:w="80" w:type="dxa"/>
            <w:vAlign w:val="bottom"/>
            <w:shd w:val="clear" w:color="auto" w:fill="E6EEFF"/>
          </w:tcPr>
          <w:p>
            <w:pPr>
              <w:spacing w:after="0"/>
              <w:rPr>
                <w:sz w:val="19"/>
                <w:szCs w:val="19"/>
                <w:color w:val="auto"/>
              </w:rPr>
            </w:pPr>
          </w:p>
        </w:tc>
        <w:tc>
          <w:tcPr>
            <w:tcW w:w="420" w:type="dxa"/>
            <w:vAlign w:val="bottom"/>
            <w:shd w:val="clear" w:color="auto" w:fill="E6EEFF"/>
          </w:tcPr>
          <w:p>
            <w:pPr>
              <w:spacing w:after="0"/>
              <w:rPr>
                <w:sz w:val="19"/>
                <w:szCs w:val="19"/>
                <w:color w:val="auto"/>
              </w:rPr>
            </w:pPr>
          </w:p>
        </w:tc>
        <w:tc>
          <w:tcPr>
            <w:tcW w:w="10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24,661</w:t>
            </w:r>
          </w:p>
        </w:tc>
      </w:tr>
      <w:tr>
        <w:trPr>
          <w:trHeight w:val="212"/>
        </w:trPr>
        <w:tc>
          <w:tcPr>
            <w:tcW w:w="8140" w:type="dxa"/>
            <w:vAlign w:val="bottom"/>
          </w:tcPr>
          <w:p>
            <w:pPr>
              <w:spacing w:after="0" w:line="205" w:lineRule="exact"/>
              <w:rPr>
                <w:sz w:val="20"/>
                <w:szCs w:val="20"/>
                <w:color w:val="auto"/>
              </w:rPr>
            </w:pPr>
            <w:r>
              <w:rPr>
                <w:rFonts w:ascii="Calibri" w:cs="Calibri" w:eastAsia="Calibri" w:hAnsi="Calibri"/>
                <w:sz w:val="17"/>
                <w:szCs w:val="17"/>
                <w:color w:val="auto"/>
              </w:rPr>
              <w:t>Net interest income on derivatves</w:t>
            </w:r>
          </w:p>
        </w:tc>
        <w:tc>
          <w:tcPr>
            <w:tcW w:w="46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219,710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line="205" w:lineRule="exact"/>
              <w:rPr>
                <w:sz w:val="20"/>
                <w:szCs w:val="20"/>
                <w:color w:val="auto"/>
              </w:rPr>
            </w:pPr>
            <w:r>
              <w:rPr>
                <w:rFonts w:ascii="Calibri" w:cs="Calibri" w:eastAsia="Calibri" w:hAnsi="Calibri"/>
                <w:sz w:val="17"/>
                <w:szCs w:val="17"/>
                <w:color w:val="auto"/>
              </w:rPr>
              <w:t>53,067</w:t>
            </w:r>
          </w:p>
        </w:tc>
      </w:tr>
      <w:tr>
        <w:trPr>
          <w:trHeight w:val="219"/>
        </w:trPr>
        <w:tc>
          <w:tcPr>
            <w:tcW w:w="8140" w:type="dxa"/>
            <w:vAlign w:val="bottom"/>
            <w:shd w:val="clear" w:color="auto" w:fill="E6EEFF"/>
          </w:tcPr>
          <w:p>
            <w:pPr>
              <w:spacing w:after="0"/>
              <w:rPr>
                <w:sz w:val="20"/>
                <w:szCs w:val="20"/>
                <w:color w:val="auto"/>
              </w:rPr>
            </w:pPr>
            <w:r>
              <w:rPr>
                <w:rFonts w:ascii="Calibri" w:cs="Calibri" w:eastAsia="Calibri" w:hAnsi="Calibri"/>
                <w:sz w:val="17"/>
                <w:szCs w:val="17"/>
                <w:color w:val="auto"/>
              </w:rPr>
              <w:t>Total Expenses afer fees waived</w:t>
            </w:r>
          </w:p>
        </w:tc>
        <w:tc>
          <w:tcPr>
            <w:tcW w:w="460" w:type="dxa"/>
            <w:vAlign w:val="bottom"/>
            <w:tcBorders>
              <w:bottom w:val="single" w:sz="8" w:color="auto"/>
            </w:tcBorders>
            <w:shd w:val="clear" w:color="auto" w:fill="E6EEFF"/>
          </w:tcPr>
          <w:p>
            <w:pPr>
              <w:spacing w:after="0"/>
              <w:rPr>
                <w:sz w:val="19"/>
                <w:szCs w:val="19"/>
                <w:color w:val="auto"/>
              </w:rPr>
            </w:pPr>
          </w:p>
        </w:tc>
        <w:tc>
          <w:tcPr>
            <w:tcW w:w="100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(43,551)</w:t>
            </w:r>
          </w:p>
        </w:tc>
        <w:tc>
          <w:tcPr>
            <w:tcW w:w="80" w:type="dxa"/>
            <w:vAlign w:val="bottom"/>
            <w:shd w:val="clear" w:color="auto" w:fill="E6EEFF"/>
          </w:tcPr>
          <w:p>
            <w:pPr>
              <w:spacing w:after="0"/>
              <w:rPr>
                <w:sz w:val="19"/>
                <w:szCs w:val="19"/>
                <w:color w:val="auto"/>
              </w:rPr>
            </w:pPr>
          </w:p>
        </w:tc>
        <w:tc>
          <w:tcPr>
            <w:tcW w:w="420" w:type="dxa"/>
            <w:vAlign w:val="bottom"/>
            <w:tcBorders>
              <w:bottom w:val="single" w:sz="8" w:color="auto"/>
            </w:tcBorders>
            <w:shd w:val="clear" w:color="auto" w:fill="E6EEFF"/>
          </w:tcPr>
          <w:p>
            <w:pPr>
              <w:spacing w:after="0"/>
              <w:rPr>
                <w:sz w:val="19"/>
                <w:szCs w:val="19"/>
                <w:color w:val="auto"/>
              </w:rPr>
            </w:pPr>
          </w:p>
        </w:tc>
        <w:tc>
          <w:tcPr>
            <w:tcW w:w="10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(37,833)</w:t>
            </w:r>
          </w:p>
        </w:tc>
      </w:tr>
      <w:tr>
        <w:trPr>
          <w:trHeight w:val="219"/>
        </w:trPr>
        <w:tc>
          <w:tcPr>
            <w:tcW w:w="8140" w:type="dxa"/>
            <w:vAlign w:val="bottom"/>
          </w:tcPr>
          <w:p>
            <w:pPr>
              <w:spacing w:after="0"/>
              <w:rPr>
                <w:sz w:val="20"/>
                <w:szCs w:val="20"/>
                <w:color w:val="auto"/>
              </w:rPr>
            </w:pPr>
            <w:r>
              <w:rPr>
                <w:rFonts w:ascii="Calibri" w:cs="Calibri" w:eastAsia="Calibri" w:hAnsi="Calibri"/>
                <w:sz w:val="17"/>
                <w:szCs w:val="17"/>
                <w:color w:val="auto"/>
              </w:rPr>
              <w:t>Distributable Earnings</w:t>
            </w:r>
          </w:p>
        </w:tc>
        <w:tc>
          <w:tcPr>
            <w:tcW w:w="460" w:type="dxa"/>
            <w:vAlign w:val="bottom"/>
            <w:tcBorders>
              <w:bottom w:val="single" w:sz="8" w:color="auto"/>
            </w:tcBorders>
          </w:tcPr>
          <w:p>
            <w:pPr>
              <w:jc w:val="right"/>
              <w:ind w:right="27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209,356</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line="205" w:lineRule="exact"/>
              <w:rPr>
                <w:sz w:val="20"/>
                <w:szCs w:val="20"/>
                <w:color w:val="auto"/>
              </w:rPr>
            </w:pPr>
            <w:r>
              <w:rPr>
                <w:rFonts w:ascii="Calibri" w:cs="Calibri" w:eastAsia="Calibri" w:hAnsi="Calibri"/>
                <w:sz w:val="17"/>
                <w:szCs w:val="17"/>
                <w:color w:val="auto"/>
                <w:w w:val="92"/>
              </w:rPr>
              <w:t>$</w:t>
            </w:r>
          </w:p>
        </w:tc>
        <w:tc>
          <w:tcPr>
            <w:tcW w:w="10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147,559</w:t>
            </w:r>
          </w:p>
        </w:tc>
      </w:tr>
      <w:tr>
        <w:trPr>
          <w:trHeight w:val="20"/>
        </w:trPr>
        <w:tc>
          <w:tcPr>
            <w:tcW w:w="8140" w:type="dxa"/>
            <w:vAlign w:val="bottom"/>
            <w:tcBorders>
              <w:bottom w:val="single" w:sz="8" w:color="E6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08"/>
        </w:trPr>
        <w:tc>
          <w:tcPr>
            <w:tcW w:w="8140" w:type="dxa"/>
            <w:vAlign w:val="bottom"/>
            <w:shd w:val="clear" w:color="auto" w:fill="E6EEFF"/>
          </w:tcPr>
          <w:p>
            <w:pPr>
              <w:spacing w:after="0"/>
              <w:rPr>
                <w:sz w:val="9"/>
                <w:szCs w:val="9"/>
                <w:color w:val="auto"/>
              </w:rPr>
            </w:pPr>
          </w:p>
        </w:tc>
        <w:tc>
          <w:tcPr>
            <w:tcW w:w="460" w:type="dxa"/>
            <w:vAlign w:val="bottom"/>
            <w:shd w:val="clear" w:color="auto" w:fill="E6EEFF"/>
          </w:tcPr>
          <w:p>
            <w:pPr>
              <w:spacing w:after="0"/>
              <w:rPr>
                <w:sz w:val="9"/>
                <w:szCs w:val="9"/>
                <w:color w:val="auto"/>
              </w:rPr>
            </w:pPr>
          </w:p>
        </w:tc>
        <w:tc>
          <w:tcPr>
            <w:tcW w:w="1000" w:type="dxa"/>
            <w:vAlign w:val="bottom"/>
            <w:shd w:val="clear" w:color="auto" w:fill="E6EEFF"/>
          </w:tcPr>
          <w:p>
            <w:pPr>
              <w:spacing w:after="0"/>
              <w:rPr>
                <w:sz w:val="9"/>
                <w:szCs w:val="9"/>
                <w:color w:val="auto"/>
              </w:rPr>
            </w:pPr>
          </w:p>
        </w:tc>
        <w:tc>
          <w:tcPr>
            <w:tcW w:w="80" w:type="dxa"/>
            <w:vAlign w:val="bottom"/>
            <w:shd w:val="clear" w:color="auto" w:fill="E6EEFF"/>
          </w:tcPr>
          <w:p>
            <w:pPr>
              <w:spacing w:after="0"/>
              <w:rPr>
                <w:sz w:val="9"/>
                <w:szCs w:val="9"/>
                <w:color w:val="auto"/>
              </w:rPr>
            </w:pPr>
          </w:p>
        </w:tc>
        <w:tc>
          <w:tcPr>
            <w:tcW w:w="420" w:type="dxa"/>
            <w:vAlign w:val="bottom"/>
            <w:shd w:val="clear" w:color="auto" w:fill="E6EEFF"/>
          </w:tcPr>
          <w:p>
            <w:pPr>
              <w:spacing w:after="0"/>
              <w:rPr>
                <w:sz w:val="9"/>
                <w:szCs w:val="9"/>
                <w:color w:val="auto"/>
              </w:rPr>
            </w:pPr>
          </w:p>
        </w:tc>
        <w:tc>
          <w:tcPr>
            <w:tcW w:w="1040" w:type="dxa"/>
            <w:vAlign w:val="bottom"/>
            <w:shd w:val="clear" w:color="auto" w:fill="E6EEFF"/>
          </w:tcPr>
          <w:p>
            <w:pPr>
              <w:spacing w:after="0"/>
              <w:rPr>
                <w:sz w:val="9"/>
                <w:szCs w:val="9"/>
                <w:color w:val="auto"/>
              </w:rPr>
            </w:pPr>
          </w:p>
        </w:tc>
      </w:tr>
      <w:tr>
        <w:trPr>
          <w:trHeight w:val="212"/>
        </w:trPr>
        <w:tc>
          <w:tcPr>
            <w:tcW w:w="8140" w:type="dxa"/>
            <w:vAlign w:val="bottom"/>
            <w:tcBorders>
              <w:bottom w:val="single" w:sz="8" w:color="E6EEFF"/>
            </w:tcBorders>
          </w:tcPr>
          <w:p>
            <w:pPr>
              <w:spacing w:after="0" w:line="205" w:lineRule="exact"/>
              <w:rPr>
                <w:sz w:val="20"/>
                <w:szCs w:val="20"/>
                <w:color w:val="auto"/>
              </w:rPr>
            </w:pPr>
            <w:r>
              <w:rPr>
                <w:rFonts w:ascii="Calibri" w:cs="Calibri" w:eastAsia="Calibri" w:hAnsi="Calibri"/>
                <w:sz w:val="17"/>
                <w:szCs w:val="17"/>
                <w:color w:val="auto"/>
              </w:rPr>
              <w:t>Total Comprehensive Loss</w:t>
            </w:r>
          </w:p>
        </w:tc>
        <w:tc>
          <w:tcPr>
            <w:tcW w:w="460" w:type="dxa"/>
            <w:vAlign w:val="bottom"/>
            <w:tcBorders>
              <w:bottom w:val="single" w:sz="8" w:color="auto"/>
            </w:tcBorders>
          </w:tcPr>
          <w:p>
            <w:pPr>
              <w:jc w:val="right"/>
              <w:ind w:right="27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(56,396)</w:t>
            </w:r>
          </w:p>
        </w:tc>
        <w:tc>
          <w:tcPr>
            <w:tcW w:w="80" w:type="dxa"/>
            <w:vAlign w:val="bottom"/>
            <w:tcBorders>
              <w:bottom w:val="single" w:sz="8" w:color="E6EEFF"/>
            </w:tcBorders>
          </w:tcPr>
          <w:p>
            <w:pPr>
              <w:spacing w:after="0"/>
              <w:rPr>
                <w:sz w:val="18"/>
                <w:szCs w:val="18"/>
                <w:color w:val="auto"/>
              </w:rPr>
            </w:pPr>
          </w:p>
        </w:tc>
        <w:tc>
          <w:tcPr>
            <w:tcW w:w="420" w:type="dxa"/>
            <w:vAlign w:val="bottom"/>
            <w:tcBorders>
              <w:bottom w:val="single" w:sz="8" w:color="auto"/>
            </w:tcBorders>
          </w:tcPr>
          <w:p>
            <w:pPr>
              <w:jc w:val="right"/>
              <w:ind w:right="234"/>
              <w:spacing w:after="0" w:line="205" w:lineRule="exact"/>
              <w:rPr>
                <w:sz w:val="20"/>
                <w:szCs w:val="20"/>
                <w:color w:val="auto"/>
              </w:rPr>
            </w:pPr>
            <w:r>
              <w:rPr>
                <w:rFonts w:ascii="Calibri" w:cs="Calibri" w:eastAsia="Calibri" w:hAnsi="Calibri"/>
                <w:sz w:val="17"/>
                <w:szCs w:val="17"/>
                <w:color w:val="auto"/>
                <w:w w:val="92"/>
              </w:rPr>
              <w:t>$</w:t>
            </w:r>
          </w:p>
        </w:tc>
        <w:tc>
          <w:tcPr>
            <w:tcW w:w="10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(348,430)</w:t>
            </w:r>
          </w:p>
        </w:tc>
      </w:tr>
      <w:tr>
        <w:trPr>
          <w:trHeight w:val="206"/>
        </w:trPr>
        <w:tc>
          <w:tcPr>
            <w:tcW w:w="8140" w:type="dxa"/>
            <w:vAlign w:val="bottom"/>
            <w:shd w:val="clear" w:color="auto" w:fill="E6EEFF"/>
          </w:tcPr>
          <w:p>
            <w:pPr>
              <w:spacing w:after="0" w:line="192" w:lineRule="exact"/>
              <w:rPr>
                <w:sz w:val="20"/>
                <w:szCs w:val="20"/>
                <w:color w:val="auto"/>
              </w:rPr>
            </w:pPr>
            <w:r>
              <w:rPr>
                <w:rFonts w:ascii="Calibri" w:cs="Calibri" w:eastAsia="Calibri" w:hAnsi="Calibri"/>
                <w:sz w:val="17"/>
                <w:szCs w:val="17"/>
                <w:color w:val="auto"/>
              </w:rPr>
              <w:t>Items Excluded From Distributable Earnings:</w:t>
            </w:r>
          </w:p>
        </w:tc>
        <w:tc>
          <w:tcPr>
            <w:tcW w:w="460" w:type="dxa"/>
            <w:vAlign w:val="bottom"/>
            <w:shd w:val="clear" w:color="auto" w:fill="E6EEFF"/>
          </w:tcPr>
          <w:p>
            <w:pPr>
              <w:spacing w:after="0"/>
              <w:rPr>
                <w:sz w:val="17"/>
                <w:szCs w:val="17"/>
                <w:color w:val="auto"/>
              </w:rPr>
            </w:pPr>
          </w:p>
        </w:tc>
        <w:tc>
          <w:tcPr>
            <w:tcW w:w="1000" w:type="dxa"/>
            <w:vAlign w:val="bottom"/>
            <w:shd w:val="clear" w:color="auto" w:fill="E6EEFF"/>
          </w:tcPr>
          <w:p>
            <w:pPr>
              <w:spacing w:after="0"/>
              <w:rPr>
                <w:sz w:val="17"/>
                <w:szCs w:val="17"/>
                <w:color w:val="auto"/>
              </w:rPr>
            </w:pPr>
          </w:p>
        </w:tc>
        <w:tc>
          <w:tcPr>
            <w:tcW w:w="80" w:type="dxa"/>
            <w:vAlign w:val="bottom"/>
            <w:shd w:val="clear" w:color="auto" w:fill="E6EEFF"/>
          </w:tcPr>
          <w:p>
            <w:pPr>
              <w:spacing w:after="0"/>
              <w:rPr>
                <w:sz w:val="17"/>
                <w:szCs w:val="17"/>
                <w:color w:val="auto"/>
              </w:rPr>
            </w:pPr>
          </w:p>
        </w:tc>
        <w:tc>
          <w:tcPr>
            <w:tcW w:w="420" w:type="dxa"/>
            <w:vAlign w:val="bottom"/>
            <w:shd w:val="clear" w:color="auto" w:fill="E6EEFF"/>
          </w:tcPr>
          <w:p>
            <w:pPr>
              <w:spacing w:after="0"/>
              <w:rPr>
                <w:sz w:val="17"/>
                <w:szCs w:val="17"/>
                <w:color w:val="auto"/>
              </w:rPr>
            </w:pPr>
          </w:p>
        </w:tc>
        <w:tc>
          <w:tcPr>
            <w:tcW w:w="1040" w:type="dxa"/>
            <w:vAlign w:val="bottom"/>
            <w:shd w:val="clear" w:color="auto" w:fill="E6EEFF"/>
          </w:tcPr>
          <w:p>
            <w:pPr>
              <w:spacing w:after="0"/>
              <w:rPr>
                <w:sz w:val="17"/>
                <w:szCs w:val="17"/>
                <w:color w:val="auto"/>
              </w:rPr>
            </w:pPr>
          </w:p>
        </w:tc>
      </w:tr>
      <w:tr>
        <w:trPr>
          <w:trHeight w:val="212"/>
        </w:trPr>
        <w:tc>
          <w:tcPr>
            <w:tcW w:w="8140" w:type="dxa"/>
            <w:vAlign w:val="bottom"/>
          </w:tcPr>
          <w:p>
            <w:pPr>
              <w:ind w:left="100"/>
              <w:spacing w:after="0" w:line="205" w:lineRule="exact"/>
              <w:rPr>
                <w:sz w:val="20"/>
                <w:szCs w:val="20"/>
                <w:color w:val="auto"/>
              </w:rPr>
            </w:pPr>
            <w:r>
              <w:rPr>
                <w:rFonts w:ascii="Calibri" w:cs="Calibri" w:eastAsia="Calibri" w:hAnsi="Calibri"/>
                <w:sz w:val="17"/>
                <w:szCs w:val="17"/>
                <w:color w:val="auto"/>
              </w:rPr>
              <w:t>Loss on MBS</w:t>
            </w:r>
          </w:p>
        </w:tc>
        <w:tc>
          <w:tcPr>
            <w:tcW w:w="460" w:type="dxa"/>
            <w:vAlign w:val="bottom"/>
          </w:tcPr>
          <w:p>
            <w:pPr>
              <w:jc w:val="right"/>
              <w:ind w:right="27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78,018</w:t>
            </w:r>
          </w:p>
        </w:tc>
        <w:tc>
          <w:tcPr>
            <w:tcW w:w="80" w:type="dxa"/>
            <w:vAlign w:val="bottom"/>
          </w:tcPr>
          <w:p>
            <w:pPr>
              <w:spacing w:after="0"/>
              <w:rPr>
                <w:sz w:val="18"/>
                <w:szCs w:val="18"/>
                <w:color w:val="auto"/>
              </w:rPr>
            </w:pPr>
          </w:p>
        </w:tc>
        <w:tc>
          <w:tcPr>
            <w:tcW w:w="420" w:type="dxa"/>
            <w:vAlign w:val="bottom"/>
          </w:tcPr>
          <w:p>
            <w:pPr>
              <w:jc w:val="right"/>
              <w:ind w:right="234"/>
              <w:spacing w:after="0" w:line="205" w:lineRule="exact"/>
              <w:rPr>
                <w:sz w:val="20"/>
                <w:szCs w:val="20"/>
                <w:color w:val="auto"/>
              </w:rPr>
            </w:pPr>
            <w:r>
              <w:rPr>
                <w:rFonts w:ascii="Calibri" w:cs="Calibri" w:eastAsia="Calibri" w:hAnsi="Calibri"/>
                <w:sz w:val="17"/>
                <w:szCs w:val="17"/>
                <w:color w:val="auto"/>
                <w:w w:val="92"/>
              </w:rPr>
              <w:t>$</w:t>
            </w:r>
          </w:p>
        </w:tc>
        <w:tc>
          <w:tcPr>
            <w:tcW w:w="1040" w:type="dxa"/>
            <w:vAlign w:val="bottom"/>
          </w:tcPr>
          <w:p>
            <w:pPr>
              <w:jc w:val="right"/>
              <w:spacing w:after="0" w:line="205" w:lineRule="exact"/>
              <w:rPr>
                <w:sz w:val="20"/>
                <w:szCs w:val="20"/>
                <w:color w:val="auto"/>
              </w:rPr>
            </w:pPr>
            <w:r>
              <w:rPr>
                <w:rFonts w:ascii="Calibri" w:cs="Calibri" w:eastAsia="Calibri" w:hAnsi="Calibri"/>
                <w:sz w:val="17"/>
                <w:szCs w:val="17"/>
                <w:color w:val="auto"/>
              </w:rPr>
              <w:t>1,107,465</w:t>
            </w:r>
          </w:p>
        </w:tc>
      </w:tr>
      <w:tr>
        <w:trPr>
          <w:trHeight w:val="226"/>
        </w:trPr>
        <w:tc>
          <w:tcPr>
            <w:tcW w:w="8140" w:type="dxa"/>
            <w:vAlign w:val="bottom"/>
            <w:shd w:val="clear" w:color="auto" w:fill="E6EEFF"/>
          </w:tcPr>
          <w:p>
            <w:pPr>
              <w:ind w:left="100"/>
              <w:spacing w:after="0"/>
              <w:rPr>
                <w:sz w:val="20"/>
                <w:szCs w:val="20"/>
                <w:color w:val="auto"/>
              </w:rPr>
            </w:pPr>
            <w:r>
              <w:rPr>
                <w:rFonts w:ascii="Calibri" w:cs="Calibri" w:eastAsia="Calibri" w:hAnsi="Calibri"/>
                <w:sz w:val="17"/>
                <w:szCs w:val="17"/>
                <w:color w:val="auto"/>
              </w:rPr>
              <w:t>Loss on U.S. Treasury Securites</w:t>
            </w:r>
          </w:p>
        </w:tc>
        <w:tc>
          <w:tcPr>
            <w:tcW w:w="46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43,098</w:t>
            </w:r>
          </w:p>
        </w:tc>
        <w:tc>
          <w:tcPr>
            <w:tcW w:w="80" w:type="dxa"/>
            <w:vAlign w:val="bottom"/>
            <w:shd w:val="clear" w:color="auto" w:fill="E6EEFF"/>
          </w:tcPr>
          <w:p>
            <w:pPr>
              <w:spacing w:after="0"/>
              <w:rPr>
                <w:sz w:val="19"/>
                <w:szCs w:val="19"/>
                <w:color w:val="auto"/>
              </w:rPr>
            </w:pPr>
          </w:p>
        </w:tc>
        <w:tc>
          <w:tcPr>
            <w:tcW w:w="420" w:type="dxa"/>
            <w:vAlign w:val="bottom"/>
            <w:shd w:val="clear" w:color="auto" w:fill="E6EEFF"/>
          </w:tcPr>
          <w:p>
            <w:pPr>
              <w:spacing w:after="0"/>
              <w:rPr>
                <w:sz w:val="19"/>
                <w:szCs w:val="19"/>
                <w:color w:val="auto"/>
              </w:rPr>
            </w:pPr>
          </w:p>
        </w:tc>
        <w:tc>
          <w:tcPr>
            <w:tcW w:w="10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152,777</w:t>
            </w:r>
          </w:p>
        </w:tc>
      </w:tr>
      <w:tr>
        <w:trPr>
          <w:trHeight w:val="212"/>
        </w:trPr>
        <w:tc>
          <w:tcPr>
            <w:tcW w:w="8140" w:type="dxa"/>
            <w:vAlign w:val="bottom"/>
          </w:tcPr>
          <w:p>
            <w:pPr>
              <w:ind w:left="100"/>
              <w:spacing w:after="0" w:line="205" w:lineRule="exact"/>
              <w:rPr>
                <w:sz w:val="20"/>
                <w:szCs w:val="20"/>
                <w:color w:val="auto"/>
              </w:rPr>
            </w:pPr>
            <w:r>
              <w:rPr>
                <w:rFonts w:ascii="Calibri" w:cs="Calibri" w:eastAsia="Calibri" w:hAnsi="Calibri"/>
                <w:sz w:val="17"/>
                <w:szCs w:val="17"/>
                <w:color w:val="auto"/>
              </w:rPr>
              <w:t>(Gain) loss on TBA Securites, less TBA Drop Income</w:t>
            </w:r>
          </w:p>
        </w:tc>
        <w:tc>
          <w:tcPr>
            <w:tcW w:w="46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(17,918)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line="205" w:lineRule="exact"/>
              <w:rPr>
                <w:sz w:val="20"/>
                <w:szCs w:val="20"/>
                <w:color w:val="auto"/>
              </w:rPr>
            </w:pPr>
            <w:r>
              <w:rPr>
                <w:rFonts w:ascii="Calibri" w:cs="Calibri" w:eastAsia="Calibri" w:hAnsi="Calibri"/>
                <w:sz w:val="17"/>
                <w:szCs w:val="17"/>
                <w:color w:val="auto"/>
              </w:rPr>
              <w:t>162,313</w:t>
            </w:r>
          </w:p>
        </w:tc>
      </w:tr>
      <w:tr>
        <w:trPr>
          <w:trHeight w:val="226"/>
        </w:trPr>
        <w:tc>
          <w:tcPr>
            <w:tcW w:w="8140" w:type="dxa"/>
            <w:vAlign w:val="bottom"/>
            <w:shd w:val="clear" w:color="auto" w:fill="E6EEFF"/>
          </w:tcPr>
          <w:p>
            <w:pPr>
              <w:ind w:left="100"/>
              <w:spacing w:after="0"/>
              <w:rPr>
                <w:sz w:val="20"/>
                <w:szCs w:val="20"/>
                <w:color w:val="auto"/>
              </w:rPr>
            </w:pPr>
            <w:r>
              <w:rPr>
                <w:rFonts w:ascii="Calibri" w:cs="Calibri" w:eastAsia="Calibri" w:hAnsi="Calibri"/>
                <w:sz w:val="17"/>
                <w:szCs w:val="17"/>
                <w:color w:val="auto"/>
              </w:rPr>
              <w:t>Amortzaton of prior unrealized net gains</w:t>
            </w:r>
          </w:p>
        </w:tc>
        <w:tc>
          <w:tcPr>
            <w:tcW w:w="46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170,364</w:t>
            </w:r>
          </w:p>
        </w:tc>
        <w:tc>
          <w:tcPr>
            <w:tcW w:w="80" w:type="dxa"/>
            <w:vAlign w:val="bottom"/>
            <w:shd w:val="clear" w:color="auto" w:fill="E6EEFF"/>
          </w:tcPr>
          <w:p>
            <w:pPr>
              <w:spacing w:after="0"/>
              <w:rPr>
                <w:sz w:val="19"/>
                <w:szCs w:val="19"/>
                <w:color w:val="auto"/>
              </w:rPr>
            </w:pPr>
          </w:p>
        </w:tc>
        <w:tc>
          <w:tcPr>
            <w:tcW w:w="420" w:type="dxa"/>
            <w:vAlign w:val="bottom"/>
            <w:shd w:val="clear" w:color="auto" w:fill="E6EEFF"/>
          </w:tcPr>
          <w:p>
            <w:pPr>
              <w:spacing w:after="0"/>
              <w:rPr>
                <w:sz w:val="19"/>
                <w:szCs w:val="19"/>
                <w:color w:val="auto"/>
              </w:rPr>
            </w:pPr>
          </w:p>
        </w:tc>
        <w:tc>
          <w:tcPr>
            <w:tcW w:w="10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90,928</w:t>
            </w:r>
          </w:p>
        </w:tc>
      </w:tr>
      <w:tr>
        <w:trPr>
          <w:trHeight w:val="212"/>
        </w:trPr>
        <w:tc>
          <w:tcPr>
            <w:tcW w:w="8140" w:type="dxa"/>
            <w:vAlign w:val="bottom"/>
          </w:tcPr>
          <w:p>
            <w:pPr>
              <w:ind w:left="100"/>
              <w:spacing w:after="0" w:line="205" w:lineRule="exact"/>
              <w:rPr>
                <w:sz w:val="20"/>
                <w:szCs w:val="20"/>
                <w:color w:val="auto"/>
              </w:rPr>
            </w:pPr>
            <w:r>
              <w:rPr>
                <w:rFonts w:ascii="Calibri" w:cs="Calibri" w:eastAsia="Calibri" w:hAnsi="Calibri"/>
                <w:sz w:val="17"/>
                <w:szCs w:val="17"/>
                <w:color w:val="auto"/>
              </w:rPr>
              <w:t>Unrealized gain on interest rate swaps</w:t>
            </w:r>
          </w:p>
        </w:tc>
        <w:tc>
          <w:tcPr>
            <w:tcW w:w="46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(41,195)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line="205" w:lineRule="exact"/>
              <w:rPr>
                <w:sz w:val="20"/>
                <w:szCs w:val="20"/>
                <w:color w:val="auto"/>
              </w:rPr>
            </w:pPr>
            <w:r>
              <w:rPr>
                <w:rFonts w:ascii="Calibri" w:cs="Calibri" w:eastAsia="Calibri" w:hAnsi="Calibri"/>
                <w:sz w:val="17"/>
                <w:szCs w:val="17"/>
                <w:color w:val="auto"/>
              </w:rPr>
              <w:t>(922,066)</w:t>
            </w:r>
          </w:p>
        </w:tc>
      </w:tr>
      <w:tr>
        <w:trPr>
          <w:trHeight w:val="226"/>
        </w:trPr>
        <w:tc>
          <w:tcPr>
            <w:tcW w:w="8140" w:type="dxa"/>
            <w:vAlign w:val="bottom"/>
            <w:shd w:val="clear" w:color="auto" w:fill="E6EEFF"/>
          </w:tcPr>
          <w:p>
            <w:pPr>
              <w:ind w:left="100"/>
              <w:spacing w:after="0"/>
              <w:rPr>
                <w:sz w:val="20"/>
                <w:szCs w:val="20"/>
                <w:color w:val="auto"/>
              </w:rPr>
            </w:pPr>
            <w:r>
              <w:rPr>
                <w:rFonts w:ascii="Calibri" w:cs="Calibri" w:eastAsia="Calibri" w:hAnsi="Calibri"/>
                <w:sz w:val="17"/>
                <w:szCs w:val="17"/>
                <w:color w:val="auto"/>
              </w:rPr>
              <w:t>Futures contracts loss (gain)</w:t>
            </w:r>
          </w:p>
        </w:tc>
        <w:tc>
          <w:tcPr>
            <w:tcW w:w="460" w:type="dxa"/>
            <w:vAlign w:val="bottom"/>
            <w:tcBorders>
              <w:bottom w:val="single" w:sz="8" w:color="auto"/>
            </w:tcBorders>
            <w:shd w:val="clear" w:color="auto" w:fill="E6EEFF"/>
          </w:tcPr>
          <w:p>
            <w:pPr>
              <w:spacing w:after="0"/>
              <w:rPr>
                <w:sz w:val="19"/>
                <w:szCs w:val="19"/>
                <w:color w:val="auto"/>
              </w:rPr>
            </w:pPr>
          </w:p>
        </w:tc>
        <w:tc>
          <w:tcPr>
            <w:tcW w:w="100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33,385</w:t>
            </w:r>
          </w:p>
        </w:tc>
        <w:tc>
          <w:tcPr>
            <w:tcW w:w="80" w:type="dxa"/>
            <w:vAlign w:val="bottom"/>
            <w:shd w:val="clear" w:color="auto" w:fill="E6EEFF"/>
          </w:tcPr>
          <w:p>
            <w:pPr>
              <w:spacing w:after="0"/>
              <w:rPr>
                <w:sz w:val="19"/>
                <w:szCs w:val="19"/>
                <w:color w:val="auto"/>
              </w:rPr>
            </w:pPr>
          </w:p>
        </w:tc>
        <w:tc>
          <w:tcPr>
            <w:tcW w:w="420" w:type="dxa"/>
            <w:vAlign w:val="bottom"/>
            <w:tcBorders>
              <w:bottom w:val="single" w:sz="8" w:color="auto"/>
            </w:tcBorders>
            <w:shd w:val="clear" w:color="auto" w:fill="E6EEFF"/>
          </w:tcPr>
          <w:p>
            <w:pPr>
              <w:spacing w:after="0"/>
              <w:rPr>
                <w:sz w:val="19"/>
                <w:szCs w:val="19"/>
                <w:color w:val="auto"/>
              </w:rPr>
            </w:pPr>
          </w:p>
        </w:tc>
        <w:tc>
          <w:tcPr>
            <w:tcW w:w="10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(95,428)</w:t>
            </w:r>
          </w:p>
        </w:tc>
      </w:tr>
      <w:tr>
        <w:trPr>
          <w:trHeight w:val="205"/>
        </w:trPr>
        <w:tc>
          <w:tcPr>
            <w:tcW w:w="8140" w:type="dxa"/>
            <w:vAlign w:val="bottom"/>
            <w:tcBorders>
              <w:bottom w:val="single" w:sz="8" w:color="E6EEFF"/>
            </w:tcBorders>
          </w:tcPr>
          <w:p>
            <w:pPr>
              <w:spacing w:after="0" w:line="190" w:lineRule="exact"/>
              <w:rPr>
                <w:sz w:val="20"/>
                <w:szCs w:val="20"/>
                <w:color w:val="auto"/>
              </w:rPr>
            </w:pPr>
            <w:r>
              <w:rPr>
                <w:rFonts w:ascii="Calibri" w:cs="Calibri" w:eastAsia="Calibri" w:hAnsi="Calibri"/>
                <w:sz w:val="17"/>
                <w:szCs w:val="17"/>
                <w:color w:val="auto"/>
              </w:rPr>
              <w:t>Add back excluded net losses</w:t>
            </w:r>
          </w:p>
        </w:tc>
        <w:tc>
          <w:tcPr>
            <w:tcW w:w="460" w:type="dxa"/>
            <w:vAlign w:val="bottom"/>
            <w:tcBorders>
              <w:bottom w:val="single" w:sz="8" w:color="auto"/>
            </w:tcBorders>
          </w:tcPr>
          <w:p>
            <w:pPr>
              <w:jc w:val="right"/>
              <w:ind w:right="27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265,752</w:t>
            </w:r>
          </w:p>
        </w:tc>
        <w:tc>
          <w:tcPr>
            <w:tcW w:w="80" w:type="dxa"/>
            <w:vAlign w:val="bottom"/>
            <w:tcBorders>
              <w:bottom w:val="single" w:sz="8" w:color="E6EEFF"/>
            </w:tcBorders>
          </w:tcPr>
          <w:p>
            <w:pPr>
              <w:spacing w:after="0"/>
              <w:rPr>
                <w:sz w:val="17"/>
                <w:szCs w:val="17"/>
                <w:color w:val="auto"/>
              </w:rPr>
            </w:pPr>
          </w:p>
        </w:tc>
        <w:tc>
          <w:tcPr>
            <w:tcW w:w="420" w:type="dxa"/>
            <w:vAlign w:val="bottom"/>
            <w:tcBorders>
              <w:bottom w:val="single" w:sz="8" w:color="auto"/>
            </w:tcBorders>
          </w:tcPr>
          <w:p>
            <w:pPr>
              <w:jc w:val="right"/>
              <w:ind w:right="234"/>
              <w:spacing w:after="0" w:line="205" w:lineRule="exact"/>
              <w:rPr>
                <w:sz w:val="20"/>
                <w:szCs w:val="20"/>
                <w:color w:val="auto"/>
              </w:rPr>
            </w:pPr>
            <w:r>
              <w:rPr>
                <w:rFonts w:ascii="Calibri" w:cs="Calibri" w:eastAsia="Calibri" w:hAnsi="Calibri"/>
                <w:sz w:val="17"/>
                <w:szCs w:val="17"/>
                <w:color w:val="auto"/>
                <w:w w:val="92"/>
              </w:rPr>
              <w:t>$</w:t>
            </w:r>
          </w:p>
        </w:tc>
        <w:tc>
          <w:tcPr>
            <w:tcW w:w="10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495,989</w:t>
            </w:r>
          </w:p>
        </w:tc>
      </w:tr>
      <w:tr>
        <w:trPr>
          <w:trHeight w:val="244"/>
        </w:trPr>
        <w:tc>
          <w:tcPr>
            <w:tcW w:w="8140" w:type="dxa"/>
            <w:vAlign w:val="bottom"/>
            <w:tcBorders>
              <w:bottom w:val="single" w:sz="8" w:color="E6EEFF"/>
            </w:tcBorders>
            <w:shd w:val="clear" w:color="auto" w:fill="E6EEFF"/>
          </w:tcPr>
          <w:p>
            <w:pPr>
              <w:spacing w:after="0"/>
              <w:rPr>
                <w:sz w:val="20"/>
                <w:szCs w:val="20"/>
                <w:color w:val="auto"/>
              </w:rPr>
            </w:pPr>
            <w:r>
              <w:rPr>
                <w:rFonts w:ascii="Calibri" w:cs="Calibri" w:eastAsia="Calibri" w:hAnsi="Calibri"/>
                <w:sz w:val="17"/>
                <w:szCs w:val="17"/>
                <w:color w:val="auto"/>
              </w:rPr>
              <w:t>Distributable Earnings</w:t>
            </w:r>
          </w:p>
        </w:tc>
        <w:tc>
          <w:tcPr>
            <w:tcW w:w="460" w:type="dxa"/>
            <w:vAlign w:val="bottom"/>
            <w:tcBorders>
              <w:bottom w:val="single" w:sz="8" w:color="auto"/>
            </w:tcBorders>
            <w:shd w:val="clear" w:color="auto" w:fill="E6EEFF"/>
          </w:tcPr>
          <w:p>
            <w:pPr>
              <w:jc w:val="right"/>
              <w:ind w:right="27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209,356</w:t>
            </w:r>
          </w:p>
        </w:tc>
        <w:tc>
          <w:tcPr>
            <w:tcW w:w="80" w:type="dxa"/>
            <w:vAlign w:val="bottom"/>
            <w:tcBorders>
              <w:bottom w:val="single" w:sz="8" w:color="E6EEFF"/>
            </w:tcBorders>
            <w:shd w:val="clear" w:color="auto" w:fill="E6EEFF"/>
          </w:tcPr>
          <w:p>
            <w:pPr>
              <w:spacing w:after="0"/>
              <w:rPr>
                <w:sz w:val="20"/>
                <w:szCs w:val="20"/>
                <w:color w:val="auto"/>
              </w:rPr>
            </w:pPr>
          </w:p>
        </w:tc>
        <w:tc>
          <w:tcPr>
            <w:tcW w:w="420" w:type="dxa"/>
            <w:vAlign w:val="bottom"/>
            <w:tcBorders>
              <w:bottom w:val="single" w:sz="8" w:color="auto"/>
            </w:tcBorders>
            <w:shd w:val="clear" w:color="auto" w:fill="E6EEFF"/>
          </w:tcPr>
          <w:p>
            <w:pPr>
              <w:jc w:val="right"/>
              <w:ind w:right="234"/>
              <w:spacing w:after="0" w:line="205" w:lineRule="exact"/>
              <w:rPr>
                <w:sz w:val="20"/>
                <w:szCs w:val="20"/>
                <w:color w:val="auto"/>
              </w:rPr>
            </w:pPr>
            <w:r>
              <w:rPr>
                <w:rFonts w:ascii="Calibri" w:cs="Calibri" w:eastAsia="Calibri" w:hAnsi="Calibri"/>
                <w:sz w:val="17"/>
                <w:szCs w:val="17"/>
                <w:color w:val="auto"/>
                <w:w w:val="92"/>
              </w:rPr>
              <w:t>$</w:t>
            </w:r>
          </w:p>
        </w:tc>
        <w:tc>
          <w:tcPr>
            <w:tcW w:w="10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147,559</w:t>
            </w:r>
          </w:p>
        </w:tc>
      </w:tr>
      <w:tr>
        <w:trPr>
          <w:trHeight w:val="20"/>
        </w:trPr>
        <w:tc>
          <w:tcPr>
            <w:tcW w:w="8140" w:type="dxa"/>
            <w:vAlign w:val="bottom"/>
            <w:tcBorders>
              <w:top w:val="single" w:sz="8" w:color="E6EEFF"/>
            </w:tcBorders>
          </w:tcPr>
          <w:p>
            <w:pPr>
              <w:spacing w:after="0" w:line="20" w:lineRule="exact"/>
              <w:rPr>
                <w:sz w:val="1"/>
                <w:szCs w:val="1"/>
                <w:color w:val="auto"/>
              </w:rPr>
            </w:pPr>
          </w:p>
        </w:tc>
        <w:tc>
          <w:tcPr>
            <w:tcW w:w="460" w:type="dxa"/>
            <w:vAlign w:val="bottom"/>
            <w:tcBorders>
              <w:top w:val="single" w:sz="8" w:color="E6EEFF"/>
              <w:bottom w:val="single" w:sz="8" w:color="auto"/>
            </w:tcBorders>
          </w:tcPr>
          <w:p>
            <w:pPr>
              <w:spacing w:after="0" w:line="20" w:lineRule="exact"/>
              <w:rPr>
                <w:sz w:val="1"/>
                <w:szCs w:val="1"/>
                <w:color w:val="auto"/>
              </w:rPr>
            </w:pPr>
          </w:p>
        </w:tc>
        <w:tc>
          <w:tcPr>
            <w:tcW w:w="1000" w:type="dxa"/>
            <w:vAlign w:val="bottom"/>
            <w:tcBorders>
              <w:top w:val="single" w:sz="8" w:color="E6EEFF"/>
              <w:bottom w:val="single" w:sz="8" w:color="auto"/>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420" w:type="dxa"/>
            <w:vAlign w:val="bottom"/>
            <w:tcBorders>
              <w:top w:val="single" w:sz="8" w:color="E6EEFF"/>
              <w:bottom w:val="single" w:sz="8" w:color="auto"/>
            </w:tcBorders>
          </w:tcPr>
          <w:p>
            <w:pPr>
              <w:spacing w:after="0" w:line="20" w:lineRule="exact"/>
              <w:rPr>
                <w:sz w:val="1"/>
                <w:szCs w:val="1"/>
                <w:color w:val="auto"/>
              </w:rPr>
            </w:pPr>
          </w:p>
        </w:tc>
        <w:tc>
          <w:tcPr>
            <w:tcW w:w="1040" w:type="dxa"/>
            <w:vAlign w:val="bottom"/>
            <w:tcBorders>
              <w:top w:val="single" w:sz="8" w:color="E6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Distributable Earnings is based on the historical cost basis of our Agency Securites and interest rate swaps, while we report substantally all of our assets and liabilites at current fair values. As a result, Distributable Earnings may include amounts that were recognized and reported elsewhere in our consolidated fnancial statements previously. For example, the net coupon efect of interest rate swaps is the primary driver of market value adjustments on these positons that were recognized in total comprehensive loss and total stockholders’ equity in prior periods.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Distributable Earnings is an incomplete measure of the Company’s fnancial performance. Distributable Earnings should be considered as supplementary to, and not as a substtute for, the Company’s net interest income and total comprehensive income (loss) computed in accordance with GAAP as a measure of the Company’s fnancial performance.</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Other mortgage REITs report Distributable Earnings or similar measures that are calculated on a diferent basis than the basis we use. For example, other calculatons may exclude some or all prepayment efects and/or more or less hedging actvites. Because Distributable Earnings is not a standardized metric, it may not be directly comparable across various reportng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3" w:name="page24"/>
    <w:bookmarkEnd w:id="23"/>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22</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Distributable Earnings may not provide sufcient incentve to ACM to maximize risk adjusted returns on our investment portolio.</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Because Distributable Earnings excludes gains and losses in portolio value, using it as a measure of investment performance may encourage ACM to make portolio decisions on our behalf that have the efect of acceleratng the realizaton of losses and delaying the realizaton of gains. For example, in declining interest rate environments, we may replace interest rate swaps that have declined in value with new swaps requiring a lower fxed coupon payment while retaining in portolio appreciated mortgage securites. Conversely, in rising interest rate environments, we may replace mortgage securites that have declined in value with new, higher coupon securites while retaining interest rate swaps that have increased in value.</w:t>
      </w:r>
    </w:p>
    <w:p>
      <w:pPr>
        <w:spacing w:after="0" w:line="183" w:lineRule="exact"/>
        <w:rPr>
          <w:sz w:val="20"/>
          <w:szCs w:val="20"/>
          <w:color w:val="auto"/>
        </w:rPr>
      </w:pPr>
    </w:p>
    <w:p>
      <w:pPr>
        <w:jc w:val="center"/>
        <w:ind w:right="3920"/>
        <w:spacing w:after="0"/>
        <w:rPr>
          <w:sz w:val="20"/>
          <w:szCs w:val="20"/>
          <w:color w:val="auto"/>
        </w:rPr>
      </w:pPr>
      <w:r>
        <w:rPr>
          <w:rFonts w:ascii="Calibri" w:cs="Calibri" w:eastAsia="Calibri" w:hAnsi="Calibri"/>
          <w:sz w:val="16"/>
          <w:szCs w:val="16"/>
          <w:b w:val="1"/>
          <w:bCs w:val="1"/>
          <w:color w:val="1C4787"/>
        </w:rPr>
        <w:t>Our afliate BUCKLER is our largest fnancing counterparty and placement agent under our ATM program:</w:t>
      </w:r>
    </w:p>
    <w:p>
      <w:pPr>
        <w:spacing w:after="0" w:line="11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A material porton of our aggregate repurchase fnancing is facilitated through BUCKLER.</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At December 31, 2023, BUCKLER provided approximately $4,667,483, or 48.4% of ARMOUR’s repurchase fnancing. BUCKLER is subject to various broker-dealer regulatons. BUCKLER’s failure to comply with these regulatons and facilitate atractve repurchase fnancing and its ability to conduct business with third partes could adversely afect ARMOUR’s funding costs, “haircuts” and/or counterparty exposure. We cannot guarantee that BUCKLER will be able to provide repurchase fnancing on more atractve terms in the future.</w:t>
      </w:r>
    </w:p>
    <w:p>
      <w:pPr>
        <w:spacing w:after="0" w:line="102"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We hold a 10.8% equity ownership interest in BUCKLER and additonally, provided BUCKLER with $200 million in additonal regulatory capital.</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primary purpose of our investment in BUCKLER is to facilitate our access to repurchase fnancing, on potentally more atractve terms (considering rate, term, size, haircut, relatonship, and funding commitment) compared to other suitable repurchase fnancing counterpartes. To facilitate this, ARMOUR holds a 10.8% equity ownership interest in BUCKLER and has commited to provide on demand a subordinated loan to BUCKLER in an amount up to $200 million. The commitment extends through March 20, 2026, and is collateralized by Agency and/or U.S. Treasury Securites owned by ARMOUR and pledged to BUCKLER. The commitment is treated by BUCKLER currently as capital for regulatory purposes and BUCKLER may pledge the securites to secure its own borrowings (see Note 14 to the consolidated fnancial statements).</w:t>
      </w:r>
    </w:p>
    <w:p>
      <w:pPr>
        <w:spacing w:after="0" w:line="168"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BUCKLER relies primarily on bilateral and triparty repurchase agreement funding through the FICC.</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BUCKLER’s ability to access bilateral and triparty repo funding and to raise funds through the General Collateral Finance Repo service ofered by the FICC, requires that it contnuously meet the regulatory and membership requirements of FINRA and the FICC, which may change over tme. If BUCKLER fails to meet these requirements and is unable to access such funding, we would be required to fnd alternatve funding, which we may be unable to do, and our funding costs, “haircuts” and/or counterparty exposure could increase, and our liquidity could be adversely impacted.</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ARMOUR contnues to maintain actve repurchase fnancing arrangements with numerous other counterpartes with the intenton of reducing our risk of relying primarily on BUCKLER. At December 31, 2023, we had repurchase borrowings from 14 diferent counterpartes including BUCKLER. However, there can be no assurance as to the availability, terms, or cost of additonal repurchase fnancing that might be available from other counterpartes if we needed to replace BUCKLER’s fnancing capacity, partcularly on short notce or during tmes of market distress.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1164590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440055</wp:posOffset>
            </wp:positionV>
            <wp:extent cx="458470" cy="5073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4" w:name="page25"/>
    <w:bookmarkEnd w:id="24"/>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23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BUCKLER is the primary placement agent for ARMOUR's common share ATM Programs.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BUCKLER has acted as placement agent for 71% of the shares of common stock that ARMOUR has issued through its ATM programs in 2023. BUCKLER’s commission rate for these placements has been lower than the commission rates of other placement agents involved in our ATM program. Placement commissions represent a signifcant contributon to BUCKLER proftability. If BUCKLER became unable to partcipate in our ATM program, our placement costs would increase. If we reduce the volume of ATM placements with BUCKLER, its proftability may be adversely afected.</w:t>
      </w:r>
    </w:p>
    <w:p>
      <w:pPr>
        <w:spacing w:after="0" w:line="180"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BUCKLER may pursue business opportunites with third partes.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So long as we are providing BUCKLER with additonal regulatory capital, our independent directors must approve, in their sole discreton, any third-party business engaged by BUCKLER. However, we cannot guarantee that BUCKLER’s pursuit of business with third partes will not incur losses for us or that BUCKLER will be able to contnue to provide us with atractve repurchase fnancing.</w:t>
      </w:r>
    </w:p>
    <w:p>
      <w:pPr>
        <w:spacing w:after="0" w:line="169"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There are potental conficts of interest in our relatonship with ACM and its afliates, including BUCKLER, which could result in decisions that are not in the best interests of our stockholders.</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are subject to conficts of interest arising out of our relatonship with ACM and its afliates, including BUCKLER. Enttes afliated with Mr. Ulm and Mr. Zimmer are the general partners of ACM and each of Mr. Ulm, Mr. Zimmer, Mr. Staton and Mr. Bell is a limited partner in ACM. ACM and our executve ofcers control BUCKLER.</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management agreement with ACM may create a confict of interest and the terms, including fees payable to ACM, may not be as favorable to us as if they had been negotated with an unafliated third-party. In additon, we may choose not to enforce, or to enforce less vigorously, our rights under the management agreement because of our desire to maintain our ongoing relatonship with ACM. ACM maintains a contractual and fduciary relatonship with us. The management agreement with ACM does not prevent ACM and its afliates from engaging in additonal management or investment opportunites some of which will compete with us. ACM and its afliates may engage in additonal management or investment opportunites that have overlapping objectves with ours and may thus face conficts in the allocaton of investment opportunites to these other investments. Such allocaton is at the discreton of ACM and there is no guarantee that this allocaton would be made in the best interest of our stockholders. We are not enttled to receive preferental treatment as compared with the treatment given by ACM or its afliates to any investment company, fund or advisory account other than any fund or advisory account which contains only funds invested by ACM (and not of any of its clients or customers) or its ofcers and directors. Additonally, the ability of ACM and its respectve ofcers and employees to engage in other business actvites may reduce the tme spent and resources used managing our actvites.</w:t>
      </w:r>
    </w:p>
    <w:p>
      <w:pPr>
        <w:spacing w:after="0" w:line="18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ACM owns 75.4% of the equity of BUCKLER. BUCKLER may ofer repurchase agreement fnancing to us at rates and terms that may be less advantageous to us than if they had been negotated with third partes.</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General risks common to ARMOUR and our peer mortgage REITs:</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We operate in a highly compettve market for investment opportunites and related fnancing and competton may limit our ability and fnancing to acquire desirable investments in our target assets or obtain necessary fnancing and could also afect the pricing of these assets and cost of funds.</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operate in a highly compettve market for investment opportunites and borrowing facilites. Our proftability depends, in large part, on our ability to acquire our target assets at atractve prices and fnance them economically. In acquiring and fnancing our target assets, we will compete with a variety of insttutonal investors, including other REITs, specialty fnance companies, public and private funds, government enttes, commercial and investment banks, commercial fnance and insurance companies and other fnancial insttutons. Several of our compettors are substantally larger and have considerably greater fnancial, technical, marketng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1156335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5" w:name="page26"/>
    <w:bookmarkEnd w:id="25"/>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24</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resources than we do. Several other REITs may have investment objectves that overlap with ours, which may create additonal competton for investment opportunites and fnancing. Some compettors may have a lower cost of funds and access to funding sources that may not be available to us, such as funding from the U.S. or foreign governments. Many of our compettors are not subject to the operatng constraints associated with REIT tax compliance or maintenance of an exempton from the 1940 Act. In additon, some of our compettors may have higher risk tolerances or diferent risk assessments, which could allow them to consider a wider variety of investments and establish more relatonships than us. Furthermore, competton for investments in our target assets may lead to the price of such assets increasing, which may further limit our ability to generate desired returns. We cannot provide assurance that the compettve pressures we face will not have a material adverse efect on our business, fnancial conditon and results of operatons. Also, as a result of this competton, desirable investments in our target assets may be limited in the future and we may not be able to take advantage of atractve investment opportunites from tme to tme, as we can provide no assurance that we will be able to identfy, fnance and make investments that are consistent with our investment objectves.</w:t>
      </w:r>
    </w:p>
    <w:p>
      <w:pPr>
        <w:spacing w:after="0" w:line="18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Our ability to buy or sell our securites and arrange our repurchase fnancing may be severely limited or not proftable and we may be required to post additonal collateral in connecton with our fnancing.</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buy and sell our securites and arrange our repurchase fnancing in privately negotated transactons with banks, brokers, dealers, or principal counter partes such as originators, the GSEs and other investors. Without the beneft of a securites exchange, there may be tmes when the supply of or demand for the MBS we wish to buy or sell is severely limited. The bid-ask spread between the prices at which we can purchase and sell MBS may also become temporarily wide relatve to historical levels. This could exacerbate our losses or limit our opportunites to proft during tmes of market stress or dislocaton. It may also reduce the amount of repurchase fnancing that our lenders are willing to provide. We atempt to mitgate this risk by concentratng our investments in MBS that have more widespread trading interest resultng in deeper and more liquid trading.</w:t>
      </w:r>
    </w:p>
    <w:p>
      <w:pPr>
        <w:spacing w:after="0" w:line="170" w:lineRule="exact"/>
        <w:rPr>
          <w:sz w:val="20"/>
          <w:szCs w:val="20"/>
          <w:color w:val="auto"/>
        </w:rPr>
      </w:pPr>
    </w:p>
    <w:p>
      <w:pPr>
        <w:jc w:val="both"/>
        <w:ind w:firstLine="619"/>
        <w:spacing w:after="0" w:line="256" w:lineRule="auto"/>
        <w:rPr>
          <w:sz w:val="20"/>
          <w:szCs w:val="20"/>
          <w:color w:val="auto"/>
        </w:rPr>
      </w:pPr>
      <w:r>
        <w:rPr>
          <w:rFonts w:ascii="Calibri" w:cs="Calibri" w:eastAsia="Calibri" w:hAnsi="Calibri"/>
          <w:sz w:val="16"/>
          <w:szCs w:val="16"/>
          <w:color w:val="auto"/>
        </w:rPr>
        <w:t>All of our repurchase fnancing has daily collateral maintenance requirements, and a substantal porton of our MBS is pledged as collateral. These collateral requirements are monitored by our counterpartes and we may be required to post additonal collateral when the value of our posted collateral declines. We atempt to mitgate this risk by moderatng the amount of our fnancial leverage, monitoring collateral maintenance requirements, tmely calling for collateral (or a return of collateral) from our counterpartes, and maintaining reserve liquidity in the form of cash or unpledged Agency Securites that are widely acceptable as collateral. By concentratng our investments in more liquid Agency Securites, we also seek to be able to quickly sell positons and reduce our fnancial leverage if necessary.</w:t>
      </w:r>
    </w:p>
    <w:p>
      <w:pPr>
        <w:spacing w:after="0" w:line="157"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daily collateral maintenance required for our repurchase fnancing and our hedging derivatves generally move in opposite directons as market interest rates change. However, because market yields on our Agency Securites are not perfectly correlated with interest rate swap market yields, it is likely that our daily requirements to post collateral to our counterpartes will not equal the collateral our counterpartes are required to post to us. In tmes of higher market volatlity, those diferences can become more signifcant.</w:t>
      </w:r>
    </w:p>
    <w:p>
      <w:pPr>
        <w:spacing w:after="0" w:line="180"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Exchange-traded swaps and futures have higher inital margin requirements than bilateral swap agreements.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Historically, we have primarily used bilateral interest rate swaps that were privately negotated with counterpartes. Under the Dodd-Frank Act, certain swaps are required to clear through a registered clearing facility and traded on a designated exchange or swap executon facility. As more swap transactons are being executed through clearing facilites, our ability to enter into new bilateral swaps is waning. We have begun using exchange -traded futures contracts and cleared swaps in place of bilateral swaps. While these contracts are more liquid than bilateral swaps, they also may require substantally higher inital margin deposits. For example, longer tenor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1156335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6" w:name="page27"/>
    <w:bookmarkEnd w:id="26"/>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25</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cleared swaps may require inital margin deposits currently as high as 4.7% of the notonal swap amount. Higher inital margin requirements will increase our need for liquidity.</w:t>
      </w:r>
    </w:p>
    <w:p>
      <w:pPr>
        <w:spacing w:after="0" w:line="183"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We may change our target assets, fnancing and investment strategies and operatonal policies without stockholder consent, which may adversely afect the market price of our common stock and our ability to make distributons to stockholders.</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may change our target assets fnancing strategy and investment strategies at any tme without the consent of our stockholders, which could result in our making investments that are diferent from, and possibly riskier than, the investments described in this Annual Report on Form 10-K. Our Board also determines our operatonal policies and may amend or revise such policies, including our policies with respect to our REIT qualifcaton, acquisitons, dispositons, operatons, indebtedness and distributons, or approve transactons that deviate from these policies, without a vote of, or notce to, our stockholders. A change in our targeted investments, fnancing strategy, investment strategies and operatonal policies may increase our exposure to interest rate risk, default risk and real estate market fuctuatons, all of which could adversely afect the market price of our stock and our ability to make distributons to our stockholders.</w:t>
      </w:r>
    </w:p>
    <w:p>
      <w:pPr>
        <w:spacing w:after="0" w:line="168"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There are signifcant restrictons on ownership of our common stock.</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 order for us to maintain our qualifcaton as a REIT under the Code, not more than 50% in value of the issued and outstanding shares of our capital stock may be owned, actually or constructvely, by fve or fewer individuals (as defned in the Code to include certain enttes) at any tme during the last half of each taxable year (other than our frst year as a REIT). This test is known as the “5/50 test.” Atributon rules in the Code apply to determine if any individual actually or constructvely owns our capital stock for purposes of this requirement, including, without limitaton, a rule that deems, in certain cases, a certain holder of a warrant or opton to purchase stock as owning the shares underlying such warrant or opton and a rule that treats shares owned (or treated as owned, including shares underlying warrants) by enttes in which an individual has a direct or indirect interest as if they were owned by such individual. Additonally, at least 100 persons must benefcially own our capital stock during at least 335 days of each taxable year (other than our frst year as a REIT). While we believe that we meet the 5/50 test, no assurance can be given that we will contnue to meet this test.</w:t>
      </w:r>
    </w:p>
    <w:p>
      <w:pPr>
        <w:spacing w:after="0" w:line="171"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charter prohibits benefcial or constructve ownership by any person of more than 9.8% in value or in number of shares, whichever is more restrictve, of the outstanding shares of our common stock or all classes of our capital stock. Additonally, our charter prohibits benefcial or constructve ownership of our stock that would otherwise result in our failure to qualify as a REIT. In each case, such prohibiton includes a prohibiton on owning warrants or optons to purchase stock if ownership of the underlying stock would cause the holder or benefcial owner to exceed the prohibited thresholds. The ownership rules in our charter are complex and may cause the outstanding stock owned by a group of related individuals or enttes to be deemed to be owned by one individual or entty. As a result, these ownership rules could cause an individual or entty to unintentonally own shares benefcially or constructvely in excess of our ownership limits. Any atempt to own or transfer shares of our common or preferred stock, in excess of our ownership limits without the consent of our board of directors shall be void, and will result in the shares being transferred to a charitable trust. These provisions may inhibit market actvity and the resultng opportunity for our stockholders to receive a premium for their shares that might otherwise exist if any person were to atempt to assemble a block of shares of our stock in excess of the number of shares permited under our charter and which may be in the best interests of our stockholders. We may grant waivers from the 9.8% charter restricton for holders where, based on representatons, covenants and agreements received from certain equity holders, we determine that such waivers would not jeopardize our status as a REIT.</w:t>
      </w:r>
    </w:p>
    <w:p>
      <w:pPr>
        <w:spacing w:after="0" w:line="186"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If we fail to comply with the REIT tax requirements, we must dispose of a porton of our assets within 30 days afer the end of the calendar quarter in order to avoid losing our REIT status and sufering adverse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1115695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391795</wp:posOffset>
            </wp:positionV>
            <wp:extent cx="458470" cy="5073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7" w:name="page28"/>
    <w:bookmarkEnd w:id="27"/>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26</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alibri" w:cs="Calibri" w:eastAsia="Calibri" w:hAnsi="Calibri"/>
          <w:sz w:val="17"/>
          <w:szCs w:val="17"/>
          <w:i w:val="1"/>
          <w:iCs w:val="1"/>
          <w:u w:val="single" w:color="auto"/>
          <w:color w:val="1C4787"/>
        </w:rPr>
        <w:t>consequences. If we fail to qualify as a REIT, we will be subject to federal income tax as a regular corporaton and may face substantal tax liability.</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Qualifcaton as a REIT involves the satsfacton of numerous requirements (some on an annual or quarterly basis) established under highly technical and complex provisions of the Code for which only a limited number of judicial or administratve interpretatons exist. We believe we currently satsfy all the requirements of a REIT. However, the determinaton that we satsfy all REIT requirements requires an analysis of various factual maters and circumstances that may not be totally within our control. We have not requested and do not intend to request a ruling from the IRS that we qualify as a REIT. Accordingly, we are not certain we will be able to qualify and remain qualifed as a REIT for federal income tax purposes. Even a technical or inadvertent mistake could jeopardize our REIT status. Furthermore, the U.S. Congress or the IRS might change tax laws or regulatons and the courts might issue new rulings, in each case potentally having retroactve efect, which could make it more difcult or impossible for us to qualify as a REIT.</w:t>
      </w:r>
    </w:p>
    <w:p>
      <w:pPr>
        <w:spacing w:after="0" w:line="181" w:lineRule="exact"/>
        <w:rPr>
          <w:sz w:val="20"/>
          <w:szCs w:val="20"/>
          <w:color w:val="auto"/>
        </w:rPr>
      </w:pPr>
    </w:p>
    <w:p>
      <w:pPr>
        <w:ind w:left="660"/>
        <w:spacing w:after="0"/>
        <w:rPr>
          <w:sz w:val="20"/>
          <w:szCs w:val="20"/>
          <w:color w:val="auto"/>
        </w:rPr>
      </w:pPr>
      <w:r>
        <w:rPr>
          <w:rFonts w:ascii="Calibri" w:cs="Calibri" w:eastAsia="Calibri" w:hAnsi="Calibri"/>
          <w:sz w:val="17"/>
          <w:szCs w:val="17"/>
          <w:color w:val="auto"/>
        </w:rPr>
        <w:t>If we fail to qualify as a REIT in any tax year, then:</w:t>
      </w:r>
    </w:p>
    <w:p>
      <w:pPr>
        <w:spacing w:after="0" w:line="169" w:lineRule="exact"/>
        <w:rPr>
          <w:sz w:val="20"/>
          <w:szCs w:val="20"/>
          <w:color w:val="auto"/>
        </w:rPr>
      </w:pPr>
    </w:p>
    <w:p>
      <w:pPr>
        <w:ind w:left="620" w:hanging="307"/>
        <w:spacing w:after="0" w:line="237" w:lineRule="auto"/>
        <w:tabs>
          <w:tab w:leader="none" w:pos="613"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we would be taxed as a regular domestc corporaton, which, among other things, means that we would be unable to deduct distributons to stockholders in computng taxable income and would be subject to federal income tax on our net income at regular corporate rates;</w:t>
      </w:r>
    </w:p>
    <w:p>
      <w:pPr>
        <w:spacing w:after="0" w:line="54"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any resultng tax liability could be substantal and would reduce the amount of cash available for distributon to stockholders and could force us to liquidate assets at inopportune tmes, causing lower income or higher losses than would result if these assets were not liquidated; and</w:t>
      </w:r>
    </w:p>
    <w:p>
      <w:pPr>
        <w:spacing w:after="0" w:line="54" w:lineRule="exact"/>
        <w:rPr>
          <w:rFonts w:ascii="Calibri" w:cs="Calibri" w:eastAsia="Calibri" w:hAnsi="Calibri"/>
          <w:sz w:val="17"/>
          <w:szCs w:val="17"/>
          <w:color w:val="auto"/>
        </w:rPr>
      </w:pPr>
    </w:p>
    <w:p>
      <w:pPr>
        <w:jc w:val="both"/>
        <w:ind w:left="620" w:hanging="307"/>
        <w:spacing w:after="0" w:line="238" w:lineRule="auto"/>
        <w:tabs>
          <w:tab w:leader="none" w:pos="613"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unless we were enttled to relief under applicable statutory provisions, we would be disqualifed from treatment as a REIT for the subsequent four taxable years following the year during which we lost our qualifcaton and thus, our cash available for distributon to our stockholders would be reduced for each of the years during which we do not qualify as a REIT.</w:t>
      </w:r>
    </w:p>
    <w:p>
      <w:pPr>
        <w:spacing w:after="0" w:line="166" w:lineRule="exact"/>
        <w:rPr>
          <w:rFonts w:ascii="Calibri" w:cs="Calibri" w:eastAsia="Calibri" w:hAnsi="Calibri"/>
          <w:sz w:val="17"/>
          <w:szCs w:val="17"/>
          <w:color w:val="auto"/>
        </w:rPr>
      </w:pPr>
    </w:p>
    <w:p>
      <w:pPr>
        <w:ind w:left="620"/>
        <w:spacing w:after="0"/>
        <w:rPr>
          <w:rFonts w:ascii="Calibri" w:cs="Calibri" w:eastAsia="Calibri" w:hAnsi="Calibri"/>
          <w:sz w:val="17"/>
          <w:szCs w:val="17"/>
          <w:color w:val="auto"/>
        </w:rPr>
      </w:pPr>
      <w:r>
        <w:rPr>
          <w:rFonts w:ascii="Calibri" w:cs="Calibri" w:eastAsia="Calibri" w:hAnsi="Calibri"/>
          <w:sz w:val="17"/>
          <w:szCs w:val="17"/>
          <w:i w:val="1"/>
          <w:iCs w:val="1"/>
          <w:u w:val="single" w:color="auto"/>
          <w:color w:val="1C4787"/>
        </w:rPr>
        <w:t>If we remain qualifed as a REIT, we may face other tax liabilites that reduce our cash fow.</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If we remain qualifed for taxaton as a REIT, we may be subject to certain federal, state and local taxes on our income and assets, including taxes on any undistributed income, taxes on income from some actvites conducted as a result of a foreclosure, excise taxes, state or local income, property and transfer taxes, such as mortgage recording taxes, and other taxes. In additon, in order to meet the REIT qualifcaton requirements, prevent the recogniton of certain types of non-cash income, or to avert the impositon of a 100% tax that applies to certain gains derived by a REIT from dealer property or inventory, we may hold some of our assets through a taxable REIT subsidiary ("TRS") or other subsidiary corporatons that will be subject to corporate level income tax at regular rates. In additon, if we lend money to a TRS, the TRS may be unable to deduct all or a porton of the interest paid to us, which could result in an even higher corporate level tax liability. Any of these taxes would decrease cash available for distributon to our stockholders.</w:t>
      </w:r>
    </w:p>
    <w:p>
      <w:pPr>
        <w:spacing w:after="0" w:line="18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Complying with REIT requirements may cause us to forgo otherwise atractve opportunites.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To qualify as a REIT for federal income tax purposes, we must contnually satsfy tests concerning, among other things, the sources of our income, the nature and diversifcaton of our assets, the amounts that we distribute to our stockholders and the ownership of our stock. We may be required to make distributons to stockholders at disadvantageous tmes or when we do not have funds readily available for distributon, and may be unable to pursue investments that would be otherwise advantageous to us in order to satsfy the source-of-income or asset-diversifcaton requirements for qualifying as a REIT. In additon, in certain cases, the modifcaton of a debt instrument or, potentally, an increase in the value of a debt instrument that we acquired at a signifcant discount, could result in the conversion of the instrument from a qualifying real estate asset to a wholly or partally non-qualifying asset that must be contributed to a TRS or disposed of in order for us to qualify or maintain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433070</wp:posOffset>
            </wp:positionV>
            <wp:extent cx="458470" cy="5073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8" w:name="page29"/>
    <w:bookmarkEnd w:id="28"/>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27</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qualifcaton as a REIT. Thus, compliance with the REIT requirements may hinder our ability to make and, in certain cases, to maintain ownership of, certain atractve investments.</w:t>
      </w:r>
    </w:p>
    <w:p>
      <w:pPr>
        <w:spacing w:after="0" w:line="18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Complying with REIT requirements may force us to liquidate otherwise atractve investments.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To qualify as a REIT, we must ensure that at the end of each calendar quarter, at least 75% of our gross income each year is derived from certain real estate related sources, at least 75% of the value of our assets consists of cash, cash items, government securites and qualifed REIT real estate assets, including certain mortgage loans and certain kinds of MBS. The remainder of our investment in securites (other than government securites, TRSs and qualifed real estate assets) generally cannot include more than 10% of the outstanding votng securites of any one issuer or more than 10% of the total value of the outstanding securites of any one issuer. In additon, in general, no more than 5% of the value of our assets (other than government securites, TRSs and qualifed real estate assets) can consist of the securites of any one issuer, and no more than 20% of the value of our total securites can be represented by securites of one or more TRSs. If we fail to comply with these requirements at the end of any calendar quarter, we must correct the failure within 30 days afer the end of the calendar quarter or qualify for certain statutory relief provisions to avoid losing our REIT qualifcaton and sufering adverse tax consequences. As a result, we may be required to liquidate from our investment portolio otherwise atractve investments. For example, in certain cases, the modifcaton of a debt instrument or, potentally, an increase in the value of a debt instrument that we acquired at a signifcant discount, could result in the conversion of the instrument from a qualifying real estate asset to a wholly or partally non-qualifying asset that must be liquidated in order for us to qualify or maintain our qualifcaton as a REIT. These actons could have the efect of reducing our income and amounts available for distributon to our stockholders.</w:t>
      </w:r>
    </w:p>
    <w:p>
      <w:pPr>
        <w:spacing w:after="0" w:line="17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The failure of assets subject to repurchase agreements to qualify as real estate assets could adversely afect our ability to qualify as a REIT.</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 order to fnance some of our assets that we hold or acquire, we may enter into repurchase agreements, including with persons who sell us those assets. Under a repurchase agreement, we will nominally sell certain of our assets to a counterparty and simultaneously enter into an agreement to repurchase those sold assets. Although the tax treatment of repurchase transactons is unclear, we take the positon that we are treated for U.S. federal income tax purposes as the owner of those assets that are the subject of any such repurchase agreement notwithstanding that we may transfer record ownership of those assets to the counterparty during the term of any such agreement. Because we enter into repurchase agreements the tax treatment of which is unclear, the IRS could assert, partcularly in respect of our repurchase agreements with persons who sell us the assets that we wish to fnance by way of repurchase agreements, that we did not own those assets during the term of the repurchase agreements, in which case we could fail to satsfy the 75% asset test necessary to qualify as a REIT.</w:t>
      </w:r>
    </w:p>
    <w:p>
      <w:pPr>
        <w:spacing w:after="0" w:line="168"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Our capital loss carry forward for tax purposes may expire before we can fully use it to ofset otherwise taxable income or gains.</w:t>
      </w:r>
    </w:p>
    <w:p>
      <w:pPr>
        <w:spacing w:after="0" w:line="105" w:lineRule="exact"/>
        <w:rPr>
          <w:sz w:val="20"/>
          <w:szCs w:val="20"/>
          <w:color w:val="auto"/>
        </w:rPr>
      </w:pPr>
    </w:p>
    <w:p>
      <w:pPr>
        <w:jc w:val="both"/>
        <w:ind w:firstLine="619"/>
        <w:spacing w:after="0" w:line="255" w:lineRule="auto"/>
        <w:rPr>
          <w:sz w:val="20"/>
          <w:szCs w:val="20"/>
          <w:color w:val="auto"/>
        </w:rPr>
      </w:pPr>
      <w:r>
        <w:rPr>
          <w:rFonts w:ascii="Calibri" w:cs="Calibri" w:eastAsia="Calibri" w:hAnsi="Calibri"/>
          <w:sz w:val="16"/>
          <w:szCs w:val="16"/>
          <w:color w:val="auto"/>
        </w:rPr>
        <w:t>For U.S. federal income tax purposes, we previously have incurred net capital losses. Such net capital losses may be carried forward for fve taxable years and generally used to ofset undistributed taxable net capital gains realized during the carry forward period. Net capital losses realized totaling $(13,819), $(15,605), $(732,478), and $(496,265) will be available to ofset future capital gains realized in 2024, 2026, 2027 and 2028 respectvely. Any capital loss carry forward that we have not used to ofset undistributed otherwise taxable net capital gains will expire afer the end of such fve-year period, and will no longer be available to us. Capital loss carry forwards totaling $(1,057,560) expired unused in 2023 and prior years because we did not generate enough taxable net capital gains during that period relatve to our level of distributons. Our current practce of declaring dividends based on non-GAAP Distributable Earnings increases the likelihood that net capital gains realized will be treated as distributed in the year realized. In the absence of ofsetng net capital loss carry forward amounts, we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1157605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433705</wp:posOffset>
            </wp:positionV>
            <wp:extent cx="458470" cy="5073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9" w:name="page30"/>
    <w:bookmarkEnd w:id="29"/>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28</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required to make tmely distributons of future net capital gains realized, or alternatvely, pay U.S. federal income tax on such realized net capital gains not distributed.</w:t>
      </w:r>
    </w:p>
    <w:p>
      <w:pPr>
        <w:spacing w:after="0" w:line="18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Distributons to tax-exempt investors may be classifed as unrelated business taxable income.</w:t>
      </w:r>
    </w:p>
    <w:p>
      <w:pPr>
        <w:spacing w:after="0" w:line="105" w:lineRule="exact"/>
        <w:rPr>
          <w:sz w:val="20"/>
          <w:szCs w:val="20"/>
          <w:color w:val="auto"/>
        </w:rPr>
      </w:pPr>
    </w:p>
    <w:p>
      <w:pPr>
        <w:jc w:val="both"/>
        <w:ind w:firstLine="619"/>
        <w:spacing w:after="0" w:line="254" w:lineRule="auto"/>
        <w:rPr>
          <w:sz w:val="20"/>
          <w:szCs w:val="20"/>
          <w:color w:val="auto"/>
        </w:rPr>
      </w:pPr>
      <w:r>
        <w:rPr>
          <w:rFonts w:ascii="Calibri" w:cs="Calibri" w:eastAsia="Calibri" w:hAnsi="Calibri"/>
          <w:sz w:val="16"/>
          <w:szCs w:val="16"/>
          <w:color w:val="auto"/>
        </w:rPr>
        <w:t>Neither ordinary nor capital gain distributons with respect to our common stock nor gain from the sale of common stock should generally consttute unrelated business taxable income to a tax-exempt investor. However, there are certain exceptons to this rule, including: (i) part of the income and gain recognized by certain qualifed employee pension trusts with respect to our common stock may be treated as unrelated business taxable income if we become a “pension held” REIT and such qualifed employee pension trust owns more than 10% of our common stock; (ii) part of the income and gain recognized by a tax-exempt investor with respect to our common stock would consttute unrelated business taxable income if the investor incurs debt in order to acquire the common stock; (iii) part or all of the income or gain recognized with respect to our common stock by social clubs, voluntary employee beneft associatons, supplemental unemployment beneft trusts and qualifed group legal services plans which are exempt from federal income taxaton under the Code may be treated as unrelated business taxable income; and (iv) to the extent that we are (or a part of us, or a disregarded subsidiary of ours, is) a “taxable mortgage pool,” (or if we hold residual interests in a REMIC), a porton of the distributons paid to a tax-exempt stockholder that is allocable to excess inclusion income may be treated as unrelated business taxable income.</w:t>
      </w:r>
    </w:p>
    <w:p>
      <w:pPr>
        <w:spacing w:after="0" w:line="164"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The “taxable mortgage pool” rules may increase the taxes that we or our stockholders may incur and may limit the manner in which we efect future securitzatons.</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Securitzatons could result in the creaton of taxable mortgage pools for federal income tax purposes. As a REIT, so long as we own 100% of the equity interests in a taxable mortgage pool, we generally would not be adversely afected by the characterizaton of the securitzaton as a taxable mortgage pool. Certain categories of stockholders, however, such as foreign stockholders eligible for treaty or other benefts, stockholders with net operatng losses and certain tax-exempt stockholders that are subject to unrelated business income tax, could be subject to increased taxes on a porton of their distributon income from us that is atributable to the taxable mortgage pool. In additon, to the extent that our stock is owned by tax-exempt “disqualifed organizatons,” such as certain government-related enttes and charitable remainder trusts that are not subject to tax on unrelated business income, we may incur a corporate level tax on a porton of our income from the taxable mortgage pool. In that case, we will reduce the amount of our distributons to any disqualifed organizaton whose stock ownership gave rise to the tax. Moreover, we would be precluded from selling equity interests in these securitzatons to outside investors or selling any debt securites issued in connecton with these securitzatons that might be considered to be equity interests for tax purposes. These limitatons may prevent us from using certain techniques to maximize our returns from securitzaton transactons.</w:t>
      </w:r>
    </w:p>
    <w:p>
      <w:pPr>
        <w:spacing w:after="0" w:line="170"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Liquidaton of assets may jeopardize our REIT qualifcaton or create additonal tax liability for us.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To qualify as a REIT, we must comply with requirements regarding the compositon of our assets and our sources of income. If we are compelled to liquidate our investments to repay obligatons to our lenders, we may be unable to comply with these requirements, ultmately jeopardizing our qualifcaton as a REIT, or we may be subject to a 100% tax on any resultant gain if we sell assets that are treated as dealer property or inventory.</w:t>
      </w:r>
    </w:p>
    <w:p>
      <w:pPr>
        <w:spacing w:after="0" w:line="179"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Risks related to rights to take acton against directors and ofcers under Maryland law</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rights of our stockholders to take acton against our directors and ofcers are limited under Maryland law. Accordingly, this could limit the recourse of a stockholder in the event the Company or ACM take actons which the stockholder considers to be not in their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0" w:name="page31"/>
    <w:bookmarkEnd w:id="30"/>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29</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Provisions of Maryland law and other provisions of our organizatonal documents may limit the ability of a third-party to acquire control of the company.</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Certain provisions of the MGCL may have the efect of delaying, deferring or preventng a transacton or a change in control of the company that might involve a premium price for holders of our common stock or otherwise be in their best interests. Additonally, our charter and bylaws contain other provisions that may delay or prevent a change of control of the company.</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If we have a class of equity securites registered under the Exchange Act and meet certain other requirements, Title 3, Subttle 8 of the MGCL permits us without stockholder approval and regardless of what is currently provided in our charter or bylaws, to elect to be subject to statutory provisions that may have the efect of delaying, deferring or preventng a transacton or a change in control of the company that might involve a premium price for holders of our common stock or otherwise be in their best interest. Pursuant to Title 3, Subttle 8 of the MGCL, once we meet the applicable requirements, our charter provides that our Board will have the exclusive power to fll vacancies on our Board. As a result, unless all of the directorships are vacant, our stockholders will not be able to fll vacancies with nominees of their own choosing. We may elect to opt into additonal provisions of Title 3, Subttle 8 of the MGCL without stockholder approval at any tme that we have a class of equity securites registered under the Exchange Act and satsfy certain other requirements.</w:t>
      </w:r>
    </w:p>
    <w:p>
      <w:pPr>
        <w:spacing w:after="0" w:line="168"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Rapid changes in the values of our target assets may make it more difcult for us to maintain our qualifcaton as a REIT or our exempton from the 1940 Act.</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If the market value or income potental of our MBS declines as a result of increased interest rates, prepayment rates, general market conditons, government actons or other factors, we may need to increase certain types of our assets and income or liquidate our non-qualifying assets to maintain our REIT qualifcatons or our exempton from the 1940 Act. If the decline in real estate asset values or income occurs quickly, this may be especially difcult to accomplish. We may have to make decisions that we otherwise would not make absent the REIT and the 1940 Act consideratons.</w:t>
      </w:r>
    </w:p>
    <w:p>
      <w:pPr>
        <w:spacing w:after="0" w:line="167"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Maintenance of our exclusion from the 1940 Act will impose limits on our business.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There can be no assurance that the laws and regulatons governing the 1940 Act status of REITs, including guidance and interpretatons from the SEC staf regarding the Secton 3(c)(5)(C) exclusion, will not change in a manner that adversely afects our operatons or business. For example, such changes might require us to employ less leverage in fnancing certain of our mortgage related investments and we may be precluded from acquiring certain types of higher yielding securites. The net efect of these factors would be to lower our net interest income. If we fail to qualify for an exclusion from registraton as an investment company or an exclusion from the defniton of an investment company, our ability to use leverage would be substantally reduced. Our business will be materially and adversely afected if we fail to qualify for an exclusion from regulaton under the 1940 Act.</w:t>
      </w:r>
    </w:p>
    <w:p>
      <w:pPr>
        <w:spacing w:after="0" w:line="183" w:lineRule="exact"/>
        <w:rPr>
          <w:sz w:val="20"/>
          <w:szCs w:val="20"/>
          <w:color w:val="auto"/>
        </w:rPr>
      </w:pPr>
    </w:p>
    <w:p>
      <w:pPr>
        <w:jc w:val="both"/>
        <w:ind w:firstLine="619"/>
        <w:spacing w:after="0" w:line="255" w:lineRule="auto"/>
        <w:rPr>
          <w:sz w:val="20"/>
          <w:szCs w:val="20"/>
          <w:color w:val="auto"/>
        </w:rPr>
      </w:pPr>
      <w:r>
        <w:rPr>
          <w:rFonts w:ascii="Calibri" w:cs="Calibri" w:eastAsia="Calibri" w:hAnsi="Calibri"/>
          <w:sz w:val="16"/>
          <w:szCs w:val="16"/>
          <w:color w:val="auto"/>
        </w:rPr>
        <w:t>We conduct our business so as not to become regulated as an investment company under the 1940 Act. If we were to fall within the defniton of investment company, we would be unable to conduct our business as described in this Annual Report on Form 10-K. Secton 3(a)(1)(A) of the 1940 Act defnes an investment company as any issuer that is or holds itself out as being engaged primarily in the business of investng, reinvestng or trading in securites. Secton 3(a)(1)(C) of the 1940 Act also defnes an investment company as any issuer that is engaged or proposes to engage in the business of investng, reinvestng, owning, holding or trading in securites and owns or proposes to acquire investment securites having a value exceeding 40% of the value of the issuer’s total assets (exclusive of U.S. Government securites and cash items) on an unconsolidated basis. Excluded from the term “investment securites,” among other things, in Secton 3(a)(1)(C) of the 1940 Act, as defned above, are U.S. Government securites and securites issued by majority-owned subsidiaries that are not themselves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1149350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425450</wp:posOffset>
            </wp:positionV>
            <wp:extent cx="458470" cy="5073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1" w:name="page32"/>
    <w:bookmarkEnd w:id="31"/>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30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alibri" w:cs="Calibri" w:eastAsia="Calibri" w:hAnsi="Calibri"/>
          <w:sz w:val="17"/>
          <w:szCs w:val="17"/>
          <w:color w:val="auto"/>
        </w:rPr>
        <w:t>companies and are not relying on the exclusion from the defniton of investment company set forth in Secton 3(c)(1) or Secton 3(c)(7) of the 1940 Act.</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rely on the exclusion from the defniton of “investment company” provided by Secton 3(c)(5)(C) of the 1940 Act. To qualify for the exclusion, we make investments so that at least 55% of the assets we own consist of “qualifying assets” and so that at least 80% of the assets we own consist of qualifying assets and other real estate related assets. We generally expect that our investments in our target assets will be treated as either qualifying assets or real estate related assets under Secton 3(c)(5)(C) of the 1940 Act in a manner consistent with SEC staf no-acton leters. Qualifying assets for this purpose include mortgage loans and other assets, such as whole pool Agency Securites that are considered the functonal equivalent of mortgage loans for purposes of the 1940 Act. The SEC staf has not issued guidance with respect to whole pool Credit Risk and Non-Agency Securites. Accordingly, based on our own judgment and analysis of the SEC’s pronouncements with respect to agency whole pool certfcates, we may also treat Credit Risk and Non-Agency Securites issued with respect to an underlying pool of mortgage loans in which we hold all the certfcates issued by the pool as qualifying assets. We invest at least 55% of our assets in whole pool Agency Securites that consttute qualifying assets in accordance with SEC staf guidance and at least 80% of our assets in qualifying assets plus other real estate related assets. Other real estate related assets would consist primarily of Agency Securites that are not whole pools, such as CMOs and CMBS. As a result of the foregoing restrictons, we are limited in our ability to make or dispose of certain investments. To the extent that the SEC staf publishes new or diferent guidance with respect to these maters, we may be required to adjust our strategy accordingly. These restrictons could also result in our holding assets we might wish to sell or selling assets we might wish to hold. Although we monitor our portolio for compliance with the Secton 3(c)(5)(C) exclusion periodically and prior to each acquisiton and dispositon, there can be no assurance that we will be able to maintain this exclusion.</w:t>
      </w:r>
    </w:p>
    <w:p>
      <w:pPr>
        <w:spacing w:after="0" w:line="174"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To the extent that we elect in the future to conduct our operatons through majority-owned subsidiaries, such business will be conducted in such a manner as to ensure that we do not meet the defniton of investment company under either Secton 3(a)(1)(A) or Secton 3(a)(1)(C) of the 1940 Act, because less than 40% of the value of our total assets on an unconsolidated basis would consist of investment securites. We intend to monitor our portolio periodically to ensure compliance with the 40% test. In such case, we would be a holding company which conducts business exclusively through majority-owned subsidiaries and we would be engaged in the non-investment company business of our subsidiaries.</w:t>
      </w:r>
    </w:p>
    <w:p>
      <w:pPr>
        <w:spacing w:after="0" w:line="167"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Loss of the 1940 Act exclusion would adversely afect us, the market price of shares of our stock and our ability to distribute dividends.</w:t>
      </w:r>
    </w:p>
    <w:p>
      <w:pPr>
        <w:spacing w:after="0" w:line="105" w:lineRule="exact"/>
        <w:rPr>
          <w:sz w:val="20"/>
          <w:szCs w:val="20"/>
          <w:color w:val="auto"/>
        </w:rPr>
      </w:pPr>
    </w:p>
    <w:p>
      <w:pPr>
        <w:jc w:val="both"/>
        <w:ind w:firstLine="619"/>
        <w:spacing w:after="0" w:line="256" w:lineRule="auto"/>
        <w:rPr>
          <w:sz w:val="20"/>
          <w:szCs w:val="20"/>
          <w:color w:val="auto"/>
        </w:rPr>
      </w:pPr>
      <w:r>
        <w:rPr>
          <w:rFonts w:ascii="Calibri" w:cs="Calibri" w:eastAsia="Calibri" w:hAnsi="Calibri"/>
          <w:sz w:val="16"/>
          <w:szCs w:val="16"/>
          <w:color w:val="auto"/>
        </w:rPr>
        <w:t>As described above, we conduct our operatons so as not to become required to register as an investment company under the 1940 Act based on current laws, regulatons and guidance. Although we monitor our portolio, we may not be able to maintain this exclusion under the 1940 Act. If we were to fail to qualify for this exclusion in the future, we could be required to restructure our actvites or the actvites of our subsidiaries, if any, including efectng sales of assets in a manner that, or at a tme when we would not otherwise choose, which could negatvely afect the value of our stock, the sustainability of our business model and our ability to make distributons. The sale could occur during adverse market conditons and we could be forced to accept a price below that which we believe is appropriate.</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There can be no assurance that the laws and regulatons governing the 1940 Act status of REITs, including guidance and interpretatons from the SEC and its staf regarding the Secton 3(c)(5)(C) exclusion, will not change in a manner that adversely afects our operatons or business. The SEC or its staf may issue new interpretatons of the Secton 3(c)(5)(C) exclusion causing us to change the way we conduct our business, including changes that may adversely afect our ability to achieve our investment objectve. We may be required at tmes to adopt less efcient methods of fnancing certain of our mortgage related investments and we may be precluded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1156335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2" w:name="page33"/>
    <w:bookmarkEnd w:id="32"/>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31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acquiring certain types of higher yielding securites. The net efect of these factors would be to lower our net interest income. If we fail to qualify for an exclusion from registraton as an investment company or an exclusion from the defniton of an investment company, our ability to use leverage would be substantally reduced. Our business will be materially and adversely afected if we fail to qualify for an exclusion from regulaton under the 1940 Act.</w:t>
      </w:r>
    </w:p>
    <w:p>
      <w:pPr>
        <w:spacing w:after="0" w:line="182"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Failure to maintain an exempton from being registered as a CPO could subject us to additonal regulaton and compliance requirements and may result in fnes and other penaltes which could materially adversely afect our business and fnancial conditon.</w:t>
      </w:r>
    </w:p>
    <w:p>
      <w:pPr>
        <w:spacing w:after="0" w:line="106"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Under rules adopted under the Dodd-Frank Act, any investment fund that trades in swaps may be considered a “commodity pool,” which would cause its directors to be regulated as CPOs.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CFTC staf has issued a no-acton leter (CFTC Staf Leter 12-44) to provide exemptve relief to mortgage REITs. We have submited our claim and our directors do not intend to register as CPOs. To comply with CFTC Staf Leter 12-44, we are restricted to operatng within certain parameters. For example, the exemptve relief limits our ability to enter into interest rate hedging transactons such that the inital margin and premiums for such hedges will not exceed fve percent of the fair market value of our total assets. Furthermore, while the exemptve relief eliminates the CPO requirement, we stll operate a commodity pool and are therefore subject to other CFTC requirements. Such other requirements may include having our interest rate swap contracts cleared through recognized clearing organizatons or having to post higher inital margins on uncleared swaps.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CFTC has substantal enforcement power with respect to violatons of the laws over which it has jurisdicton, including their ant-fraud and ant-manipulaton provisions. Among other things, the CFTC may suspend or revoke the registraton of a person who fails to comply, prohibit such a person from trading or doing business with registered enttes, impose civil money penaltes, require resttuton and seek fnes or imprisonment for criminal violatons. Additonally, a private right of acton exists against those who violate the laws over which the CFTC has jurisdicton or who willfully aid, abet, counsel, induce or procure a violaton of those laws. In the event we fail to maintain exemptve relief with the CFTC on this mater and our directors fail to comply with the regulatory requirements of these new rules, we may be subject to signifcant fnes, penaltes and other civil or governmental actons or proceedings, any of which could have a materially adverse efect on our business, fnancial conditon and results of operatons.</w:t>
      </w:r>
    </w:p>
    <w:p>
      <w:pPr>
        <w:spacing w:after="0" w:line="18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We depend on ACM for our key personnel. The loss of those key personnel could severely and detrimentally afect our operatons.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As an externally managed company, we depend on the diligence, experience and skill of ACM personnel for the selecton, acquisiton, structuring, hedging and monitoring of our MBS and associated borrowings. We depend on the eforts and expertse of our operatng ofcers to manage our day-to-day operatons and strategic business directon. If any of our key personnel were to leave the Company, locatng individuals with specialized industry knowledge and skills similar to that of our key personnel may not be possible or could take months. Because we have no employees, the loss of ACM could harm our business, fnancial conditon, cash fow and results of operatons.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have a contract with AVM to administer clearing and setlement services for our securites and derivatve transactons. We have also entered into a second contract with AVM to assist us with fnancing transacton services such as repurchase fnancings and managing the margin arrangement between us and our lenders for each of our repurchase agreements. We use the services of AVM for these aspects of our business so our executve ofcers can focus on our daily operatons and strategic directon. Further, as our business expands, reliance on AVM to provide us with tmely, efectve services will increase. In the future, as we expand our staf, we may absorb internally some or all of the services provided by AVM. Untl we elect to move those services in-house,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1156335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3" w:name="page34"/>
    <w:bookmarkEnd w:id="33"/>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32</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we contnue to use AVM or other third-partes that provide similar services. If we are unable to maintain a relatonship with AVM or are unable to establish a successful relatonship with other third-partes providing similar services at comparable pricing, we may have to reduce or delay our operatons and/or increase our expenditures and undertake the repurchase agreement and trading and administratve actvites on our own, which could have a material adverse efect on our business operatons and fnancial conditon. However, we believe that the breadth and scope of ACM’s experience will enable it to fll any needs created by discontnuing a relatonship with AVM.</w:t>
      </w:r>
    </w:p>
    <w:p>
      <w:pPr>
        <w:spacing w:after="0" w:line="180"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We have very broad investment strategies, and our Board will not approve each investment and fnancing decision made by ACM.</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are authorized to invest in MBS backed by fxed rate, hybrid adjustable rate and adjustable rate home loans as well as unsecured notes and bonds issued by GSEs, U.S. Treasuries and money market instruments, subject to certain income tests we must satsfy for our qualifcaton as a REIT. ACM is authorized to invest and obtain fnancing on our behalf within these strategies. Our Board periodically reviews our investment strategies and our investment portolio but does not, and is not required to, review all our investments on an individual basis or in advance. In conductng periodic reviews, our Board relies primarily on informaton provided to it by ACM. Furthermore, ACM may use complex strategies and transactons that may be costly, difcult, or impossible to unwind if our Board determines that they are not consistent with our investment strategies. In additon, because ACM has a certain amount of discreton in investment, fnancing and hedging decisions, ACM’s decisions could result in investment returns that are substantally below expectatons or that result in losses, which would materially and adversely afect our business, fnancial conditon, and results of operatons.</w:t>
      </w:r>
    </w:p>
    <w:p>
      <w:pPr>
        <w:spacing w:after="0" w:line="171"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We are highly dependent on informaton and communicatons systems. System failures, security breaches or cyber-atacks of networks or systems could signifcantly disrupt our business and negatvely afect the market price of our common stock and our ability to distribute dividends.</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business is highly dependent on communicatons and informaton systems that allow us to monitor, value, buy, sell, fnance, and hedge our investments. These systems are primarily operated by third-partes and, as a result, we have limited ability to ensure their contnued operaton. In the event of systems failure or interrupton, we will have limited ability to afect the tming and success of systems restoraton. Any failure or interrupton of our systems could cause delays or other problems in our securites trading actvites, including Agency Securites trading actvites, which could have a material adverse efect on our operatng results and negatvely afect the market price of our stock and our ability to make distributons to our stockholders.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rely on sophistcated informaton technology systems, networks, and infrastructure in managing our day-to-day operatons. Despite cyber-security measures already in place, which we monitor on a regular basis, our informaton technology systems, networks, and infrastructure may be vulnerable to deliberate atacks or unintentonal events that could interrupt or interfere with their functonality or the confdentality of our informaton. Our inability to efectvely utlize our informaton technology systems, networks, and infrastructure, and protect our informaton could adversely afect our business.</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rely on our fnancial, accountng, and other data processing systems. Computer malware, viruses, computer hacking, and phishing atacks have become more prevalent in our industry and may occur on our systems. Although we have not detected a material cybersecurity breach to date, other fnancial services insttutons have reported material breaches of their systems, some of which have been signifcant. Even with all reasonable security eforts, not every breach can be prevented or even detected. It is possible that we have experienced an undetected breach. There is no assurance that we, or the third partes that facilitate our business actvites, have not or will not experience a breach. It is difcult to determine what, if any, negatve impact may directly result from any specifc interrupton or cyber-atacks or security breaches of our networks or systems (or the networks or systems of third partes that facilitate our business actvites) or any failure to maintain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433070</wp:posOffset>
            </wp:positionV>
            <wp:extent cx="458470" cy="5073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4" w:name="page35"/>
    <w:bookmarkEnd w:id="34"/>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33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We are subject to fnancial reportng and other requirements for which our accountng, internal audit and other management systems and resources may not be adequately prepared</w:t>
      </w:r>
      <w:r>
        <w:rPr>
          <w:rFonts w:ascii="Calibri" w:cs="Calibri" w:eastAsia="Calibri" w:hAnsi="Calibri"/>
          <w:sz w:val="17"/>
          <w:szCs w:val="17"/>
          <w:i w:val="1"/>
          <w:iCs w:val="1"/>
          <w:color w:val="1C4787"/>
        </w:rPr>
        <w:t>.</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are subject to reportng and other obligatons under the Securites Act and the Exchange Act, including the requirements of Secton 404 of the Sarbanes-Oxley Act. These reportng and other obligatons may place signifcant demands on our management, administratve, operatonal, internal audit and accountng resources and cause us to incur signifcant expenses. We may need to upgrade our systems or create new systems; implement additonal fnancial and management controls, reportng systems and procedures; expand or outsource our internal audit functon; and hire additonal accountng, internal audit and fnance staf. If we are unable to accomplish these objectves in a tmely and efectve fashion, our ability to comply with the fnancial reportng requirements and other rules that apply to reportng companies could be impaired. Any failure to maintain efectve internal controls could have a material adverse efect on our business, operatng results and stock price.</w:t>
      </w:r>
    </w:p>
    <w:p>
      <w:pPr>
        <w:spacing w:after="0" w:line="18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We have not established a minimum dividend payment level and there are no guarantees of our ability to pay dividends in the future.</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expect to contnue to make regular cash distributons to our stockholders in amounts such that all or substantally all our taxable income in each year, subject to certain adjustments, is distributed. This, along with other factors, should enable us to qualify for the tax benefts accorded to a REIT under the Code. However, we have not established a minimum dividend payment level and our ability to pay dividends may be adversely afected by the risk factors described in this report. Future distributons are made at the discreton of our Board and will depend on our earnings, our fnancial conditon, maintenance of our REIT status, restrictons on making distributons under the MGCL and such other factors as our Board may deem relevant from tme to tme. There are no guarantees of our ability to pay dividends in the future. In additon, some of our distributons may include a return of capital.</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We have returned, and may contnue to return, capital to stockholders by paying dividends in excess of our comprehensive income and/or repurchasing shares, which may adversely afect our business.</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Board of Directors considers Distributable Earnings when determining the level of dividends on our common stock. Distributable Earnings tends to be more stable over tme and this practce is designed to increase the stability of our common stock dividend from month to month. However, Distributable Earnings excludes gains and losses in portolio value that are refected in total comprehensive income (loss) computed in accordance with GAAP. These diferences cause us to distribute common stock dividends that difer from our total economic return. Since 2010, ARMOUR has distributed common stock dividends totaling approximately $1,993,110 while incurring cumulatve total comprehensive (loss) atributable to common stockholders of $(1,052,585). Such losses include approximately $(622,300) in 2013 and $(539,942) in the frst quarter of 2020 and $(399,914) in the frst three quarters of 2022.</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Dividends paid in excess of comprehensive income and common and preferred stock share repurchases will reduce our capital base and our ability to invest in MBS without increasing fnancial leverage. Reducing our capital base will increase our expense rato and could potentally reduce the availability of our repurchase fnancing and interest rate swap hedges. We will be more likely to consider future returns of capital to stockholders when the market trading price for our common stock represents a signifcant discount to our book value.</w:t>
      </w:r>
    </w:p>
    <w:p>
      <w:pPr>
        <w:spacing w:after="0" w:line="182"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We may use proceeds from equity and debt oferings and other fnancings to fund distributons, which will decrease the amount of capital available for purchasing our target assets.</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There are no restrictons in our charter or in any agreement to which we are a party that prohibits us from using the proceeds of any ofering of our equity or debt or other fnancings to fund distributons to stockholders. In the event that we elect to fund any distributon to our stockholders from sources other than our earnings,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5" w:name="page36"/>
    <w:bookmarkEnd w:id="35"/>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34</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alibri" w:cs="Calibri" w:eastAsia="Calibri" w:hAnsi="Calibri"/>
          <w:sz w:val="16"/>
          <w:szCs w:val="16"/>
          <w:color w:val="auto"/>
        </w:rPr>
        <w:t>amount of capital available to us to purchase our target assets would decrease, which could have an adverse efect on our overall fnancial results and performance.</w:t>
      </w:r>
    </w:p>
    <w:p>
      <w:pPr>
        <w:spacing w:after="0" w:line="189"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Our return of capital distributons may increase capital gains.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Diferences in accountng methods for tax and fnancial reportng purposes have periodically resulted in ARMOUR reportng taxable income that is less than our comprehensive income for the same period. ARMOUR has also reported taxable losses for periods in which it reported comprehensive income. In order to maintain our REIT status, we are generally required to make tmely distributons at least equal to 90% of our current taxable income. We have made and may contnue to make distributons in excess of the amounts required to maintain our REIT status. Such distributons represent a return of capital for tax purposes and thus will generally not be immediately taxable. Such return of capital distributons will generally reduce stockholders’ tax basis in their shares and potentally increase the taxable gain, if any, recognized by such stockholders upon dispositon of their shares. In additon, if stockholders hold our shares as a capital asset, to the extent return of capital distributons exceed their adjusted tax basis in their shares, such stockholders would be required to include those distributons in income as long-term capital gain (or short-term capital gain if their shares have been held for one year or less).</w:t>
      </w:r>
    </w:p>
    <w:p>
      <w:pPr>
        <w:spacing w:after="0" w:line="171"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The performance of our common stock correlates to the performance of our REIT investments, which may be speculatve and aggressive compared to other types of investments.</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investments we make in accordance with our investment objectves may result in a greater amount of risk as compared to alternatve investment optons, including relatvely higher risk of volatlity or loss of principal. Our investments may be speculatve and aggressive, and therefore an investment in our common stock may not be suitable for someone with lower risk tolerance.</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One of the factors that investors may consider in deciding whether to buy or sell shares of our common stock is our distributon rate as a percentage of the trading price of our common stock relatve to market interest rates. If the market price of our common stock is based primarily on the earnings and return that we derive from our investments and income with respect to our investments and our related distributons to stockholders, and not from the market value of the investments themselves, then interest rate fuctuatons and capital market conditons are likely to afect adversely the market price of our common stock. For instance, if market rates rise without an increase in our distributon rate, the market price of our common stock could decrease as potental investors may require a higher distributon yield on our common stock or seek other securites paying higher distributons or interest. In additon, rising interest rates would result in increased interest expense on our variable rate debt, thereby reducing cash fow and our ability to service our indebtedness and pay distributons.</w:t>
      </w:r>
    </w:p>
    <w:p>
      <w:pPr>
        <w:spacing w:after="0" w:line="184"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i w:val="1"/>
          <w:iCs w:val="1"/>
          <w:u w:val="single" w:color="auto"/>
          <w:color w:val="1C4787"/>
        </w:rPr>
        <w:t>Any future oferings of debt securites and/or preferred stock, which would rank senior to our common stock upon our liquidaton, and future oferings of equity securites, which would dilute our existng stockholders and may be senior to our common stock for the purposes of dividend and liquidaton distributons, may adversely afect the market price of our common stock.</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 the future, we may raise capital through the issuance of debt, preferred equity or common equity securites. Upon liquidaton, holders of our debt securites and preferred stock, if any, and lenders with respect to other borrowings will be enttled to our available assets prior to the holders of our common stock. Additonal equity oferings may dilute the holdings of our existng stockholders or reduce the market price of our common stock, or both. Additonal series of preferred stock, if issued, could have a preference on liquidaton distributons or a preference on dividend payments that could limit our ability to pay dividends to the holders of our common stock. Sales of substantal amounts of our common stock (including shares of our common stock issued pursuant to our 2009 Stock Incentve Plan, as amended), or the percepton that these sales could occur, could have a material adverse efect on the price of our common stock. Because our decision to issue debt or equity securites in any future ofering will depend on market conditons and other factors beyond our control, we cannot predict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433070</wp:posOffset>
            </wp:positionV>
            <wp:extent cx="458470" cy="5073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6" w:name="page37"/>
    <w:bookmarkEnd w:id="36"/>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Risk Factors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35</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estmate the amount, tming, or nature of our future oferings. Thus, holders of our common stock bear the risk of our future oferings reducing the market price of our common stock and dilutng the value of their stock holdings in us.</w:t>
      </w:r>
    </w:p>
    <w:p>
      <w:pPr>
        <w:spacing w:after="0" w:line="18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Our common stock may become the target of a “short squeeze.”</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securites of several companies have increasingly experienced signifcant and extreme volatlity in share price due to short sellers of common stock and buy-and-hold decisions of longer investors, resultng in what is sometmes described as a “short squeeze.” Short squeezes have caused extreme volatlity in those companies and in the market and have led to the price per share of those companies to trade at a signifcantly infated rate that is disconnected from the underlying value of the company. Sharp rises in a company’s stock price may force traders in a short positon to buy the shares to avoid even greater losses. Many investors who have purchased shares in those companies at an infated rate face the risk of losing a signifcant porton of their original investment as the price per share has declined steadily as interest in those shares have abated. We may be a target of a short squeeze, and investors may lose a signifcant porton or all of their investment if they purchase our shares at a rate that is signifcantly disconnected from our underlying value.</w:t>
      </w:r>
    </w:p>
    <w:p>
      <w:pPr>
        <w:spacing w:after="0" w:line="171"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Our common stock has experienced and may contnue to experience price fuctuatons, which could cause you to lose a signifcant porton of your investment and interfere with our eforts to grow our business.</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Stock markets are subject to signifcant price fuctuatons that may be unrelated to the operatng performance of partcular companies, and accordingly the market price of our common stock may frequently and meaningfully change. In additon, the market price of our common stock has fuctuated and may contnue to fuctuate substantally due to a variety of other factors. Possible exogenous incidents and trends may also impact the capital markets generally and our common stock prices specifcally. For example, the ongoing war between Russia and Ukraine and resultng economic sanctons imposed by many countries on Russia, as well as the recent outbreak of hostlites in the Middle East, have led to disrupton, instability and volatlity in the U.S. and global markets and industries and are expected to have a negatve impact on the U.S. and broader global economies. The tming of your purchase and sale of our common stock relatve to fuctuatons in its trading price may result in you losing a signifcant porton of your investment.</w:t>
      </w:r>
    </w:p>
    <w:p>
      <w:pPr>
        <w:spacing w:after="0" w:line="171"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If securites or industry analysts fail to contnue publishing research about our business, if they change their recommendatons adversely or if our results of operatons do not meet their expectatons, our share price and trading volume could decline.</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trading market for our common stock will be infuenced by the research and reports that industry or securites analysts publish about us or our business. If one or more of these analysts cease coverage of the Company or fail to publish reports on us regularly, we could lose visibility in the fnancial markets, which in turn could cause our stock price or trading volume to decline. In additon, it is likely that in some future period our operatng results will be below the expectatons of securites analysts or investors. If one or more of the analysts who cover us downgrade our stock, or if our results of operatons do not meet their expectatons, our stock price could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1164590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440690</wp:posOffset>
            </wp:positionV>
            <wp:extent cx="458470" cy="5073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7" w:name="page38"/>
    <w:bookmarkEnd w:id="37"/>
    <w:p>
      <w:pPr>
        <w:jc w:val="center"/>
        <w:ind w:right="1120"/>
        <w:spacing w:after="0"/>
        <w:rPr>
          <w:sz w:val="20"/>
          <w:szCs w:val="20"/>
          <w:color w:val="auto"/>
        </w:rPr>
      </w:pPr>
      <w:r>
        <w:rPr>
          <w:rFonts w:ascii="Calibri" w:cs="Calibri" w:eastAsia="Calibri" w:hAnsi="Calibri"/>
          <w:sz w:val="19"/>
          <w:szCs w:val="19"/>
          <w:b w:val="1"/>
          <w:bCs w:val="1"/>
          <w:color w:val="1C4787"/>
        </w:rPr>
        <w:t>ARMOUR Residental REIT, Inc.</w:t>
      </w:r>
    </w:p>
    <w:p>
      <w:pPr>
        <w:jc w:val="center"/>
        <w:ind w:right="1120"/>
        <w:spacing w:after="0" w:line="226" w:lineRule="auto"/>
        <w:rPr>
          <w:sz w:val="20"/>
          <w:szCs w:val="20"/>
          <w:color w:val="auto"/>
        </w:rPr>
      </w:pPr>
      <w:r>
        <w:rPr>
          <w:rFonts w:ascii="Calibri" w:cs="Calibri" w:eastAsia="Calibri" w:hAnsi="Calibri"/>
          <w:sz w:val="19"/>
          <w:szCs w:val="19"/>
          <w:b w:val="1"/>
          <w:bCs w:val="1"/>
          <w:color w:val="1C4787"/>
        </w:rPr>
        <w:t>Item 1B. Unresolved Staf Comments</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36</w:t>
      </w:r>
    </w:p>
    <w:p>
      <w:pPr>
        <w:spacing w:after="0" w:line="200" w:lineRule="exact"/>
        <w:rPr>
          <w:sz w:val="20"/>
          <w:szCs w:val="20"/>
          <w:color w:val="auto"/>
        </w:rPr>
      </w:pPr>
    </w:p>
    <w:p>
      <w:pPr>
        <w:spacing w:after="0" w:line="353" w:lineRule="exact"/>
        <w:rPr>
          <w:sz w:val="20"/>
          <w:szCs w:val="20"/>
          <w:color w:val="auto"/>
        </w:rPr>
      </w:pPr>
    </w:p>
    <w:p>
      <w:pPr>
        <w:ind w:left="4300"/>
        <w:spacing w:after="0"/>
        <w:rPr>
          <w:sz w:val="20"/>
          <w:szCs w:val="20"/>
          <w:color w:val="auto"/>
        </w:rPr>
      </w:pPr>
      <w:r>
        <w:rPr>
          <w:rFonts w:ascii="Calibri" w:cs="Calibri" w:eastAsia="Calibri" w:hAnsi="Calibri"/>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1049655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5970905</wp:posOffset>
            </wp:positionH>
            <wp:positionV relativeFrom="paragraph">
              <wp:posOffset>325120</wp:posOffset>
            </wp:positionV>
            <wp:extent cx="458470" cy="5073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0120"/>
          </w:cols>
          <w:pgMar w:left="1440" w:top="920" w:right="339" w:bottom="1440" w:gutter="0" w:footer="0" w:header="0"/>
        </w:sectPr>
      </w:pPr>
    </w:p>
    <w:bookmarkStart w:id="38" w:name="page39"/>
    <w:bookmarkEnd w:id="38"/>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Item 1C. Cybersecurity</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37</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Risk Management</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recognize the importance of developing, implementng, and maintaining cybersecurity measures to safeguard our informaton systems and protect the integrity and confdentality of our data. ACM has established an Informaton Technology Steering Commitee (the "ITSC”) to help mitgate technology risks including those relatng to cybersecurity. One of the roles of the ITSC is to oversee cyber risk assessments, monitor applicable key risk indicators, review cybersecurity training procedures, oversee the Company’s Cybersecurity Incident Response Plan and engage third-party service providers to conduct periodic penetraton testng, advise on current best practces and review policies and procedures.</w:t>
      </w:r>
    </w:p>
    <w:p>
      <w:pPr>
        <w:spacing w:after="0" w:line="18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Third-party Service Providers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ITSC engages with external experts, including cybersecurity assessors and consultants in evaluatng and testng our cyber risk systems. These engagements enable leveraging specialized knowledge and provides insight to atempt to ensure the cybersecurity strategies and processes are industry best practces. Our collaboraton with these third-party service providers includes regular audits, threat assessments, and consultaton on security enhancements.</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Because of the risks associated with third-party service providers, the ITSC has implemented processes to oversee and manage these risks. Security assessments of key third-party providers are performed before engagement with ongoing monitoring performed to atempt to ensure compliance with cybersecurity standards. The monitoring includes quarterly assessments by the ITSC. This approach is designed to mitgate risks related to data breaches or other security incidents originatng from third partes. Our cybersecurity risk assessment includes an evaluaton of cyber risk related to sensitve data held by third partes on their systems. There is no assurance that these eforts will efectvely mitgate cybersecurity risk and mitgaton eforts are not an assurance that no cybersecurity incidents will occur.</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Risks from Cybersecurity Threats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rely on our fnancial, accountng and other data processing systems. Computer malware, viruses, computer hacking and phishing atacks have become more prevalent in our industry and may occur on our systems. Although we have not detected a material cybersecurity breach to date, other fnancial services insttutons have reported material breaches of their systems, some of which have been signifcant. Even with all reasonable security eforts, not every breach can be prevented or even detected. It is possible that we have experienced an undetected breach. There is no assurance that we, or the third partes that facilitate our business actvites, have not or will not experience a breach. It is difcult to determine what, if any, negatve impact may directly result from any specifc interrupton or cyber-atacks or security breaches of our networks or systems (or the networks or systems of third partes that facilitate our business actvites) or any failure to maintain performance. See General risks common to ARMOUR and our peer mortgage REITs—We are highly dependent on informaton and communicatons systems. System failures, security breaches or cyber-atacks of networks or systems could signifcantly disrupt our business and negatvely afect the market price of our common stock and our ability to distribute dividends in Item 1A. Risk Factors of this Form 10-K for further discussion.</w:t>
      </w:r>
    </w:p>
    <w:p>
      <w:pPr>
        <w:spacing w:after="0" w:line="18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Governance</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Board is aware of the critcal nature of managing risks associated with cybersecurity threats and has established oversight mechanisms to ensure efectve governance in managing risks associated with cybersecurity threats. Our Audit Commitee periodically monitors and oversees our informaton and cybersecurity risks including reviewing and approving any informaton and cybersecurity policies, procedures and resources, and reviewing our informaton and cybersecurity risk assessment, detecton, protecton, and mitgaton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1156335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9" w:name="page40"/>
    <w:bookmarkEnd w:id="39"/>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line="226" w:lineRule="auto"/>
        <w:rPr>
          <w:sz w:val="20"/>
          <w:szCs w:val="20"/>
          <w:color w:val="auto"/>
        </w:rPr>
      </w:pPr>
      <w:r>
        <w:rPr>
          <w:rFonts w:ascii="Calibri" w:cs="Calibri" w:eastAsia="Calibri" w:hAnsi="Calibri"/>
          <w:sz w:val="19"/>
          <w:szCs w:val="19"/>
          <w:b w:val="1"/>
          <w:bCs w:val="1"/>
          <w:color w:val="1C4787"/>
        </w:rPr>
        <w:t>Cybersecurity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38</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Management’s Role</w:t>
      </w:r>
    </w:p>
    <w:p>
      <w:pPr>
        <w:spacing w:after="0" w:line="105" w:lineRule="exact"/>
        <w:rPr>
          <w:sz w:val="20"/>
          <w:szCs w:val="20"/>
          <w:color w:val="auto"/>
        </w:rPr>
      </w:pPr>
    </w:p>
    <w:p>
      <w:pPr>
        <w:ind w:firstLine="619"/>
        <w:spacing w:after="0" w:line="237" w:lineRule="auto"/>
        <w:rPr>
          <w:sz w:val="20"/>
          <w:szCs w:val="20"/>
          <w:color w:val="auto"/>
        </w:rPr>
      </w:pPr>
      <w:r>
        <w:rPr>
          <w:rFonts w:ascii="Calibri" w:cs="Calibri" w:eastAsia="Calibri" w:hAnsi="Calibri"/>
          <w:sz w:val="17"/>
          <w:szCs w:val="17"/>
          <w:color w:val="auto"/>
        </w:rPr>
        <w:t>The ITSC and the Chief Executve Ofcer (“CEO") play a pivotal role in informing the Audit Commitee on cybersecurity risks. They provide comprehensive briefngs to the Audit Commitee on a regular basis, with a minimum frequency of once per year. These briefngs encompass a broad range of topics, including:</w:t>
      </w:r>
    </w:p>
    <w:p>
      <w:pPr>
        <w:spacing w:after="0" w:line="181" w:lineRule="exact"/>
        <w:rPr>
          <w:sz w:val="20"/>
          <w:szCs w:val="20"/>
          <w:color w:val="auto"/>
        </w:rPr>
      </w:pPr>
    </w:p>
    <w:p>
      <w:pPr>
        <w:ind w:left="620" w:hanging="307"/>
        <w:spacing w:after="0"/>
        <w:tabs>
          <w:tab w:leader="none" w:pos="620"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Current cybersecurity landscape and emerging threats;</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Status of ongoing cybersecurity initatves and strategies;</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Incident reports from any cybersecurity events; and</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Compliance with regulatory requirements and industry standards.</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 additon to our scheduled meetngs, the Audit Commitee, ITSC and CEO maintain an ongoing dialogue regarding emerging or potental cybersecurity risks. Together, they receive updates on any signifcant developments in the cybersecurity domain, atemptng to ensure the Board’s oversight is proactve and responsive. The Audit Commitee provides the guidance that atempts to ensure cybersecurity consideratons are integrated into the broader operatng environment. The Audit Commitee conducts an annual review of the company’s cybersecurity positon and the efectveness of its risk management strategies. This review helps in identfying areas for improvement and atemptng to ensure the alignment of cybersecurity eforts with the overall risk management framework.</w:t>
      </w:r>
    </w:p>
    <w:p>
      <w:pPr>
        <w:spacing w:after="0" w:line="16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Risk Management Personnel</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Primary responsibility for assessing, monitoring, and managing our cybersecurity risks rests with the ITSC. This commitee consists of the Chief Technology Ofcer ("CTO"), IT Systems Administrator, Chief Investment Ofcer, VP of Finance, Treasurer and Controller and the CFO. Our CTO has over a twenty years of experience with cybersecurity, and our IT Systems Administrator has cybersecurity experience and certfcatons. All ACM employees are required to complete monthly cybersecurity trainings. Our ITSC oversees our governance programs, tests our compliance with standards, remediates known risks, and leads our cybersecurity training procedures.</w:t>
      </w:r>
    </w:p>
    <w:p>
      <w:pPr>
        <w:spacing w:after="0" w:line="18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Monitoring</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ITSC is informed about the latest developments in cybersecurity, including potental threats and innovatve risk management techniques by our CTO. Informaton technology subscriptons and cybersecurity updates are reviewed regularly by our CTO and contnuing educaton in the cybersecurity feld is ongoing. This ongoing knowledge acquisiton is crucial for the efectve preventon, detecton, mitgaton, and remediaton of cybersecurity incidents. The ITSC implements and oversees processes for the regular monitoring of our informaton systems. This includes the deployment of advanced security measures and regular system audits to identfy potental vulnerabilites. In the event of a cybersecurity incident, the ITSC is equipped with a well-defned incident response plan. This plan includes immediate actons to mitgate the impact and long-term strategies for remediaton and preventon of future incidents.</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Reportng</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ITSC regularly informs the CEO of all known aspects related to cybersecurity risks and incidents. This atempts to ensure that the highest levels of management are kept abreast of the cybersecurity posture and potental risks facing ARMOUR. Furthermore, signifcant cybersecurity maters are escalated to the Board, so that the Board can provide guidance on critcal cybersecurity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40" w:name="page41"/>
    <w:bookmarkEnd w:id="40"/>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spacing w:after="0" w:line="227"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39</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1C4787"/>
        </w:rPr>
        <w:t>Item 2. Propertes</w:t>
      </w:r>
    </w:p>
    <w:p>
      <w:pPr>
        <w:spacing w:after="0" w:line="200" w:lineRule="exact"/>
        <w:rPr>
          <w:sz w:val="20"/>
          <w:szCs w:val="20"/>
          <w:color w:val="auto"/>
        </w:rPr>
      </w:pPr>
    </w:p>
    <w:p>
      <w:pPr>
        <w:spacing w:after="0" w:line="210" w:lineRule="exact"/>
        <w:rPr>
          <w:sz w:val="20"/>
          <w:szCs w:val="20"/>
          <w:color w:val="auto"/>
        </w:rPr>
      </w:pPr>
    </w:p>
    <w:p>
      <w:pPr>
        <w:ind w:firstLine="619"/>
        <w:spacing w:after="0" w:line="237" w:lineRule="auto"/>
        <w:rPr>
          <w:sz w:val="20"/>
          <w:szCs w:val="20"/>
          <w:color w:val="auto"/>
        </w:rPr>
      </w:pPr>
      <w:r>
        <w:rPr>
          <w:rFonts w:ascii="Calibri" w:cs="Calibri" w:eastAsia="Calibri" w:hAnsi="Calibri"/>
          <w:sz w:val="17"/>
          <w:szCs w:val="17"/>
          <w:color w:val="auto"/>
        </w:rPr>
        <w:t>We do not own or lease any real estate or other physical propertes. Pursuant to the management agreement, ACM maintains our executve ofces at 3001 Ocean Drive, Suite 201, Vero Beach, Florida 32963. We consider our current ofce space adequate for our current operatons.</w:t>
      </w:r>
    </w:p>
    <w:p>
      <w:pPr>
        <w:spacing w:after="0" w:line="173"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1C4787"/>
        </w:rPr>
        <w:t>Item 3. Legal Proceedings</w:t>
      </w:r>
    </w:p>
    <w:p>
      <w:pPr>
        <w:spacing w:after="0" w:line="200" w:lineRule="exact"/>
        <w:rPr>
          <w:sz w:val="20"/>
          <w:szCs w:val="20"/>
          <w:color w:val="auto"/>
        </w:rPr>
      </w:pPr>
    </w:p>
    <w:p>
      <w:pPr>
        <w:spacing w:after="0" w:line="207"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See Note 8 - Commitments and Contngencies for informaton on legal proceedings.</w:t>
      </w:r>
    </w:p>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1C4787"/>
        </w:rPr>
        <w:t>Item 4. Mine Safety Disclosures</w:t>
      </w:r>
    </w:p>
    <w:p>
      <w:pPr>
        <w:spacing w:after="0" w:line="200" w:lineRule="exact"/>
        <w:rPr>
          <w:sz w:val="20"/>
          <w:szCs w:val="20"/>
          <w:color w:val="auto"/>
        </w:rPr>
      </w:pPr>
    </w:p>
    <w:p>
      <w:pPr>
        <w:spacing w:after="0" w:line="207" w:lineRule="exact"/>
        <w:rPr>
          <w:sz w:val="20"/>
          <w:szCs w:val="20"/>
          <w:color w:val="auto"/>
        </w:rPr>
      </w:pPr>
    </w:p>
    <w:p>
      <w:pPr>
        <w:ind w:left="5420"/>
        <w:spacing w:after="0"/>
        <w:rPr>
          <w:sz w:val="20"/>
          <w:szCs w:val="20"/>
          <w:color w:val="auto"/>
        </w:rPr>
      </w:pPr>
      <w:r>
        <w:rPr>
          <w:rFonts w:ascii="Calibri" w:cs="Calibri" w:eastAsia="Calibri" w:hAnsi="Calibri"/>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41" w:name="page42"/>
    <w:bookmarkEnd w:id="41"/>
    <w:p>
      <w:pPr>
        <w:ind w:left="5340"/>
        <w:spacing w:after="0"/>
        <w:rPr>
          <w:sz w:val="20"/>
          <w:szCs w:val="20"/>
          <w:color w:val="auto"/>
        </w:rPr>
      </w:pPr>
      <w:r>
        <w:rPr>
          <w:rFonts w:ascii="Calibri" w:cs="Calibri" w:eastAsia="Calibri" w:hAnsi="Calibri"/>
          <w:sz w:val="19"/>
          <w:szCs w:val="19"/>
          <w:b w:val="1"/>
          <w:bCs w:val="1"/>
          <w:color w:val="1C4787"/>
        </w:rPr>
        <w:t>PART II</w:t>
      </w:r>
    </w:p>
    <w:p>
      <w:pPr>
        <w:ind w:left="2560"/>
        <w:spacing w:after="0"/>
        <w:rPr>
          <w:sz w:val="20"/>
          <w:szCs w:val="20"/>
          <w:color w:val="auto"/>
        </w:rPr>
      </w:pPr>
      <w:r>
        <w:rPr>
          <w:rFonts w:ascii="Calibri" w:cs="Calibri" w:eastAsia="Calibri" w:hAnsi="Calibri"/>
          <w:sz w:val="19"/>
          <w:szCs w:val="19"/>
          <w:b w:val="1"/>
          <w:bCs w:val="1"/>
          <w:color w:val="1C4787"/>
        </w:rPr>
        <w:t>Item 5. Market for Registrant’s Common Equity, Related Stockholder Maters</w:t>
      </w:r>
    </w:p>
    <w:p>
      <w:pPr>
        <w:ind w:left="4000"/>
        <w:spacing w:after="0"/>
        <w:rPr>
          <w:sz w:val="20"/>
          <w:szCs w:val="20"/>
          <w:color w:val="auto"/>
        </w:rPr>
      </w:pPr>
      <w:r>
        <w:rPr>
          <w:rFonts w:ascii="Calibri" w:cs="Calibri" w:eastAsia="Calibri" w:hAnsi="Calibri"/>
          <w:sz w:val="19"/>
          <w:szCs w:val="19"/>
          <w:b w:val="1"/>
          <w:bCs w:val="1"/>
          <w:color w:val="1C4787"/>
        </w:rPr>
        <w:t>and Issuer Purchases of Equity Securites</w:t>
      </w:r>
    </w:p>
    <w:p>
      <w:pPr>
        <w:jc w:val="center"/>
        <w:spacing w:after="0" w:line="226" w:lineRule="auto"/>
        <w:rPr>
          <w:sz w:val="20"/>
          <w:szCs w:val="20"/>
          <w:color w:val="auto"/>
        </w:rPr>
      </w:pPr>
      <w:r>
        <w:rPr>
          <w:rFonts w:ascii="Calibri" w:cs="Calibri" w:eastAsia="Calibri" w:hAnsi="Calibri"/>
          <w:sz w:val="19"/>
          <w:szCs w:val="19"/>
          <w:b w:val="1"/>
          <w:bCs w:val="1"/>
          <w:color w:val="1C4787"/>
        </w:rPr>
        <w:t>ARMOUR Residental REIT, Inc.</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40</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Stock Symbols and Holders of Common Equity</w:t>
      </w:r>
    </w:p>
    <w:p>
      <w:pPr>
        <w:spacing w:after="0" w:line="105" w:lineRule="exact"/>
        <w:rPr>
          <w:sz w:val="20"/>
          <w:szCs w:val="20"/>
          <w:color w:val="auto"/>
        </w:rPr>
      </w:pPr>
    </w:p>
    <w:p>
      <w:pPr>
        <w:ind w:firstLine="619"/>
        <w:spacing w:after="0" w:line="237" w:lineRule="auto"/>
        <w:rPr>
          <w:sz w:val="20"/>
          <w:szCs w:val="20"/>
          <w:color w:val="auto"/>
        </w:rPr>
      </w:pPr>
      <w:r>
        <w:rPr>
          <w:rFonts w:ascii="Calibri" w:cs="Calibri" w:eastAsia="Calibri" w:hAnsi="Calibri"/>
          <w:sz w:val="17"/>
          <w:szCs w:val="17"/>
          <w:color w:val="auto"/>
        </w:rPr>
        <w:t>Our 7.00% Series C Cumulatve Preferred Stock (“Series C Preferred Stock”), and our common stock are currently listed on the NYSE under the symbols “ARR-PRC” and “ARR,” respectvely. On March 14, 2024, the closing per share price of our common stock as reported on the NYSE was $18.72.</w:t>
      </w:r>
    </w:p>
    <w:p>
      <w:pPr>
        <w:spacing w:after="0" w:line="183" w:lineRule="exact"/>
        <w:rPr>
          <w:sz w:val="20"/>
          <w:szCs w:val="20"/>
          <w:color w:val="auto"/>
        </w:rPr>
      </w:pPr>
    </w:p>
    <w:p>
      <w:pPr>
        <w:ind w:firstLine="619"/>
        <w:spacing w:after="0" w:line="237" w:lineRule="auto"/>
        <w:rPr>
          <w:sz w:val="20"/>
          <w:szCs w:val="20"/>
          <w:color w:val="auto"/>
        </w:rPr>
      </w:pPr>
      <w:r>
        <w:rPr>
          <w:rFonts w:ascii="Calibri" w:cs="Calibri" w:eastAsia="Calibri" w:hAnsi="Calibri"/>
          <w:sz w:val="17"/>
          <w:szCs w:val="17"/>
          <w:color w:val="auto"/>
        </w:rPr>
        <w:t>As of March 14, 2024, we had 149 stockholders of record of our outstanding common stock. We believe that there are more benefcial owners of shares of our common stock.</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Common Stock Repurchase Program</w:t>
      </w:r>
    </w:p>
    <w:p>
      <w:pPr>
        <w:spacing w:after="0" w:line="102"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Issuer Purchases of Equity Securites</w:t>
      </w:r>
    </w:p>
    <w:p>
      <w:pPr>
        <w:spacing w:after="0" w:line="105" w:lineRule="exact"/>
        <w:rPr>
          <w:sz w:val="20"/>
          <w:szCs w:val="20"/>
          <w:color w:val="auto"/>
        </w:rPr>
      </w:pPr>
    </w:p>
    <w:p>
      <w:pPr>
        <w:ind w:firstLine="619"/>
        <w:spacing w:after="0" w:line="237" w:lineRule="auto"/>
        <w:rPr>
          <w:sz w:val="20"/>
          <w:szCs w:val="20"/>
          <w:color w:val="auto"/>
        </w:rPr>
      </w:pPr>
      <w:r>
        <w:rPr>
          <w:rFonts w:ascii="Calibri" w:cs="Calibri" w:eastAsia="Calibri" w:hAnsi="Calibri"/>
          <w:sz w:val="17"/>
          <w:szCs w:val="17"/>
          <w:color w:val="auto"/>
        </w:rPr>
        <w:t>The following table presents informaton regarding our common stock repurchases made during the three months ended December 31, 2023 (in thousands, except per share price).</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260" w:type="dxa"/>
            <w:vAlign w:val="bottom"/>
            <w:shd w:val="clear" w:color="auto" w:fill="E6EEFF"/>
          </w:tcPr>
          <w:p>
            <w:pPr>
              <w:spacing w:after="0"/>
              <w:rPr>
                <w:sz w:val="18"/>
                <w:szCs w:val="18"/>
                <w:color w:val="auto"/>
              </w:rPr>
            </w:pPr>
          </w:p>
        </w:tc>
        <w:tc>
          <w:tcPr>
            <w:tcW w:w="148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280" w:type="dxa"/>
            <w:vAlign w:val="bottom"/>
            <w:shd w:val="clear" w:color="auto" w:fill="E6EEFF"/>
          </w:tcPr>
          <w:p>
            <w:pPr>
              <w:spacing w:after="0"/>
              <w:rPr>
                <w:sz w:val="18"/>
                <w:szCs w:val="18"/>
                <w:color w:val="auto"/>
              </w:rPr>
            </w:pPr>
          </w:p>
        </w:tc>
        <w:tc>
          <w:tcPr>
            <w:tcW w:w="80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2000" w:type="dxa"/>
            <w:vAlign w:val="bottom"/>
            <w:shd w:val="clear" w:color="auto" w:fill="E6EEFF"/>
          </w:tcPr>
          <w:p>
            <w:pPr>
              <w:spacing w:after="0"/>
              <w:rPr>
                <w:sz w:val="18"/>
                <w:szCs w:val="18"/>
                <w:color w:val="auto"/>
              </w:rPr>
            </w:pPr>
          </w:p>
        </w:tc>
        <w:tc>
          <w:tcPr>
            <w:tcW w:w="80" w:type="dxa"/>
            <w:vAlign w:val="bottom"/>
            <w:shd w:val="clear" w:color="auto" w:fill="E6EEFF"/>
          </w:tcPr>
          <w:p>
            <w:pPr>
              <w:spacing w:after="0"/>
              <w:rPr>
                <w:sz w:val="18"/>
                <w:szCs w:val="18"/>
                <w:color w:val="auto"/>
              </w:rPr>
            </w:pPr>
          </w:p>
        </w:tc>
        <w:tc>
          <w:tcPr>
            <w:tcW w:w="2080" w:type="dxa"/>
            <w:vAlign w:val="bottom"/>
            <w:shd w:val="clear" w:color="auto" w:fill="E6EEFF"/>
          </w:tcPr>
          <w:p>
            <w:pPr>
              <w:jc w:val="center"/>
              <w:spacing w:after="0"/>
              <w:rPr>
                <w:sz w:val="20"/>
                <w:szCs w:val="20"/>
                <w:color w:val="auto"/>
              </w:rPr>
            </w:pPr>
            <w:r>
              <w:rPr>
                <w:rFonts w:ascii="Calibri" w:cs="Calibri" w:eastAsia="Calibri" w:hAnsi="Calibri"/>
                <w:sz w:val="17"/>
                <w:szCs w:val="17"/>
                <w:b w:val="1"/>
                <w:bCs w:val="1"/>
                <w:color w:val="1C4787"/>
                <w:w w:val="98"/>
              </w:rPr>
              <w:t>Maximum Number of Shares</w:t>
            </w:r>
          </w:p>
        </w:tc>
        <w:tc>
          <w:tcPr>
            <w:tcW w:w="0" w:type="dxa"/>
            <w:vAlign w:val="bottom"/>
          </w:tcPr>
          <w:p>
            <w:pPr>
              <w:spacing w:after="0"/>
              <w:rPr>
                <w:sz w:val="1"/>
                <w:szCs w:val="1"/>
                <w:color w:val="auto"/>
              </w:rPr>
            </w:pPr>
          </w:p>
        </w:tc>
      </w:tr>
      <w:tr>
        <w:trPr>
          <w:trHeight w:val="168"/>
        </w:trPr>
        <w:tc>
          <w:tcPr>
            <w:tcW w:w="4260" w:type="dxa"/>
            <w:vAlign w:val="bottom"/>
            <w:shd w:val="clear" w:color="auto" w:fill="E6EEFF"/>
          </w:tcPr>
          <w:p>
            <w:pPr>
              <w:spacing w:after="0"/>
              <w:rPr>
                <w:sz w:val="14"/>
                <w:szCs w:val="14"/>
                <w:color w:val="auto"/>
              </w:rPr>
            </w:pPr>
          </w:p>
        </w:tc>
        <w:tc>
          <w:tcPr>
            <w:tcW w:w="148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280" w:type="dxa"/>
            <w:vAlign w:val="bottom"/>
            <w:shd w:val="clear" w:color="auto" w:fill="E6EEFF"/>
          </w:tcPr>
          <w:p>
            <w:pPr>
              <w:spacing w:after="0"/>
              <w:rPr>
                <w:sz w:val="14"/>
                <w:szCs w:val="14"/>
                <w:color w:val="auto"/>
              </w:rPr>
            </w:pPr>
          </w:p>
        </w:tc>
        <w:tc>
          <w:tcPr>
            <w:tcW w:w="80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2000" w:type="dxa"/>
            <w:vAlign w:val="bottom"/>
            <w:shd w:val="clear" w:color="auto" w:fill="E6EEFF"/>
          </w:tcPr>
          <w:p>
            <w:pPr>
              <w:jc w:val="center"/>
              <w:spacing w:after="0" w:line="167" w:lineRule="exact"/>
              <w:rPr>
                <w:sz w:val="20"/>
                <w:szCs w:val="20"/>
                <w:color w:val="auto"/>
              </w:rPr>
            </w:pPr>
            <w:r>
              <w:rPr>
                <w:rFonts w:ascii="Calibri" w:cs="Calibri" w:eastAsia="Calibri" w:hAnsi="Calibri"/>
                <w:sz w:val="17"/>
                <w:szCs w:val="17"/>
                <w:b w:val="1"/>
                <w:bCs w:val="1"/>
                <w:color w:val="1C4787"/>
                <w:w w:val="97"/>
              </w:rPr>
              <w:t>Total Number of Shares</w:t>
            </w:r>
          </w:p>
        </w:tc>
        <w:tc>
          <w:tcPr>
            <w:tcW w:w="80" w:type="dxa"/>
            <w:vAlign w:val="bottom"/>
            <w:shd w:val="clear" w:color="auto" w:fill="E6EEFF"/>
          </w:tcPr>
          <w:p>
            <w:pPr>
              <w:spacing w:after="0"/>
              <w:rPr>
                <w:sz w:val="14"/>
                <w:szCs w:val="14"/>
                <w:color w:val="auto"/>
              </w:rPr>
            </w:pPr>
          </w:p>
        </w:tc>
        <w:tc>
          <w:tcPr>
            <w:tcW w:w="2080" w:type="dxa"/>
            <w:vAlign w:val="bottom"/>
            <w:shd w:val="clear" w:color="auto" w:fill="E6EEFF"/>
          </w:tcPr>
          <w:p>
            <w:pPr>
              <w:jc w:val="center"/>
              <w:spacing w:after="0" w:line="167" w:lineRule="exact"/>
              <w:rPr>
                <w:sz w:val="20"/>
                <w:szCs w:val="20"/>
                <w:color w:val="auto"/>
              </w:rPr>
            </w:pPr>
            <w:r>
              <w:rPr>
                <w:rFonts w:ascii="Calibri" w:cs="Calibri" w:eastAsia="Calibri" w:hAnsi="Calibri"/>
                <w:sz w:val="17"/>
                <w:szCs w:val="17"/>
                <w:b w:val="1"/>
                <w:bCs w:val="1"/>
                <w:color w:val="1C4787"/>
                <w:w w:val="97"/>
              </w:rPr>
              <w:t>That May Yet Be Purchased</w:t>
            </w:r>
          </w:p>
        </w:tc>
        <w:tc>
          <w:tcPr>
            <w:tcW w:w="0" w:type="dxa"/>
            <w:vAlign w:val="bottom"/>
          </w:tcPr>
          <w:p>
            <w:pPr>
              <w:spacing w:after="0"/>
              <w:rPr>
                <w:sz w:val="1"/>
                <w:szCs w:val="1"/>
                <w:color w:val="auto"/>
              </w:rPr>
            </w:pPr>
          </w:p>
        </w:tc>
      </w:tr>
      <w:tr>
        <w:trPr>
          <w:trHeight w:val="176"/>
        </w:trPr>
        <w:tc>
          <w:tcPr>
            <w:tcW w:w="4260" w:type="dxa"/>
            <w:vAlign w:val="bottom"/>
            <w:shd w:val="clear" w:color="auto" w:fill="E6EEFF"/>
          </w:tcPr>
          <w:p>
            <w:pPr>
              <w:spacing w:after="0"/>
              <w:rPr>
                <w:sz w:val="15"/>
                <w:szCs w:val="15"/>
                <w:color w:val="auto"/>
              </w:rPr>
            </w:pPr>
          </w:p>
        </w:tc>
        <w:tc>
          <w:tcPr>
            <w:tcW w:w="1480" w:type="dxa"/>
            <w:vAlign w:val="bottom"/>
            <w:shd w:val="clear" w:color="auto" w:fill="E6EEFF"/>
          </w:tcPr>
          <w:p>
            <w:pPr>
              <w:spacing w:after="0"/>
              <w:rPr>
                <w:sz w:val="15"/>
                <w:szCs w:val="15"/>
                <w:color w:val="auto"/>
              </w:rPr>
            </w:pPr>
          </w:p>
        </w:tc>
        <w:tc>
          <w:tcPr>
            <w:tcW w:w="120" w:type="dxa"/>
            <w:vAlign w:val="bottom"/>
            <w:shd w:val="clear" w:color="auto" w:fill="E6EEFF"/>
          </w:tcPr>
          <w:p>
            <w:pPr>
              <w:spacing w:after="0"/>
              <w:rPr>
                <w:sz w:val="15"/>
                <w:szCs w:val="15"/>
                <w:color w:val="auto"/>
              </w:rPr>
            </w:pPr>
          </w:p>
        </w:tc>
        <w:tc>
          <w:tcPr>
            <w:tcW w:w="1200" w:type="dxa"/>
            <w:vAlign w:val="bottom"/>
            <w:gridSpan w:val="3"/>
            <w:vMerge w:val="restart"/>
            <w:shd w:val="clear" w:color="auto" w:fill="E6EEFF"/>
          </w:tcPr>
          <w:p>
            <w:pPr>
              <w:jc w:val="center"/>
              <w:ind w:right="120"/>
              <w:spacing w:after="0"/>
              <w:rPr>
                <w:sz w:val="20"/>
                <w:szCs w:val="20"/>
                <w:color w:val="auto"/>
              </w:rPr>
            </w:pPr>
            <w:r>
              <w:rPr>
                <w:rFonts w:ascii="Calibri" w:cs="Calibri" w:eastAsia="Calibri" w:hAnsi="Calibri"/>
                <w:sz w:val="17"/>
                <w:szCs w:val="17"/>
                <w:b w:val="1"/>
                <w:bCs w:val="1"/>
                <w:color w:val="1C4787"/>
                <w:w w:val="99"/>
              </w:rPr>
              <w:t>Average Price</w:t>
            </w:r>
          </w:p>
        </w:tc>
        <w:tc>
          <w:tcPr>
            <w:tcW w:w="2000" w:type="dxa"/>
            <w:vAlign w:val="bottom"/>
            <w:shd w:val="clear" w:color="auto" w:fill="E6EEFF"/>
          </w:tcPr>
          <w:p>
            <w:pPr>
              <w:jc w:val="center"/>
              <w:spacing w:after="0" w:line="176" w:lineRule="exact"/>
              <w:rPr>
                <w:sz w:val="20"/>
                <w:szCs w:val="20"/>
                <w:color w:val="auto"/>
              </w:rPr>
            </w:pPr>
            <w:r>
              <w:rPr>
                <w:rFonts w:ascii="Calibri" w:cs="Calibri" w:eastAsia="Calibri" w:hAnsi="Calibri"/>
                <w:sz w:val="17"/>
                <w:szCs w:val="17"/>
                <w:b w:val="1"/>
                <w:bCs w:val="1"/>
                <w:color w:val="1C4787"/>
                <w:w w:val="98"/>
              </w:rPr>
              <w:t>Purchased as Part of</w:t>
            </w:r>
          </w:p>
        </w:tc>
        <w:tc>
          <w:tcPr>
            <w:tcW w:w="80" w:type="dxa"/>
            <w:vAlign w:val="bottom"/>
            <w:shd w:val="clear" w:color="auto" w:fill="E6EEFF"/>
          </w:tcPr>
          <w:p>
            <w:pPr>
              <w:spacing w:after="0"/>
              <w:rPr>
                <w:sz w:val="15"/>
                <w:szCs w:val="15"/>
                <w:color w:val="auto"/>
              </w:rPr>
            </w:pPr>
          </w:p>
        </w:tc>
        <w:tc>
          <w:tcPr>
            <w:tcW w:w="2080" w:type="dxa"/>
            <w:vAlign w:val="bottom"/>
            <w:shd w:val="clear" w:color="auto" w:fill="E6EEFF"/>
          </w:tcPr>
          <w:p>
            <w:pPr>
              <w:jc w:val="center"/>
              <w:spacing w:after="0" w:line="176" w:lineRule="exact"/>
              <w:rPr>
                <w:sz w:val="20"/>
                <w:szCs w:val="20"/>
                <w:color w:val="auto"/>
              </w:rPr>
            </w:pPr>
            <w:r>
              <w:rPr>
                <w:rFonts w:ascii="Calibri" w:cs="Calibri" w:eastAsia="Calibri" w:hAnsi="Calibri"/>
                <w:sz w:val="17"/>
                <w:szCs w:val="17"/>
                <w:b w:val="1"/>
                <w:bCs w:val="1"/>
                <w:color w:val="1C4787"/>
                <w:w w:val="98"/>
              </w:rPr>
              <w:t>Under the Publicly</w:t>
            </w:r>
          </w:p>
        </w:tc>
        <w:tc>
          <w:tcPr>
            <w:tcW w:w="0" w:type="dxa"/>
            <w:vAlign w:val="bottom"/>
          </w:tcPr>
          <w:p>
            <w:pPr>
              <w:spacing w:after="0"/>
              <w:rPr>
                <w:sz w:val="1"/>
                <w:szCs w:val="1"/>
                <w:color w:val="auto"/>
              </w:rPr>
            </w:pPr>
          </w:p>
        </w:tc>
      </w:tr>
      <w:tr>
        <w:trPr>
          <w:trHeight w:val="69"/>
        </w:trPr>
        <w:tc>
          <w:tcPr>
            <w:tcW w:w="4260" w:type="dxa"/>
            <w:vAlign w:val="bottom"/>
            <w:shd w:val="clear" w:color="auto" w:fill="E6EEFF"/>
          </w:tcPr>
          <w:p>
            <w:pPr>
              <w:spacing w:after="0"/>
              <w:rPr>
                <w:sz w:val="6"/>
                <w:szCs w:val="6"/>
                <w:color w:val="auto"/>
              </w:rPr>
            </w:pPr>
          </w:p>
        </w:tc>
        <w:tc>
          <w:tcPr>
            <w:tcW w:w="1480" w:type="dxa"/>
            <w:vAlign w:val="bottom"/>
            <w:vMerge w:val="restart"/>
            <w:shd w:val="clear" w:color="auto" w:fill="E6EEFF"/>
          </w:tcPr>
          <w:p>
            <w:pPr>
              <w:jc w:val="right"/>
              <w:ind w:right="94"/>
              <w:spacing w:after="0" w:line="187" w:lineRule="exact"/>
              <w:rPr>
                <w:sz w:val="20"/>
                <w:szCs w:val="20"/>
                <w:color w:val="auto"/>
              </w:rPr>
            </w:pPr>
            <w:r>
              <w:rPr>
                <w:rFonts w:ascii="Calibri" w:cs="Calibri" w:eastAsia="Calibri" w:hAnsi="Calibri"/>
                <w:sz w:val="17"/>
                <w:szCs w:val="17"/>
                <w:b w:val="1"/>
                <w:bCs w:val="1"/>
                <w:color w:val="1C4787"/>
              </w:rPr>
              <w:t>Total Number of</w:t>
            </w:r>
          </w:p>
        </w:tc>
        <w:tc>
          <w:tcPr>
            <w:tcW w:w="120" w:type="dxa"/>
            <w:vAlign w:val="bottom"/>
            <w:shd w:val="clear" w:color="auto" w:fill="E6EEFF"/>
          </w:tcPr>
          <w:p>
            <w:pPr>
              <w:spacing w:after="0"/>
              <w:rPr>
                <w:sz w:val="6"/>
                <w:szCs w:val="6"/>
                <w:color w:val="auto"/>
              </w:rPr>
            </w:pPr>
          </w:p>
        </w:tc>
        <w:tc>
          <w:tcPr>
            <w:tcW w:w="1200" w:type="dxa"/>
            <w:vAlign w:val="bottom"/>
            <w:gridSpan w:val="3"/>
            <w:vMerge w:val="continue"/>
            <w:shd w:val="clear" w:color="auto" w:fill="E6EEFF"/>
          </w:tcPr>
          <w:p>
            <w:pPr>
              <w:spacing w:after="0"/>
              <w:rPr>
                <w:sz w:val="6"/>
                <w:szCs w:val="6"/>
                <w:color w:val="auto"/>
              </w:rPr>
            </w:pPr>
          </w:p>
        </w:tc>
        <w:tc>
          <w:tcPr>
            <w:tcW w:w="2000" w:type="dxa"/>
            <w:vAlign w:val="bottom"/>
            <w:vMerge w:val="restart"/>
            <w:shd w:val="clear" w:color="auto" w:fill="E6EEFF"/>
          </w:tcPr>
          <w:p>
            <w:pPr>
              <w:jc w:val="center"/>
              <w:spacing w:after="0" w:line="187" w:lineRule="exact"/>
              <w:rPr>
                <w:sz w:val="20"/>
                <w:szCs w:val="20"/>
                <w:color w:val="auto"/>
              </w:rPr>
            </w:pPr>
            <w:r>
              <w:rPr>
                <w:rFonts w:ascii="Calibri" w:cs="Calibri" w:eastAsia="Calibri" w:hAnsi="Calibri"/>
                <w:sz w:val="17"/>
                <w:szCs w:val="17"/>
                <w:b w:val="1"/>
                <w:bCs w:val="1"/>
                <w:color w:val="1C4787"/>
                <w:w w:val="98"/>
              </w:rPr>
              <w:t>Publicly Announced Plans</w:t>
            </w:r>
          </w:p>
        </w:tc>
        <w:tc>
          <w:tcPr>
            <w:tcW w:w="80" w:type="dxa"/>
            <w:vAlign w:val="bottom"/>
            <w:shd w:val="clear" w:color="auto" w:fill="E6EEFF"/>
          </w:tcPr>
          <w:p>
            <w:pPr>
              <w:spacing w:after="0"/>
              <w:rPr>
                <w:sz w:val="6"/>
                <w:szCs w:val="6"/>
                <w:color w:val="auto"/>
              </w:rPr>
            </w:pPr>
          </w:p>
        </w:tc>
        <w:tc>
          <w:tcPr>
            <w:tcW w:w="2080" w:type="dxa"/>
            <w:vAlign w:val="bottom"/>
            <w:vMerge w:val="restart"/>
            <w:shd w:val="clear" w:color="auto" w:fill="E6EEFF"/>
          </w:tcPr>
          <w:p>
            <w:pPr>
              <w:jc w:val="center"/>
              <w:spacing w:after="0" w:line="187" w:lineRule="exact"/>
              <w:rPr>
                <w:sz w:val="20"/>
                <w:szCs w:val="20"/>
                <w:color w:val="auto"/>
              </w:rPr>
            </w:pPr>
            <w:r>
              <w:rPr>
                <w:rFonts w:ascii="Calibri" w:cs="Calibri" w:eastAsia="Calibri" w:hAnsi="Calibri"/>
                <w:sz w:val="17"/>
                <w:szCs w:val="17"/>
                <w:b w:val="1"/>
                <w:bCs w:val="1"/>
                <w:color w:val="1C4787"/>
                <w:w w:val="99"/>
              </w:rPr>
              <w:t>Announced Plans or</w:t>
            </w:r>
          </w:p>
        </w:tc>
        <w:tc>
          <w:tcPr>
            <w:tcW w:w="0" w:type="dxa"/>
            <w:vAlign w:val="bottom"/>
          </w:tcPr>
          <w:p>
            <w:pPr>
              <w:spacing w:after="0"/>
              <w:rPr>
                <w:sz w:val="1"/>
                <w:szCs w:val="1"/>
                <w:color w:val="auto"/>
              </w:rPr>
            </w:pPr>
          </w:p>
        </w:tc>
      </w:tr>
      <w:tr>
        <w:trPr>
          <w:trHeight w:val="118"/>
        </w:trPr>
        <w:tc>
          <w:tcPr>
            <w:tcW w:w="4260" w:type="dxa"/>
            <w:vAlign w:val="bottom"/>
            <w:shd w:val="clear" w:color="auto" w:fill="E6EEFF"/>
          </w:tcPr>
          <w:p>
            <w:pPr>
              <w:spacing w:after="0"/>
              <w:rPr>
                <w:sz w:val="10"/>
                <w:szCs w:val="10"/>
                <w:color w:val="auto"/>
              </w:rPr>
            </w:pPr>
          </w:p>
        </w:tc>
        <w:tc>
          <w:tcPr>
            <w:tcW w:w="1480" w:type="dxa"/>
            <w:vAlign w:val="bottom"/>
            <w:vMerge w:val="continue"/>
            <w:shd w:val="clear" w:color="auto" w:fill="E6EEFF"/>
          </w:tcPr>
          <w:p>
            <w:pPr>
              <w:spacing w:after="0"/>
              <w:rPr>
                <w:sz w:val="10"/>
                <w:szCs w:val="10"/>
                <w:color w:val="auto"/>
              </w:rPr>
            </w:pPr>
          </w:p>
        </w:tc>
        <w:tc>
          <w:tcPr>
            <w:tcW w:w="120" w:type="dxa"/>
            <w:vAlign w:val="bottom"/>
            <w:shd w:val="clear" w:color="auto" w:fill="E6EEFF"/>
          </w:tcPr>
          <w:p>
            <w:pPr>
              <w:spacing w:after="0"/>
              <w:rPr>
                <w:sz w:val="10"/>
                <w:szCs w:val="10"/>
                <w:color w:val="auto"/>
              </w:rPr>
            </w:pPr>
          </w:p>
        </w:tc>
        <w:tc>
          <w:tcPr>
            <w:tcW w:w="1200" w:type="dxa"/>
            <w:vAlign w:val="bottom"/>
            <w:gridSpan w:val="3"/>
            <w:shd w:val="clear" w:color="auto" w:fill="E6EEFF"/>
          </w:tcPr>
          <w:p>
            <w:pPr>
              <w:jc w:val="center"/>
              <w:ind w:right="120"/>
              <w:spacing w:after="0" w:line="118" w:lineRule="exact"/>
              <w:rPr>
                <w:sz w:val="20"/>
                <w:szCs w:val="20"/>
                <w:color w:val="auto"/>
              </w:rPr>
            </w:pPr>
            <w:r>
              <w:rPr>
                <w:rFonts w:ascii="Calibri" w:cs="Calibri" w:eastAsia="Calibri" w:hAnsi="Calibri"/>
                <w:sz w:val="12"/>
                <w:szCs w:val="12"/>
                <w:b w:val="1"/>
                <w:bCs w:val="1"/>
                <w:color w:val="1C4787"/>
              </w:rPr>
              <w:t>Paid Per Share</w:t>
            </w:r>
          </w:p>
        </w:tc>
        <w:tc>
          <w:tcPr>
            <w:tcW w:w="2000" w:type="dxa"/>
            <w:vAlign w:val="bottom"/>
            <w:vMerge w:val="continue"/>
            <w:shd w:val="clear" w:color="auto" w:fill="E6EEFF"/>
          </w:tcPr>
          <w:p>
            <w:pPr>
              <w:spacing w:after="0"/>
              <w:rPr>
                <w:sz w:val="10"/>
                <w:szCs w:val="10"/>
                <w:color w:val="auto"/>
              </w:rPr>
            </w:pPr>
          </w:p>
        </w:tc>
        <w:tc>
          <w:tcPr>
            <w:tcW w:w="80" w:type="dxa"/>
            <w:vAlign w:val="bottom"/>
            <w:shd w:val="clear" w:color="auto" w:fill="E6EEFF"/>
          </w:tcPr>
          <w:p>
            <w:pPr>
              <w:spacing w:after="0"/>
              <w:rPr>
                <w:sz w:val="10"/>
                <w:szCs w:val="10"/>
                <w:color w:val="auto"/>
              </w:rPr>
            </w:pPr>
          </w:p>
        </w:tc>
        <w:tc>
          <w:tcPr>
            <w:tcW w:w="2080" w:type="dxa"/>
            <w:vAlign w:val="bottom"/>
            <w:vMerge w:val="continue"/>
            <w:shd w:val="clear" w:color="auto" w:fill="E6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260" w:type="dxa"/>
            <w:vAlign w:val="bottom"/>
            <w:shd w:val="clear" w:color="auto" w:fill="E6EEFF"/>
          </w:tcPr>
          <w:p>
            <w:pPr>
              <w:spacing w:after="0"/>
              <w:rPr>
                <w:sz w:val="18"/>
                <w:szCs w:val="18"/>
                <w:color w:val="auto"/>
              </w:rPr>
            </w:pPr>
          </w:p>
        </w:tc>
        <w:tc>
          <w:tcPr>
            <w:tcW w:w="1480" w:type="dxa"/>
            <w:vAlign w:val="bottom"/>
            <w:tcBorders>
              <w:bottom w:val="single" w:sz="8" w:color="auto"/>
            </w:tcBorders>
            <w:shd w:val="clear" w:color="auto" w:fill="E6EEFF"/>
          </w:tcPr>
          <w:p>
            <w:pPr>
              <w:jc w:val="right"/>
              <w:spacing w:after="0" w:line="213" w:lineRule="exact"/>
              <w:rPr>
                <w:sz w:val="20"/>
                <w:szCs w:val="20"/>
                <w:color w:val="auto"/>
              </w:rPr>
            </w:pPr>
            <w:r>
              <w:rPr>
                <w:rFonts w:ascii="Calibri" w:cs="Calibri" w:eastAsia="Calibri" w:hAnsi="Calibri"/>
                <w:sz w:val="17"/>
                <w:szCs w:val="17"/>
                <w:b w:val="1"/>
                <w:bCs w:val="1"/>
                <w:color w:val="1C4787"/>
                <w:w w:val="96"/>
              </w:rPr>
              <w:t xml:space="preserve">Shares Purchased </w:t>
            </w:r>
            <w:r>
              <w:rPr>
                <w:rFonts w:ascii="Calibri" w:cs="Calibri" w:eastAsia="Calibri" w:hAnsi="Calibri"/>
                <w:sz w:val="22"/>
                <w:szCs w:val="22"/>
                <w:b w:val="1"/>
                <w:bCs w:val="1"/>
                <w:color w:val="1C4787"/>
                <w:w w:val="96"/>
                <w:vertAlign w:val="superscript"/>
              </w:rPr>
              <w:t>(1)</w:t>
            </w:r>
          </w:p>
        </w:tc>
        <w:tc>
          <w:tcPr>
            <w:tcW w:w="120" w:type="dxa"/>
            <w:vAlign w:val="bottom"/>
            <w:shd w:val="clear" w:color="auto" w:fill="E6EEFF"/>
          </w:tcPr>
          <w:p>
            <w:pPr>
              <w:spacing w:after="0"/>
              <w:rPr>
                <w:sz w:val="18"/>
                <w:szCs w:val="18"/>
                <w:color w:val="auto"/>
              </w:rPr>
            </w:pPr>
          </w:p>
        </w:tc>
        <w:tc>
          <w:tcPr>
            <w:tcW w:w="280" w:type="dxa"/>
            <w:vAlign w:val="bottom"/>
            <w:tcBorders>
              <w:bottom w:val="single" w:sz="8" w:color="auto"/>
            </w:tcBorders>
            <w:shd w:val="clear" w:color="auto" w:fill="E6EEFF"/>
          </w:tcPr>
          <w:p>
            <w:pPr>
              <w:spacing w:after="0"/>
              <w:rPr>
                <w:sz w:val="18"/>
                <w:szCs w:val="18"/>
                <w:color w:val="auto"/>
              </w:rPr>
            </w:pPr>
          </w:p>
        </w:tc>
        <w:tc>
          <w:tcPr>
            <w:tcW w:w="800" w:type="dxa"/>
            <w:vAlign w:val="bottom"/>
            <w:tcBorders>
              <w:bottom w:val="single" w:sz="8" w:color="auto"/>
            </w:tcBorders>
            <w:shd w:val="clear" w:color="auto" w:fill="E6EEFF"/>
          </w:tcPr>
          <w:p>
            <w:pPr>
              <w:jc w:val="center"/>
              <w:ind w:right="204"/>
              <w:spacing w:after="0" w:line="132" w:lineRule="exact"/>
              <w:rPr>
                <w:sz w:val="20"/>
                <w:szCs w:val="20"/>
                <w:color w:val="auto"/>
              </w:rPr>
            </w:pPr>
            <w:r>
              <w:rPr>
                <w:rFonts w:ascii="Calibri" w:cs="Calibri" w:eastAsia="Calibri" w:hAnsi="Calibri"/>
                <w:sz w:val="11"/>
                <w:szCs w:val="11"/>
                <w:b w:val="1"/>
                <w:bCs w:val="1"/>
                <w:color w:val="1C4787"/>
                <w:w w:val="96"/>
              </w:rPr>
              <w:t>(2)</w:t>
            </w:r>
          </w:p>
        </w:tc>
        <w:tc>
          <w:tcPr>
            <w:tcW w:w="120" w:type="dxa"/>
            <w:vAlign w:val="bottom"/>
            <w:shd w:val="clear" w:color="auto" w:fill="E6EEFF"/>
          </w:tcPr>
          <w:p>
            <w:pPr>
              <w:spacing w:after="0"/>
              <w:rPr>
                <w:sz w:val="18"/>
                <w:szCs w:val="18"/>
                <w:color w:val="auto"/>
              </w:rPr>
            </w:pPr>
          </w:p>
        </w:tc>
        <w:tc>
          <w:tcPr>
            <w:tcW w:w="2000" w:type="dxa"/>
            <w:vAlign w:val="bottom"/>
            <w:tcBorders>
              <w:bottom w:val="single" w:sz="8" w:color="auto"/>
            </w:tcBorders>
            <w:shd w:val="clear" w:color="auto" w:fill="E6EEFF"/>
          </w:tcPr>
          <w:p>
            <w:pPr>
              <w:jc w:val="center"/>
              <w:spacing w:after="0" w:line="205" w:lineRule="exact"/>
              <w:rPr>
                <w:sz w:val="20"/>
                <w:szCs w:val="20"/>
                <w:color w:val="auto"/>
              </w:rPr>
            </w:pPr>
            <w:r>
              <w:rPr>
                <w:rFonts w:ascii="Calibri" w:cs="Calibri" w:eastAsia="Calibri" w:hAnsi="Calibri"/>
                <w:sz w:val="17"/>
                <w:szCs w:val="17"/>
                <w:b w:val="1"/>
                <w:bCs w:val="1"/>
                <w:color w:val="1C4787"/>
                <w:w w:val="97"/>
              </w:rPr>
              <w:t>or Programs</w:t>
            </w:r>
          </w:p>
        </w:tc>
        <w:tc>
          <w:tcPr>
            <w:tcW w:w="80" w:type="dxa"/>
            <w:vAlign w:val="bottom"/>
            <w:shd w:val="clear" w:color="auto" w:fill="E6EEFF"/>
          </w:tcPr>
          <w:p>
            <w:pPr>
              <w:spacing w:after="0"/>
              <w:rPr>
                <w:sz w:val="18"/>
                <w:szCs w:val="18"/>
                <w:color w:val="auto"/>
              </w:rPr>
            </w:pPr>
          </w:p>
        </w:tc>
        <w:tc>
          <w:tcPr>
            <w:tcW w:w="2080" w:type="dxa"/>
            <w:vAlign w:val="bottom"/>
            <w:tcBorders>
              <w:bottom w:val="single" w:sz="8" w:color="auto"/>
            </w:tcBorders>
            <w:shd w:val="clear" w:color="auto" w:fill="E6EEFF"/>
          </w:tcPr>
          <w:p>
            <w:pPr>
              <w:jc w:val="center"/>
              <w:spacing w:after="0" w:line="213" w:lineRule="exact"/>
              <w:rPr>
                <w:sz w:val="20"/>
                <w:szCs w:val="20"/>
                <w:color w:val="auto"/>
              </w:rPr>
            </w:pPr>
            <w:r>
              <w:rPr>
                <w:rFonts w:ascii="Calibri" w:cs="Calibri" w:eastAsia="Calibri" w:hAnsi="Calibri"/>
                <w:sz w:val="17"/>
                <w:szCs w:val="17"/>
                <w:b w:val="1"/>
                <w:bCs w:val="1"/>
                <w:color w:val="1C4787"/>
                <w:w w:val="93"/>
              </w:rPr>
              <w:t xml:space="preserve">Programs </w:t>
            </w:r>
            <w:r>
              <w:rPr>
                <w:rFonts w:ascii="Calibri" w:cs="Calibri" w:eastAsia="Calibri" w:hAnsi="Calibri"/>
                <w:sz w:val="22"/>
                <w:szCs w:val="22"/>
                <w:b w:val="1"/>
                <w:bCs w:val="1"/>
                <w:color w:val="1C4787"/>
                <w:w w:val="93"/>
                <w:vertAlign w:val="superscript"/>
              </w:rPr>
              <w:t>(3)</w:t>
            </w:r>
          </w:p>
        </w:tc>
        <w:tc>
          <w:tcPr>
            <w:tcW w:w="0" w:type="dxa"/>
            <w:vAlign w:val="bottom"/>
          </w:tcPr>
          <w:p>
            <w:pPr>
              <w:spacing w:after="0"/>
              <w:rPr>
                <w:sz w:val="1"/>
                <w:szCs w:val="1"/>
                <w:color w:val="auto"/>
              </w:rPr>
            </w:pPr>
          </w:p>
        </w:tc>
      </w:tr>
      <w:tr>
        <w:trPr>
          <w:trHeight w:val="205"/>
        </w:trPr>
        <w:tc>
          <w:tcPr>
            <w:tcW w:w="4260" w:type="dxa"/>
            <w:vAlign w:val="bottom"/>
          </w:tcPr>
          <w:p>
            <w:pPr>
              <w:ind w:left="20"/>
              <w:spacing w:after="0" w:line="190" w:lineRule="exact"/>
              <w:rPr>
                <w:sz w:val="20"/>
                <w:szCs w:val="20"/>
                <w:color w:val="auto"/>
              </w:rPr>
            </w:pPr>
            <w:r>
              <w:rPr>
                <w:rFonts w:ascii="Calibri" w:cs="Calibri" w:eastAsia="Calibri" w:hAnsi="Calibri"/>
                <w:sz w:val="17"/>
                <w:szCs w:val="17"/>
                <w:color w:val="auto"/>
              </w:rPr>
              <w:t>October 1, 2023 - October 31, 2023</w:t>
            </w:r>
          </w:p>
        </w:tc>
        <w:tc>
          <w:tcPr>
            <w:tcW w:w="1480" w:type="dxa"/>
            <w:vAlign w:val="bottom"/>
          </w:tcPr>
          <w:p>
            <w:pPr>
              <w:jc w:val="right"/>
              <w:spacing w:after="0" w:line="205" w:lineRule="exact"/>
              <w:rPr>
                <w:sz w:val="20"/>
                <w:szCs w:val="20"/>
                <w:color w:val="auto"/>
              </w:rPr>
            </w:pPr>
            <w:r>
              <w:rPr>
                <w:rFonts w:ascii="Calibri" w:cs="Calibri" w:eastAsia="Calibri" w:hAnsi="Calibri"/>
                <w:sz w:val="17"/>
                <w:szCs w:val="17"/>
                <w:color w:val="auto"/>
              </w:rPr>
              <w:t>(98)</w:t>
            </w:r>
          </w:p>
        </w:tc>
        <w:tc>
          <w:tcPr>
            <w:tcW w:w="120" w:type="dxa"/>
            <w:vAlign w:val="bottom"/>
          </w:tcPr>
          <w:p>
            <w:pPr>
              <w:spacing w:after="0"/>
              <w:rPr>
                <w:sz w:val="17"/>
                <w:szCs w:val="17"/>
                <w:color w:val="auto"/>
              </w:rPr>
            </w:pPr>
          </w:p>
        </w:tc>
        <w:tc>
          <w:tcPr>
            <w:tcW w:w="280" w:type="dxa"/>
            <w:vAlign w:val="bottom"/>
          </w:tcPr>
          <w:p>
            <w:pPr>
              <w:jc w:val="right"/>
              <w:ind w:right="103"/>
              <w:spacing w:after="0" w:line="205" w:lineRule="exact"/>
              <w:rPr>
                <w:sz w:val="20"/>
                <w:szCs w:val="20"/>
                <w:color w:val="auto"/>
              </w:rPr>
            </w:pPr>
            <w:r>
              <w:rPr>
                <w:rFonts w:ascii="Calibri" w:cs="Calibri" w:eastAsia="Calibri" w:hAnsi="Calibri"/>
                <w:sz w:val="17"/>
                <w:szCs w:val="17"/>
                <w:color w:val="auto"/>
                <w:w w:val="92"/>
              </w:rPr>
              <w:t>$</w:t>
            </w:r>
          </w:p>
        </w:tc>
        <w:tc>
          <w:tcPr>
            <w:tcW w:w="800" w:type="dxa"/>
            <w:vAlign w:val="bottom"/>
          </w:tcPr>
          <w:p>
            <w:pPr>
              <w:jc w:val="right"/>
              <w:spacing w:after="0" w:line="205" w:lineRule="exact"/>
              <w:rPr>
                <w:sz w:val="20"/>
                <w:szCs w:val="20"/>
                <w:color w:val="auto"/>
              </w:rPr>
            </w:pPr>
            <w:r>
              <w:rPr>
                <w:rFonts w:ascii="Calibri" w:cs="Calibri" w:eastAsia="Calibri" w:hAnsi="Calibri"/>
                <w:sz w:val="17"/>
                <w:szCs w:val="17"/>
                <w:color w:val="auto"/>
              </w:rPr>
              <w:t>14.65</w:t>
            </w:r>
          </w:p>
        </w:tc>
        <w:tc>
          <w:tcPr>
            <w:tcW w:w="120" w:type="dxa"/>
            <w:vAlign w:val="bottom"/>
          </w:tcPr>
          <w:p>
            <w:pPr>
              <w:spacing w:after="0"/>
              <w:rPr>
                <w:sz w:val="17"/>
                <w:szCs w:val="17"/>
                <w:color w:val="auto"/>
              </w:rPr>
            </w:pPr>
          </w:p>
        </w:tc>
        <w:tc>
          <w:tcPr>
            <w:tcW w:w="2000" w:type="dxa"/>
            <w:vAlign w:val="bottom"/>
          </w:tcPr>
          <w:p>
            <w:pPr>
              <w:jc w:val="right"/>
              <w:spacing w:after="0" w:line="205" w:lineRule="exact"/>
              <w:rPr>
                <w:sz w:val="20"/>
                <w:szCs w:val="20"/>
                <w:color w:val="auto"/>
              </w:rPr>
            </w:pPr>
            <w:r>
              <w:rPr>
                <w:rFonts w:ascii="Calibri" w:cs="Calibri" w:eastAsia="Calibri" w:hAnsi="Calibri"/>
                <w:sz w:val="17"/>
                <w:szCs w:val="17"/>
                <w:color w:val="auto"/>
              </w:rPr>
              <w:t>(98)</w:t>
            </w:r>
          </w:p>
        </w:tc>
        <w:tc>
          <w:tcPr>
            <w:tcW w:w="80" w:type="dxa"/>
            <w:vAlign w:val="bottom"/>
          </w:tcPr>
          <w:p>
            <w:pPr>
              <w:spacing w:after="0"/>
              <w:rPr>
                <w:sz w:val="17"/>
                <w:szCs w:val="17"/>
                <w:color w:val="auto"/>
              </w:rPr>
            </w:pPr>
          </w:p>
        </w:tc>
        <w:tc>
          <w:tcPr>
            <w:tcW w:w="2080" w:type="dxa"/>
            <w:vAlign w:val="bottom"/>
          </w:tcPr>
          <w:p>
            <w:pPr>
              <w:jc w:val="right"/>
              <w:spacing w:after="0" w:line="205" w:lineRule="exact"/>
              <w:rPr>
                <w:sz w:val="20"/>
                <w:szCs w:val="20"/>
                <w:color w:val="auto"/>
              </w:rPr>
            </w:pPr>
            <w:r>
              <w:rPr>
                <w:rFonts w:ascii="Calibri" w:cs="Calibri" w:eastAsia="Calibri" w:hAnsi="Calibri"/>
                <w:sz w:val="17"/>
                <w:szCs w:val="17"/>
                <w:color w:val="auto"/>
              </w:rPr>
              <w:t>2,402</w:t>
            </w:r>
          </w:p>
        </w:tc>
        <w:tc>
          <w:tcPr>
            <w:tcW w:w="0" w:type="dxa"/>
            <w:vAlign w:val="bottom"/>
          </w:tcPr>
          <w:p>
            <w:pPr>
              <w:spacing w:after="0"/>
              <w:rPr>
                <w:sz w:val="1"/>
                <w:szCs w:val="1"/>
                <w:color w:val="auto"/>
              </w:rPr>
            </w:pPr>
          </w:p>
        </w:tc>
      </w:tr>
      <w:tr>
        <w:trPr>
          <w:trHeight w:val="226"/>
        </w:trPr>
        <w:tc>
          <w:tcPr>
            <w:tcW w:w="426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November 1, 2023 - November 30, 2023</w:t>
            </w:r>
          </w:p>
        </w:tc>
        <w:tc>
          <w:tcPr>
            <w:tcW w:w="14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(115)</w:t>
            </w:r>
          </w:p>
        </w:tc>
        <w:tc>
          <w:tcPr>
            <w:tcW w:w="400" w:type="dxa"/>
            <w:vAlign w:val="bottom"/>
            <w:gridSpan w:val="2"/>
            <w:shd w:val="clear" w:color="auto" w:fill="E6EEFF"/>
          </w:tcPr>
          <w:p>
            <w:pPr>
              <w:jc w:val="right"/>
              <w:ind w:right="103"/>
              <w:spacing w:after="0"/>
              <w:rPr>
                <w:sz w:val="20"/>
                <w:szCs w:val="20"/>
                <w:color w:val="auto"/>
              </w:rPr>
            </w:pPr>
            <w:r>
              <w:rPr>
                <w:rFonts w:ascii="Calibri" w:cs="Calibri" w:eastAsia="Calibri" w:hAnsi="Calibri"/>
                <w:sz w:val="17"/>
                <w:szCs w:val="17"/>
                <w:color w:val="auto"/>
              </w:rPr>
              <w:t>$</w:t>
            </w:r>
          </w:p>
        </w:tc>
        <w:tc>
          <w:tcPr>
            <w:tcW w:w="8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16.33</w:t>
            </w:r>
          </w:p>
        </w:tc>
        <w:tc>
          <w:tcPr>
            <w:tcW w:w="120" w:type="dxa"/>
            <w:vAlign w:val="bottom"/>
            <w:shd w:val="clear" w:color="auto" w:fill="E6EEFF"/>
          </w:tcPr>
          <w:p>
            <w:pPr>
              <w:spacing w:after="0"/>
              <w:rPr>
                <w:sz w:val="19"/>
                <w:szCs w:val="19"/>
                <w:color w:val="auto"/>
              </w:rPr>
            </w:pPr>
          </w:p>
        </w:tc>
        <w:tc>
          <w:tcPr>
            <w:tcW w:w="2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(115)</w:t>
            </w:r>
          </w:p>
        </w:tc>
        <w:tc>
          <w:tcPr>
            <w:tcW w:w="216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2,287</w:t>
            </w:r>
          </w:p>
        </w:tc>
        <w:tc>
          <w:tcPr>
            <w:tcW w:w="0" w:type="dxa"/>
            <w:vAlign w:val="bottom"/>
          </w:tcPr>
          <w:p>
            <w:pPr>
              <w:spacing w:after="0"/>
              <w:rPr>
                <w:sz w:val="1"/>
                <w:szCs w:val="1"/>
                <w:color w:val="auto"/>
              </w:rPr>
            </w:pPr>
          </w:p>
        </w:tc>
      </w:tr>
      <w:tr>
        <w:trPr>
          <w:trHeight w:val="212"/>
        </w:trPr>
        <w:tc>
          <w:tcPr>
            <w:tcW w:w="4260" w:type="dxa"/>
            <w:vAlign w:val="bottom"/>
            <w:tcBorders>
              <w:bottom w:val="single" w:sz="8" w:color="E6EEFF"/>
            </w:tcBorders>
          </w:tcPr>
          <w:p>
            <w:pPr>
              <w:ind w:left="20"/>
              <w:spacing w:after="0" w:line="205" w:lineRule="exact"/>
              <w:rPr>
                <w:sz w:val="20"/>
                <w:szCs w:val="20"/>
                <w:color w:val="auto"/>
              </w:rPr>
            </w:pPr>
            <w:r>
              <w:rPr>
                <w:rFonts w:ascii="Calibri" w:cs="Calibri" w:eastAsia="Calibri" w:hAnsi="Calibri"/>
                <w:sz w:val="17"/>
                <w:szCs w:val="17"/>
                <w:color w:val="auto"/>
              </w:rPr>
              <w:t>December 1, 2023 - December 31, 2023</w:t>
            </w:r>
          </w:p>
        </w:tc>
        <w:tc>
          <w:tcPr>
            <w:tcW w:w="14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Borders>
              <w:bottom w:val="single" w:sz="8" w:color="E6EEFF"/>
            </w:tcBorders>
          </w:tcPr>
          <w:p>
            <w:pPr>
              <w:spacing w:after="0"/>
              <w:rPr>
                <w:sz w:val="18"/>
                <w:szCs w:val="18"/>
                <w:color w:val="auto"/>
              </w:rPr>
            </w:pPr>
          </w:p>
        </w:tc>
        <w:tc>
          <w:tcPr>
            <w:tcW w:w="280" w:type="dxa"/>
            <w:vAlign w:val="bottom"/>
            <w:tcBorders>
              <w:bottom w:val="single" w:sz="8" w:color="E6EEFF"/>
            </w:tcBorders>
          </w:tcPr>
          <w:p>
            <w:pPr>
              <w:spacing w:after="0"/>
              <w:rPr>
                <w:sz w:val="18"/>
                <w:szCs w:val="18"/>
                <w:color w:val="auto"/>
              </w:rPr>
            </w:pPr>
          </w:p>
        </w:tc>
        <w:tc>
          <w:tcPr>
            <w:tcW w:w="800" w:type="dxa"/>
            <w:vAlign w:val="bottom"/>
            <w:tcBorders>
              <w:bottom w:val="single" w:sz="8" w:color="E6EEFF"/>
            </w:tcBorders>
          </w:tcPr>
          <w:p>
            <w:pPr>
              <w:spacing w:after="0"/>
              <w:rPr>
                <w:sz w:val="18"/>
                <w:szCs w:val="18"/>
                <w:color w:val="auto"/>
              </w:rPr>
            </w:pPr>
          </w:p>
        </w:tc>
        <w:tc>
          <w:tcPr>
            <w:tcW w:w="120" w:type="dxa"/>
            <w:vAlign w:val="bottom"/>
            <w:tcBorders>
              <w:bottom w:val="single" w:sz="8" w:color="E6EEFF"/>
            </w:tcBorders>
          </w:tcPr>
          <w:p>
            <w:pPr>
              <w:spacing w:after="0"/>
              <w:rPr>
                <w:sz w:val="18"/>
                <w:szCs w:val="18"/>
                <w:color w:val="auto"/>
              </w:rPr>
            </w:pPr>
          </w:p>
        </w:tc>
        <w:tc>
          <w:tcPr>
            <w:tcW w:w="20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Borders>
              <w:bottom w:val="single" w:sz="8" w:color="E6EEFF"/>
            </w:tcBorders>
          </w:tcPr>
          <w:p>
            <w:pPr>
              <w:spacing w:after="0"/>
              <w:rPr>
                <w:sz w:val="18"/>
                <w:szCs w:val="18"/>
                <w:color w:val="auto"/>
              </w:rPr>
            </w:pPr>
          </w:p>
        </w:tc>
        <w:tc>
          <w:tcPr>
            <w:tcW w:w="2080" w:type="dxa"/>
            <w:vAlign w:val="bottom"/>
            <w:tcBorders>
              <w:bottom w:val="single" w:sz="8" w:color="E6EEFF"/>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44"/>
        </w:trPr>
        <w:tc>
          <w:tcPr>
            <w:tcW w:w="4260" w:type="dxa"/>
            <w:vAlign w:val="bottom"/>
            <w:tcBorders>
              <w:bottom w:val="single" w:sz="8" w:color="E6EEFF"/>
            </w:tcBorders>
            <w:shd w:val="clear" w:color="auto" w:fill="E6EEFF"/>
          </w:tcPr>
          <w:p>
            <w:pPr>
              <w:ind w:left="20"/>
              <w:spacing w:after="0"/>
              <w:rPr>
                <w:sz w:val="20"/>
                <w:szCs w:val="20"/>
                <w:color w:val="auto"/>
              </w:rPr>
            </w:pPr>
            <w:r>
              <w:rPr>
                <w:rFonts w:ascii="Calibri" w:cs="Calibri" w:eastAsia="Calibri" w:hAnsi="Calibri"/>
                <w:sz w:val="17"/>
                <w:szCs w:val="17"/>
                <w:color w:val="auto"/>
              </w:rPr>
              <w:t>Total</w:t>
            </w:r>
          </w:p>
        </w:tc>
        <w:tc>
          <w:tcPr>
            <w:tcW w:w="148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(213)</w:t>
            </w:r>
          </w:p>
        </w:tc>
        <w:tc>
          <w:tcPr>
            <w:tcW w:w="120" w:type="dxa"/>
            <w:vAlign w:val="bottom"/>
            <w:tcBorders>
              <w:bottom w:val="single" w:sz="8" w:color="E6EEFF"/>
            </w:tcBorders>
            <w:shd w:val="clear" w:color="auto" w:fill="E6EEFF"/>
          </w:tcPr>
          <w:p>
            <w:pPr>
              <w:spacing w:after="0"/>
              <w:rPr>
                <w:sz w:val="20"/>
                <w:szCs w:val="20"/>
                <w:color w:val="auto"/>
              </w:rPr>
            </w:pPr>
          </w:p>
        </w:tc>
        <w:tc>
          <w:tcPr>
            <w:tcW w:w="280" w:type="dxa"/>
            <w:vAlign w:val="bottom"/>
            <w:tcBorders>
              <w:bottom w:val="single" w:sz="8" w:color="E6EEFF"/>
            </w:tcBorders>
            <w:shd w:val="clear" w:color="auto" w:fill="E6EEFF"/>
          </w:tcPr>
          <w:p>
            <w:pPr>
              <w:spacing w:after="0"/>
              <w:rPr>
                <w:sz w:val="20"/>
                <w:szCs w:val="20"/>
                <w:color w:val="auto"/>
              </w:rPr>
            </w:pPr>
          </w:p>
        </w:tc>
        <w:tc>
          <w:tcPr>
            <w:tcW w:w="800" w:type="dxa"/>
            <w:vAlign w:val="bottom"/>
            <w:tcBorders>
              <w:bottom w:val="single" w:sz="8" w:color="E6EEFF"/>
            </w:tcBorders>
            <w:shd w:val="clear" w:color="auto" w:fill="E6EEFF"/>
          </w:tcPr>
          <w:p>
            <w:pPr>
              <w:spacing w:after="0"/>
              <w:rPr>
                <w:sz w:val="20"/>
                <w:szCs w:val="20"/>
                <w:color w:val="auto"/>
              </w:rPr>
            </w:pPr>
          </w:p>
        </w:tc>
        <w:tc>
          <w:tcPr>
            <w:tcW w:w="120" w:type="dxa"/>
            <w:vAlign w:val="bottom"/>
            <w:tcBorders>
              <w:bottom w:val="single" w:sz="8" w:color="E6EEFF"/>
            </w:tcBorders>
            <w:shd w:val="clear" w:color="auto" w:fill="E6EEFF"/>
          </w:tcPr>
          <w:p>
            <w:pPr>
              <w:spacing w:after="0"/>
              <w:rPr>
                <w:sz w:val="20"/>
                <w:szCs w:val="20"/>
                <w:color w:val="auto"/>
              </w:rPr>
            </w:pPr>
          </w:p>
        </w:tc>
        <w:tc>
          <w:tcPr>
            <w:tcW w:w="200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(213)</w:t>
            </w:r>
          </w:p>
        </w:tc>
        <w:tc>
          <w:tcPr>
            <w:tcW w:w="2160" w:type="dxa"/>
            <w:vAlign w:val="bottom"/>
            <w:tcBorders>
              <w:bottom w:val="single" w:sz="8" w:color="E6EEFF"/>
            </w:tcBorders>
            <w:gridSpan w:val="2"/>
            <w:shd w:val="clear" w:color="auto" w:fill="E6EEFF"/>
          </w:tcPr>
          <w:p>
            <w:pPr>
              <w:jc w:val="right"/>
              <w:spacing w:after="0"/>
              <w:rPr>
                <w:sz w:val="20"/>
                <w:szCs w:val="20"/>
                <w:color w:val="auto"/>
              </w:rPr>
            </w:pPr>
            <w:r>
              <w:rPr>
                <w:rFonts w:ascii="Calibri" w:cs="Calibri" w:eastAsia="Calibri" w:hAnsi="Calibri"/>
                <w:sz w:val="17"/>
                <w:szCs w:val="17"/>
                <w:color w:val="auto"/>
              </w:rPr>
              <w:t>2,287</w:t>
            </w:r>
          </w:p>
        </w:tc>
        <w:tc>
          <w:tcPr>
            <w:tcW w:w="0" w:type="dxa"/>
            <w:vAlign w:val="bottom"/>
          </w:tcPr>
          <w:p>
            <w:pPr>
              <w:spacing w:after="0"/>
              <w:rPr>
                <w:sz w:val="1"/>
                <w:szCs w:val="1"/>
                <w:color w:val="auto"/>
              </w:rPr>
            </w:pPr>
          </w:p>
        </w:tc>
      </w:tr>
      <w:tr>
        <w:trPr>
          <w:trHeight w:val="20"/>
        </w:trPr>
        <w:tc>
          <w:tcPr>
            <w:tcW w:w="4260" w:type="dxa"/>
            <w:vAlign w:val="bottom"/>
            <w:tcBorders>
              <w:top w:val="single" w:sz="8" w:color="E6EEFF"/>
            </w:tcBorders>
          </w:tcPr>
          <w:p>
            <w:pPr>
              <w:spacing w:after="0" w:line="20" w:lineRule="exact"/>
              <w:rPr>
                <w:sz w:val="1"/>
                <w:szCs w:val="1"/>
                <w:color w:val="auto"/>
              </w:rPr>
            </w:pPr>
          </w:p>
        </w:tc>
        <w:tc>
          <w:tcPr>
            <w:tcW w:w="148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280" w:type="dxa"/>
            <w:vAlign w:val="bottom"/>
            <w:tcBorders>
              <w:top w:val="single" w:sz="8" w:color="E6EEFF"/>
            </w:tcBorders>
          </w:tcPr>
          <w:p>
            <w:pPr>
              <w:spacing w:after="0" w:line="20" w:lineRule="exact"/>
              <w:rPr>
                <w:sz w:val="1"/>
                <w:szCs w:val="1"/>
                <w:color w:val="auto"/>
              </w:rPr>
            </w:pPr>
          </w:p>
        </w:tc>
        <w:tc>
          <w:tcPr>
            <w:tcW w:w="80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2000" w:type="dxa"/>
            <w:vAlign w:val="bottom"/>
            <w:tcBorders>
              <w:top w:val="single" w:sz="8" w:color="E6EEFF"/>
              <w:bottom w:val="single" w:sz="8" w:color="auto"/>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2080" w:type="dxa"/>
            <w:vAlign w:val="bottom"/>
            <w:tcBorders>
              <w:top w:val="single" w:sz="8" w:color="E6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620" w:hanging="307"/>
        <w:spacing w:after="0" w:line="237" w:lineRule="auto"/>
        <w:tabs>
          <w:tab w:leader="none" w:pos="613" w:val="left"/>
        </w:tabs>
        <w:numPr>
          <w:ilvl w:val="0"/>
          <w:numId w:val="14"/>
        </w:numPr>
        <w:rPr>
          <w:rFonts w:ascii="Calibri" w:cs="Calibri" w:eastAsia="Calibri" w:hAnsi="Calibri"/>
          <w:sz w:val="17"/>
          <w:szCs w:val="17"/>
          <w:color w:val="auto"/>
        </w:rPr>
      </w:pPr>
      <w:r>
        <w:rPr>
          <w:rFonts w:ascii="Calibri" w:cs="Calibri" w:eastAsia="Calibri" w:hAnsi="Calibri"/>
          <w:sz w:val="17"/>
          <w:szCs w:val="17"/>
          <w:color w:val="auto"/>
        </w:rPr>
        <w:t>All shares were repurchased pursuant to our stock repurchase program (the "Common Stock Repurchase Program") (see Note 10 to the consolidated fnancial statements).</w:t>
      </w:r>
    </w:p>
    <w:p>
      <w:pPr>
        <w:spacing w:after="0" w:line="51" w:lineRule="exact"/>
        <w:rPr>
          <w:rFonts w:ascii="Calibri" w:cs="Calibri" w:eastAsia="Calibri" w:hAnsi="Calibri"/>
          <w:sz w:val="17"/>
          <w:szCs w:val="17"/>
          <w:color w:val="auto"/>
        </w:rPr>
      </w:pPr>
    </w:p>
    <w:p>
      <w:pPr>
        <w:ind w:left="620" w:hanging="307"/>
        <w:spacing w:after="0"/>
        <w:tabs>
          <w:tab w:leader="none" w:pos="620" w:val="left"/>
        </w:tabs>
        <w:numPr>
          <w:ilvl w:val="0"/>
          <w:numId w:val="14"/>
        </w:numPr>
        <w:rPr>
          <w:rFonts w:ascii="Calibri" w:cs="Calibri" w:eastAsia="Calibri" w:hAnsi="Calibri"/>
          <w:sz w:val="17"/>
          <w:szCs w:val="17"/>
          <w:color w:val="auto"/>
        </w:rPr>
      </w:pPr>
      <w:r>
        <w:rPr>
          <w:rFonts w:ascii="Calibri" w:cs="Calibri" w:eastAsia="Calibri" w:hAnsi="Calibri"/>
          <w:sz w:val="17"/>
          <w:szCs w:val="17"/>
          <w:color w:val="auto"/>
        </w:rPr>
        <w:t>Weighted average share price, including fees and commissions.</w:t>
      </w:r>
    </w:p>
    <w:p>
      <w:pPr>
        <w:spacing w:after="0" w:line="52" w:lineRule="exact"/>
        <w:rPr>
          <w:rFonts w:ascii="Calibri" w:cs="Calibri" w:eastAsia="Calibri" w:hAnsi="Calibri"/>
          <w:sz w:val="17"/>
          <w:szCs w:val="17"/>
          <w:color w:val="auto"/>
        </w:rPr>
      </w:pPr>
    </w:p>
    <w:p>
      <w:pPr>
        <w:jc w:val="both"/>
        <w:ind w:left="620" w:hanging="307"/>
        <w:spacing w:after="0" w:line="253" w:lineRule="auto"/>
        <w:tabs>
          <w:tab w:leader="none" w:pos="613" w:val="left"/>
        </w:tabs>
        <w:numPr>
          <w:ilvl w:val="0"/>
          <w:numId w:val="14"/>
        </w:numPr>
        <w:rPr>
          <w:rFonts w:ascii="Calibri" w:cs="Calibri" w:eastAsia="Calibri" w:hAnsi="Calibri"/>
          <w:sz w:val="16"/>
          <w:szCs w:val="16"/>
          <w:color w:val="auto"/>
        </w:rPr>
      </w:pPr>
      <w:r>
        <w:rPr>
          <w:rFonts w:ascii="Calibri" w:cs="Calibri" w:eastAsia="Calibri" w:hAnsi="Calibri"/>
          <w:sz w:val="16"/>
          <w:szCs w:val="16"/>
          <w:color w:val="auto"/>
        </w:rPr>
        <w:t>The Board authorized the Common Stock Repurchase Program, which was announced on December 17, 2012, to initally authorize the Company to repurchase up to $100 million of its outstanding shares of common stock. The Board subsequently amended the repurchase authorizaton from (a) $100 million shares to 50,000 shares (such number not refectng the Company's one-for-eight reverse stock split of its common stock or the Reverse Stock Split),</w:t>
      </w:r>
    </w:p>
    <w:p>
      <w:pPr>
        <w:spacing w:after="0" w:line="1" w:lineRule="exact"/>
        <w:rPr>
          <w:rFonts w:ascii="Calibri" w:cs="Calibri" w:eastAsia="Calibri" w:hAnsi="Calibri"/>
          <w:sz w:val="16"/>
          <w:szCs w:val="16"/>
          <w:color w:val="auto"/>
        </w:rPr>
      </w:pPr>
    </w:p>
    <w:p>
      <w:pPr>
        <w:jc w:val="both"/>
        <w:ind w:left="620"/>
        <w:spacing w:after="0" w:line="238" w:lineRule="auto"/>
        <w:rPr>
          <w:rFonts w:ascii="Calibri" w:cs="Calibri" w:eastAsia="Calibri" w:hAnsi="Calibri"/>
          <w:sz w:val="16"/>
          <w:szCs w:val="16"/>
          <w:color w:val="auto"/>
        </w:rPr>
      </w:pPr>
      <w:r>
        <w:rPr>
          <w:rFonts w:ascii="Calibri" w:cs="Calibri" w:eastAsia="Calibri" w:hAnsi="Calibri"/>
          <w:sz w:val="17"/>
          <w:szCs w:val="17"/>
          <w:color w:val="auto"/>
        </w:rPr>
        <w:t>(b) to 9,000 shares efectve in connecton with the Company's one-for-eight reverse stock split of its common stock, (c) back up to 9,000 shares (1,800 as adjusted for the Reverse Stock Split) and (d) most recently, up to 2,500 (on a post-Reverse Stock Split basis) efectve October 30, 2023. At December 31, 2023 there were 2,287 authorized shares remaining under the current Common Stock Repurchase Program.</w:t>
      </w:r>
    </w:p>
    <w:p>
      <w:pPr>
        <w:spacing w:after="0" w:line="17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Dividend Policy</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intend to contnue to make regular cash distributons to holders of shares of common stock. Future dividends will be at the discreton of the Board and will depend on our earnings and fnancial conditon, maintenance of our REIT qualifcaton, restrictons on making distributons under MGCL and such other factors as our Board deems relevant. Dividends cannot be paid on our common stock unless we have paid full cumulatve dividends on all classes of our preferred stock. For the year ended December 31, 2023, we paid full cumulatve dividends on our preferred stock.</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For historical informaton on the frequency and amount of cash dividends paid to the holders of shares of our preferred stock and common stock see Note 10 to the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2" w:name="page43"/>
    <w:bookmarkEnd w:id="42"/>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Market for Registrant’s Common Equity, Related Stockholder Maters</w:t>
      </w:r>
    </w:p>
    <w:p>
      <w:pPr>
        <w:jc w:val="center"/>
        <w:spacing w:after="0"/>
        <w:rPr>
          <w:sz w:val="20"/>
          <w:szCs w:val="20"/>
          <w:color w:val="auto"/>
        </w:rPr>
      </w:pPr>
      <w:r>
        <w:rPr>
          <w:rFonts w:ascii="Calibri" w:cs="Calibri" w:eastAsia="Calibri" w:hAnsi="Calibri"/>
          <w:sz w:val="19"/>
          <w:szCs w:val="19"/>
          <w:b w:val="1"/>
          <w:bCs w:val="1"/>
          <w:color w:val="1C4787"/>
        </w:rPr>
        <w:t>and Issuer Purchases of Equity Securites (contnued)</w:t>
      </w:r>
    </w:p>
    <w:p>
      <w:pPr>
        <w:jc w:val="right"/>
        <w:spacing w:after="0" w:line="233" w:lineRule="auto"/>
        <w:rPr>
          <w:sz w:val="20"/>
          <w:szCs w:val="20"/>
          <w:color w:val="auto"/>
        </w:rPr>
      </w:pPr>
      <w:r>
        <w:rPr>
          <w:rFonts w:ascii="Calibri" w:cs="Calibri" w:eastAsia="Calibri" w:hAnsi="Calibri"/>
          <w:sz w:val="17"/>
          <w:szCs w:val="17"/>
          <w:color w:val="1C4787"/>
        </w:rPr>
        <w:t>41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REIT taxable income and dividend requirements are determined on an annual basis. Total dividend payments to common stockholders were $216,224 and dividend payments to preferred stockholders were $11,982 for the year ended December 31, 2023. Our estmated REIT taxable income available to pay dividends was $124,717 for the year ended December 31, 2023. Dividends in excess of REIT taxable income for the year will generally not be taxable to common stockholders. The porton of the dividends on our common stock which represented non-taxable return of capital was approximately 47.5% in 2023, 100.0% in 2022 and 100.0%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1377315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653415</wp:posOffset>
            </wp:positionV>
            <wp:extent cx="458470" cy="5073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3" w:name="page44"/>
    <w:bookmarkEnd w:id="43"/>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Market for Registrant’s Common Equity, Related Stockholder Maters</w:t>
      </w:r>
    </w:p>
    <w:p>
      <w:pPr>
        <w:jc w:val="center"/>
        <w:spacing w:after="0"/>
        <w:rPr>
          <w:sz w:val="20"/>
          <w:szCs w:val="20"/>
          <w:color w:val="auto"/>
        </w:rPr>
      </w:pPr>
      <w:r>
        <w:rPr>
          <w:rFonts w:ascii="Calibri" w:cs="Calibri" w:eastAsia="Calibri" w:hAnsi="Calibri"/>
          <w:sz w:val="19"/>
          <w:szCs w:val="19"/>
          <w:b w:val="1"/>
          <w:bCs w:val="1"/>
          <w:color w:val="1C4787"/>
        </w:rPr>
        <w:t>and Issuer Purchases of Equity Securites (contnued)</w:t>
      </w:r>
    </w:p>
    <w:p>
      <w:pPr>
        <w:jc w:val="right"/>
        <w:spacing w:after="0" w:line="233" w:lineRule="auto"/>
        <w:rPr>
          <w:sz w:val="20"/>
          <w:szCs w:val="20"/>
          <w:color w:val="auto"/>
        </w:rPr>
      </w:pPr>
      <w:r>
        <w:rPr>
          <w:rFonts w:ascii="Calibri" w:cs="Calibri" w:eastAsia="Calibri" w:hAnsi="Calibri"/>
          <w:sz w:val="17"/>
          <w:szCs w:val="17"/>
          <w:color w:val="1C4787"/>
        </w:rPr>
        <w:t>42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Performance Graph</w:t>
      </w:r>
    </w:p>
    <w:p>
      <w:pPr>
        <w:spacing w:after="0" w:line="105" w:lineRule="exact"/>
        <w:rPr>
          <w:sz w:val="20"/>
          <w:szCs w:val="20"/>
          <w:color w:val="auto"/>
        </w:rPr>
      </w:pPr>
    </w:p>
    <w:p>
      <w:pPr>
        <w:jc w:val="both"/>
        <w:ind w:firstLine="619"/>
        <w:spacing w:after="0" w:line="265" w:lineRule="auto"/>
        <w:rPr>
          <w:sz w:val="20"/>
          <w:szCs w:val="20"/>
          <w:color w:val="auto"/>
        </w:rPr>
      </w:pPr>
      <w:r>
        <w:rPr>
          <w:rFonts w:ascii="Calibri" w:cs="Calibri" w:eastAsia="Calibri" w:hAnsi="Calibri"/>
          <w:sz w:val="16"/>
          <w:szCs w:val="16"/>
          <w:color w:val="auto"/>
        </w:rPr>
        <w:t>The following graph compares the stockholder’s cumulatve total return, assuming $100 invested at December 31, 2018, with all reinvestment of dividends, as if such amounts had been invested in: (i) our common stock; (ii) the stocks included in the S&amp;P 500 and (iii) the stocks included in the NAREIT Mortgage REIT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116205</wp:posOffset>
            </wp:positionV>
            <wp:extent cx="4715510" cy="3340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15510" cy="3340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260" w:type="dxa"/>
            <w:vAlign w:val="bottom"/>
            <w:shd w:val="clear" w:color="auto" w:fill="E6ECFF"/>
          </w:tcPr>
          <w:p>
            <w:pPr>
              <w:spacing w:after="0"/>
              <w:rPr>
                <w:sz w:val="19"/>
                <w:szCs w:val="19"/>
                <w:color w:val="auto"/>
              </w:rPr>
            </w:pPr>
          </w:p>
        </w:tc>
        <w:tc>
          <w:tcPr>
            <w:tcW w:w="120" w:type="dxa"/>
            <w:vAlign w:val="bottom"/>
            <w:tcBorders>
              <w:bottom w:val="single" w:sz="8" w:color="auto"/>
            </w:tcBorders>
            <w:shd w:val="clear" w:color="auto" w:fill="E6ECFF"/>
          </w:tcPr>
          <w:p>
            <w:pPr>
              <w:spacing w:after="0"/>
              <w:rPr>
                <w:sz w:val="19"/>
                <w:szCs w:val="19"/>
                <w:color w:val="auto"/>
              </w:rPr>
            </w:pPr>
          </w:p>
        </w:tc>
        <w:tc>
          <w:tcPr>
            <w:tcW w:w="160" w:type="dxa"/>
            <w:vAlign w:val="bottom"/>
            <w:tcBorders>
              <w:bottom w:val="single" w:sz="8" w:color="auto"/>
            </w:tcBorders>
            <w:shd w:val="clear" w:color="auto" w:fill="E6ECFF"/>
          </w:tcPr>
          <w:p>
            <w:pPr>
              <w:spacing w:after="0"/>
              <w:rPr>
                <w:sz w:val="19"/>
                <w:szCs w:val="19"/>
                <w:color w:val="auto"/>
              </w:rPr>
            </w:pPr>
          </w:p>
        </w:tc>
        <w:tc>
          <w:tcPr>
            <w:tcW w:w="900" w:type="dxa"/>
            <w:vAlign w:val="bottom"/>
            <w:tcBorders>
              <w:bottom w:val="single" w:sz="8" w:color="auto"/>
            </w:tcBorders>
            <w:shd w:val="clear" w:color="auto" w:fill="E6ECFF"/>
          </w:tcPr>
          <w:p>
            <w:pPr>
              <w:spacing w:after="0"/>
              <w:rPr>
                <w:sz w:val="19"/>
                <w:szCs w:val="19"/>
                <w:color w:val="auto"/>
              </w:rPr>
            </w:pPr>
          </w:p>
        </w:tc>
        <w:tc>
          <w:tcPr>
            <w:tcW w:w="100" w:type="dxa"/>
            <w:vAlign w:val="bottom"/>
            <w:tcBorders>
              <w:bottom w:val="single" w:sz="8" w:color="auto"/>
            </w:tcBorders>
            <w:shd w:val="clear" w:color="auto" w:fill="E6ECFF"/>
          </w:tcPr>
          <w:p>
            <w:pPr>
              <w:spacing w:after="0"/>
              <w:rPr>
                <w:sz w:val="19"/>
                <w:szCs w:val="19"/>
                <w:color w:val="auto"/>
              </w:rPr>
            </w:pPr>
          </w:p>
        </w:tc>
        <w:tc>
          <w:tcPr>
            <w:tcW w:w="280" w:type="dxa"/>
            <w:vAlign w:val="bottom"/>
            <w:tcBorders>
              <w:bottom w:val="single" w:sz="8" w:color="auto"/>
            </w:tcBorders>
            <w:shd w:val="clear" w:color="auto" w:fill="E6ECFF"/>
          </w:tcPr>
          <w:p>
            <w:pPr>
              <w:spacing w:after="0"/>
              <w:rPr>
                <w:sz w:val="19"/>
                <w:szCs w:val="19"/>
                <w:color w:val="auto"/>
              </w:rPr>
            </w:pPr>
          </w:p>
        </w:tc>
        <w:tc>
          <w:tcPr>
            <w:tcW w:w="780" w:type="dxa"/>
            <w:vAlign w:val="bottom"/>
            <w:tcBorders>
              <w:bottom w:val="single" w:sz="8" w:color="auto"/>
            </w:tcBorders>
            <w:shd w:val="clear" w:color="auto" w:fill="E6ECFF"/>
          </w:tcPr>
          <w:p>
            <w:pPr>
              <w:spacing w:after="0"/>
              <w:rPr>
                <w:sz w:val="19"/>
                <w:szCs w:val="19"/>
                <w:color w:val="auto"/>
              </w:rPr>
            </w:pPr>
          </w:p>
        </w:tc>
        <w:tc>
          <w:tcPr>
            <w:tcW w:w="120" w:type="dxa"/>
            <w:vAlign w:val="bottom"/>
            <w:tcBorders>
              <w:bottom w:val="single" w:sz="8" w:color="auto"/>
            </w:tcBorders>
            <w:shd w:val="clear" w:color="auto" w:fill="E6ECFF"/>
          </w:tcPr>
          <w:p>
            <w:pPr>
              <w:spacing w:after="0"/>
              <w:rPr>
                <w:sz w:val="19"/>
                <w:szCs w:val="19"/>
                <w:color w:val="auto"/>
              </w:rPr>
            </w:pPr>
          </w:p>
        </w:tc>
        <w:tc>
          <w:tcPr>
            <w:tcW w:w="140" w:type="dxa"/>
            <w:vAlign w:val="bottom"/>
            <w:tcBorders>
              <w:bottom w:val="single" w:sz="8" w:color="auto"/>
            </w:tcBorders>
            <w:shd w:val="clear" w:color="auto" w:fill="E6ECFF"/>
          </w:tcPr>
          <w:p>
            <w:pPr>
              <w:spacing w:after="0"/>
              <w:rPr>
                <w:sz w:val="19"/>
                <w:szCs w:val="19"/>
                <w:color w:val="auto"/>
              </w:rPr>
            </w:pPr>
          </w:p>
        </w:tc>
        <w:tc>
          <w:tcPr>
            <w:tcW w:w="2160" w:type="dxa"/>
            <w:vAlign w:val="bottom"/>
            <w:tcBorders>
              <w:bottom w:val="single" w:sz="8" w:color="auto"/>
            </w:tcBorders>
            <w:gridSpan w:val="5"/>
            <w:shd w:val="clear" w:color="auto" w:fill="E6ECFF"/>
          </w:tcPr>
          <w:p>
            <w:pPr>
              <w:ind w:left="420"/>
              <w:spacing w:after="0"/>
              <w:rPr>
                <w:sz w:val="20"/>
                <w:szCs w:val="20"/>
                <w:color w:val="auto"/>
              </w:rPr>
            </w:pPr>
            <w:r>
              <w:rPr>
                <w:rFonts w:ascii="Calibri" w:cs="Calibri" w:eastAsia="Calibri" w:hAnsi="Calibri"/>
                <w:sz w:val="17"/>
                <w:szCs w:val="17"/>
                <w:b w:val="1"/>
                <w:bCs w:val="1"/>
                <w:color w:val="1C4787"/>
              </w:rPr>
              <w:t>Period Ending</w:t>
            </w:r>
          </w:p>
        </w:tc>
        <w:tc>
          <w:tcPr>
            <w:tcW w:w="160" w:type="dxa"/>
            <w:vAlign w:val="bottom"/>
            <w:tcBorders>
              <w:bottom w:val="single" w:sz="8" w:color="auto"/>
            </w:tcBorders>
            <w:shd w:val="clear" w:color="auto" w:fill="E6ECFF"/>
          </w:tcPr>
          <w:p>
            <w:pPr>
              <w:spacing w:after="0"/>
              <w:rPr>
                <w:sz w:val="19"/>
                <w:szCs w:val="19"/>
                <w:color w:val="auto"/>
              </w:rPr>
            </w:pPr>
          </w:p>
        </w:tc>
        <w:tc>
          <w:tcPr>
            <w:tcW w:w="900" w:type="dxa"/>
            <w:vAlign w:val="bottom"/>
            <w:tcBorders>
              <w:bottom w:val="single" w:sz="8" w:color="auto"/>
            </w:tcBorders>
            <w:shd w:val="clear" w:color="auto" w:fill="E6ECFF"/>
          </w:tcPr>
          <w:p>
            <w:pPr>
              <w:spacing w:after="0"/>
              <w:rPr>
                <w:sz w:val="19"/>
                <w:szCs w:val="19"/>
                <w:color w:val="auto"/>
              </w:rPr>
            </w:pPr>
          </w:p>
        </w:tc>
        <w:tc>
          <w:tcPr>
            <w:tcW w:w="100" w:type="dxa"/>
            <w:vAlign w:val="bottom"/>
            <w:tcBorders>
              <w:bottom w:val="single" w:sz="8" w:color="auto"/>
            </w:tcBorders>
            <w:shd w:val="clear" w:color="auto" w:fill="E6ECFF"/>
          </w:tcPr>
          <w:p>
            <w:pPr>
              <w:spacing w:after="0"/>
              <w:rPr>
                <w:sz w:val="19"/>
                <w:szCs w:val="19"/>
                <w:color w:val="auto"/>
              </w:rPr>
            </w:pPr>
          </w:p>
        </w:tc>
        <w:tc>
          <w:tcPr>
            <w:tcW w:w="160" w:type="dxa"/>
            <w:vAlign w:val="bottom"/>
            <w:tcBorders>
              <w:bottom w:val="single" w:sz="8" w:color="auto"/>
            </w:tcBorders>
            <w:shd w:val="clear" w:color="auto" w:fill="E6ECFF"/>
          </w:tcPr>
          <w:p>
            <w:pPr>
              <w:spacing w:after="0"/>
              <w:rPr>
                <w:sz w:val="19"/>
                <w:szCs w:val="19"/>
                <w:color w:val="auto"/>
              </w:rPr>
            </w:pPr>
          </w:p>
        </w:tc>
        <w:tc>
          <w:tcPr>
            <w:tcW w:w="900" w:type="dxa"/>
            <w:vAlign w:val="bottom"/>
            <w:tcBorders>
              <w:bottom w:val="single" w:sz="8" w:color="auto"/>
            </w:tcBorders>
            <w:shd w:val="clear" w:color="auto" w:fill="E6ECFF"/>
          </w:tcPr>
          <w:p>
            <w:pPr>
              <w:spacing w:after="0"/>
              <w:rPr>
                <w:sz w:val="19"/>
                <w:szCs w:val="19"/>
                <w:color w:val="auto"/>
              </w:rPr>
            </w:pPr>
          </w:p>
        </w:tc>
      </w:tr>
      <w:tr>
        <w:trPr>
          <w:trHeight w:val="177"/>
        </w:trPr>
        <w:tc>
          <w:tcPr>
            <w:tcW w:w="4260" w:type="dxa"/>
            <w:vAlign w:val="bottom"/>
          </w:tcPr>
          <w:p>
            <w:pPr>
              <w:ind w:left="1960"/>
              <w:spacing w:after="0" w:line="173" w:lineRule="exact"/>
              <w:rPr>
                <w:sz w:val="20"/>
                <w:szCs w:val="20"/>
                <w:color w:val="auto"/>
              </w:rPr>
            </w:pPr>
            <w:r>
              <w:rPr>
                <w:rFonts w:ascii="Calibri" w:cs="Calibri" w:eastAsia="Calibri" w:hAnsi="Calibri"/>
                <w:sz w:val="15"/>
                <w:szCs w:val="15"/>
                <w:b w:val="1"/>
                <w:bCs w:val="1"/>
                <w:color w:val="1C4787"/>
              </w:rPr>
              <w:t>Index</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163"/>
              <w:spacing w:after="0" w:line="177" w:lineRule="exact"/>
              <w:rPr>
                <w:sz w:val="20"/>
                <w:szCs w:val="20"/>
                <w:color w:val="auto"/>
              </w:rPr>
            </w:pPr>
            <w:r>
              <w:rPr>
                <w:rFonts w:ascii="Calibri" w:cs="Calibri" w:eastAsia="Calibri" w:hAnsi="Calibri"/>
                <w:sz w:val="15"/>
                <w:szCs w:val="15"/>
                <w:b w:val="1"/>
                <w:bCs w:val="1"/>
                <w:color w:val="1C4787"/>
              </w:rPr>
              <w:t>12/31/18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1C4787"/>
              </w:rPr>
              <w:t>12/31/19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21"/>
              <w:spacing w:after="0" w:line="177" w:lineRule="exact"/>
              <w:rPr>
                <w:sz w:val="20"/>
                <w:szCs w:val="20"/>
                <w:color w:val="auto"/>
              </w:rPr>
            </w:pPr>
            <w:r>
              <w:rPr>
                <w:rFonts w:ascii="Calibri" w:cs="Calibri" w:eastAsia="Calibri" w:hAnsi="Calibri"/>
                <w:sz w:val="15"/>
                <w:szCs w:val="15"/>
                <w:b w:val="1"/>
                <w:bCs w:val="1"/>
                <w:color w:val="1C4787"/>
              </w:rPr>
              <w:t>12/31/20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143"/>
              <w:spacing w:after="0" w:line="177" w:lineRule="exact"/>
              <w:rPr>
                <w:sz w:val="20"/>
                <w:szCs w:val="20"/>
                <w:color w:val="auto"/>
              </w:rPr>
            </w:pPr>
            <w:r>
              <w:rPr>
                <w:rFonts w:ascii="Calibri" w:cs="Calibri" w:eastAsia="Calibri" w:hAnsi="Calibri"/>
                <w:sz w:val="15"/>
                <w:szCs w:val="15"/>
                <w:b w:val="1"/>
                <w:bCs w:val="1"/>
                <w:color w:val="1C4787"/>
              </w:rPr>
              <w:t>12/31/21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163"/>
              <w:spacing w:after="0" w:line="177" w:lineRule="exact"/>
              <w:rPr>
                <w:sz w:val="20"/>
                <w:szCs w:val="20"/>
                <w:color w:val="auto"/>
              </w:rPr>
            </w:pPr>
            <w:r>
              <w:rPr>
                <w:rFonts w:ascii="Calibri" w:cs="Calibri" w:eastAsia="Calibri" w:hAnsi="Calibri"/>
                <w:sz w:val="15"/>
                <w:szCs w:val="15"/>
                <w:b w:val="1"/>
                <w:bCs w:val="1"/>
                <w:color w:val="1C4787"/>
              </w:rPr>
              <w:t>12/31/22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143"/>
              <w:spacing w:after="0" w:line="177" w:lineRule="exact"/>
              <w:rPr>
                <w:sz w:val="20"/>
                <w:szCs w:val="20"/>
                <w:color w:val="auto"/>
              </w:rPr>
            </w:pPr>
            <w:r>
              <w:rPr>
                <w:rFonts w:ascii="Calibri" w:cs="Calibri" w:eastAsia="Calibri" w:hAnsi="Calibri"/>
                <w:sz w:val="15"/>
                <w:szCs w:val="15"/>
                <w:b w:val="1"/>
                <w:bCs w:val="1"/>
                <w:color w:val="1C4787"/>
              </w:rPr>
              <w:t>12/31/23</w:t>
            </w:r>
          </w:p>
        </w:tc>
      </w:tr>
      <w:tr>
        <w:trPr>
          <w:trHeight w:val="22"/>
        </w:trPr>
        <w:tc>
          <w:tcPr>
            <w:tcW w:w="4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C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C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C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C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C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C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9"/>
        </w:trPr>
        <w:tc>
          <w:tcPr>
            <w:tcW w:w="4260" w:type="dxa"/>
            <w:vAlign w:val="bottom"/>
            <w:tcBorders>
              <w:bottom w:val="single" w:sz="8" w:color="E6ECFF"/>
            </w:tcBorders>
            <w:shd w:val="clear" w:color="auto" w:fill="E6ECFF"/>
          </w:tcPr>
          <w:p>
            <w:pPr>
              <w:ind w:left="20"/>
              <w:spacing w:after="0" w:line="177" w:lineRule="exact"/>
              <w:rPr>
                <w:sz w:val="20"/>
                <w:szCs w:val="20"/>
                <w:color w:val="auto"/>
              </w:rPr>
            </w:pPr>
            <w:r>
              <w:rPr>
                <w:rFonts w:ascii="Calibri" w:cs="Calibri" w:eastAsia="Calibri" w:hAnsi="Calibri"/>
                <w:sz w:val="15"/>
                <w:szCs w:val="15"/>
                <w:color w:val="auto"/>
              </w:rPr>
              <w:t>ARMOUR Residental REIT</w:t>
            </w:r>
          </w:p>
        </w:tc>
        <w:tc>
          <w:tcPr>
            <w:tcW w:w="120" w:type="dxa"/>
            <w:vAlign w:val="bottom"/>
            <w:tcBorders>
              <w:bottom w:val="single" w:sz="8" w:color="E6ECFF"/>
            </w:tcBorders>
            <w:shd w:val="clear" w:color="auto" w:fill="E6ECFF"/>
          </w:tcPr>
          <w:p>
            <w:pPr>
              <w:spacing w:after="0"/>
              <w:rPr>
                <w:sz w:val="15"/>
                <w:szCs w:val="15"/>
                <w:color w:val="auto"/>
              </w:rPr>
            </w:pPr>
          </w:p>
        </w:tc>
        <w:tc>
          <w:tcPr>
            <w:tcW w:w="160" w:type="dxa"/>
            <w:vAlign w:val="bottom"/>
            <w:tcBorders>
              <w:bottom w:val="single" w:sz="8" w:color="E6ECFF"/>
            </w:tcBorders>
            <w:shd w:val="clear" w:color="auto" w:fill="E6ECFF"/>
          </w:tcPr>
          <w:p>
            <w:pPr>
              <w:jc w:val="right"/>
              <w:ind w:right="3"/>
              <w:spacing w:after="0" w:line="177" w:lineRule="exact"/>
              <w:rPr>
                <w:sz w:val="20"/>
                <w:szCs w:val="20"/>
                <w:color w:val="auto"/>
              </w:rPr>
            </w:pPr>
            <w:r>
              <w:rPr>
                <w:rFonts w:ascii="Calibri" w:cs="Calibri" w:eastAsia="Calibri" w:hAnsi="Calibri"/>
                <w:sz w:val="15"/>
                <w:szCs w:val="15"/>
                <w:color w:val="auto"/>
                <w:w w:val="78"/>
              </w:rPr>
              <w:t>$</w:t>
            </w:r>
          </w:p>
        </w:tc>
        <w:tc>
          <w:tcPr>
            <w:tcW w:w="900" w:type="dxa"/>
            <w:vAlign w:val="bottom"/>
            <w:tcBorders>
              <w:bottom w:val="single" w:sz="8" w:color="E6ECFF"/>
            </w:tcBorders>
            <w:shd w:val="clear" w:color="auto" w:fill="E6ECFF"/>
          </w:tcPr>
          <w:p>
            <w:pPr>
              <w:jc w:val="right"/>
              <w:spacing w:after="0" w:line="177" w:lineRule="exact"/>
              <w:rPr>
                <w:sz w:val="20"/>
                <w:szCs w:val="20"/>
                <w:color w:val="auto"/>
              </w:rPr>
            </w:pPr>
            <w:r>
              <w:rPr>
                <w:rFonts w:ascii="Calibri" w:cs="Calibri" w:eastAsia="Calibri" w:hAnsi="Calibri"/>
                <w:sz w:val="15"/>
                <w:szCs w:val="15"/>
                <w:color w:val="auto"/>
              </w:rPr>
              <w:t>100.00</w:t>
            </w:r>
          </w:p>
        </w:tc>
        <w:tc>
          <w:tcPr>
            <w:tcW w:w="100" w:type="dxa"/>
            <w:vAlign w:val="bottom"/>
            <w:tcBorders>
              <w:bottom w:val="single" w:sz="8" w:color="E6ECFF"/>
            </w:tcBorders>
            <w:shd w:val="clear" w:color="auto" w:fill="E6ECFF"/>
          </w:tcPr>
          <w:p>
            <w:pPr>
              <w:spacing w:after="0"/>
              <w:rPr>
                <w:sz w:val="15"/>
                <w:szCs w:val="15"/>
                <w:color w:val="auto"/>
              </w:rPr>
            </w:pPr>
          </w:p>
        </w:tc>
        <w:tc>
          <w:tcPr>
            <w:tcW w:w="280" w:type="dxa"/>
            <w:vAlign w:val="bottom"/>
            <w:tcBorders>
              <w:bottom w:val="single" w:sz="8" w:color="E6ECFF"/>
            </w:tcBorders>
            <w:shd w:val="clear" w:color="auto" w:fill="E6ECFF"/>
          </w:tcPr>
          <w:p>
            <w:pPr>
              <w:jc w:val="right"/>
              <w:ind w:right="103"/>
              <w:spacing w:after="0" w:line="177" w:lineRule="exact"/>
              <w:rPr>
                <w:sz w:val="20"/>
                <w:szCs w:val="20"/>
                <w:color w:val="auto"/>
              </w:rPr>
            </w:pPr>
            <w:r>
              <w:rPr>
                <w:rFonts w:ascii="Calibri" w:cs="Calibri" w:eastAsia="Calibri" w:hAnsi="Calibri"/>
                <w:sz w:val="15"/>
                <w:szCs w:val="15"/>
                <w:color w:val="auto"/>
              </w:rPr>
              <w:t>$</w:t>
            </w:r>
          </w:p>
        </w:tc>
        <w:tc>
          <w:tcPr>
            <w:tcW w:w="780" w:type="dxa"/>
            <w:vAlign w:val="bottom"/>
            <w:tcBorders>
              <w:bottom w:val="single" w:sz="8" w:color="E6ECFF"/>
            </w:tcBorders>
            <w:shd w:val="clear" w:color="auto" w:fill="E6ECFF"/>
          </w:tcPr>
          <w:p>
            <w:pPr>
              <w:jc w:val="right"/>
              <w:spacing w:after="0" w:line="177" w:lineRule="exact"/>
              <w:rPr>
                <w:sz w:val="20"/>
                <w:szCs w:val="20"/>
                <w:color w:val="auto"/>
              </w:rPr>
            </w:pPr>
            <w:r>
              <w:rPr>
                <w:rFonts w:ascii="Calibri" w:cs="Calibri" w:eastAsia="Calibri" w:hAnsi="Calibri"/>
                <w:sz w:val="15"/>
                <w:szCs w:val="15"/>
                <w:color w:val="auto"/>
              </w:rPr>
              <w:t>97.96</w:t>
            </w:r>
          </w:p>
        </w:tc>
        <w:tc>
          <w:tcPr>
            <w:tcW w:w="120" w:type="dxa"/>
            <w:vAlign w:val="bottom"/>
            <w:tcBorders>
              <w:bottom w:val="single" w:sz="8" w:color="E6ECFF"/>
            </w:tcBorders>
            <w:shd w:val="clear" w:color="auto" w:fill="E6ECFF"/>
          </w:tcPr>
          <w:p>
            <w:pPr>
              <w:spacing w:after="0"/>
              <w:rPr>
                <w:sz w:val="15"/>
                <w:szCs w:val="15"/>
                <w:color w:val="auto"/>
              </w:rPr>
            </w:pPr>
          </w:p>
        </w:tc>
        <w:tc>
          <w:tcPr>
            <w:tcW w:w="140" w:type="dxa"/>
            <w:vAlign w:val="bottom"/>
            <w:tcBorders>
              <w:bottom w:val="single" w:sz="8" w:color="E6ECFF"/>
            </w:tcBorders>
            <w:shd w:val="clear" w:color="auto" w:fill="E6ECFF"/>
          </w:tcPr>
          <w:p>
            <w:pPr>
              <w:jc w:val="right"/>
              <w:spacing w:after="0" w:line="177" w:lineRule="exact"/>
              <w:rPr>
                <w:sz w:val="20"/>
                <w:szCs w:val="20"/>
                <w:color w:val="auto"/>
              </w:rPr>
            </w:pPr>
            <w:r>
              <w:rPr>
                <w:rFonts w:ascii="Calibri" w:cs="Calibri" w:eastAsia="Calibri" w:hAnsi="Calibri"/>
                <w:sz w:val="15"/>
                <w:szCs w:val="15"/>
                <w:color w:val="auto"/>
              </w:rPr>
              <w:t>$</w:t>
            </w:r>
          </w:p>
        </w:tc>
        <w:tc>
          <w:tcPr>
            <w:tcW w:w="860" w:type="dxa"/>
            <w:vAlign w:val="bottom"/>
            <w:tcBorders>
              <w:bottom w:val="single" w:sz="8" w:color="E6ECFF"/>
            </w:tcBorders>
            <w:shd w:val="clear" w:color="auto" w:fill="E6ECFF"/>
          </w:tcPr>
          <w:p>
            <w:pPr>
              <w:jc w:val="right"/>
              <w:spacing w:after="0" w:line="177" w:lineRule="exact"/>
              <w:rPr>
                <w:sz w:val="20"/>
                <w:szCs w:val="20"/>
                <w:color w:val="auto"/>
              </w:rPr>
            </w:pPr>
            <w:r>
              <w:rPr>
                <w:rFonts w:ascii="Calibri" w:cs="Calibri" w:eastAsia="Calibri" w:hAnsi="Calibri"/>
                <w:sz w:val="15"/>
                <w:szCs w:val="15"/>
                <w:color w:val="auto"/>
              </w:rPr>
              <w:t>65.38</w:t>
            </w:r>
          </w:p>
        </w:tc>
        <w:tc>
          <w:tcPr>
            <w:tcW w:w="120" w:type="dxa"/>
            <w:vAlign w:val="bottom"/>
            <w:tcBorders>
              <w:bottom w:val="single" w:sz="8" w:color="E6ECFF"/>
            </w:tcBorders>
            <w:shd w:val="clear" w:color="auto" w:fill="E6ECFF"/>
          </w:tcPr>
          <w:p>
            <w:pPr>
              <w:spacing w:after="0"/>
              <w:rPr>
                <w:sz w:val="15"/>
                <w:szCs w:val="15"/>
                <w:color w:val="auto"/>
              </w:rPr>
            </w:pPr>
          </w:p>
        </w:tc>
        <w:tc>
          <w:tcPr>
            <w:tcW w:w="160" w:type="dxa"/>
            <w:vAlign w:val="bottom"/>
            <w:tcBorders>
              <w:bottom w:val="single" w:sz="8" w:color="E6ECFF"/>
            </w:tcBorders>
            <w:shd w:val="clear" w:color="auto" w:fill="E6ECFF"/>
          </w:tcPr>
          <w:p>
            <w:pPr>
              <w:jc w:val="right"/>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bottom w:val="single" w:sz="8" w:color="E6ECFF"/>
            </w:tcBorders>
            <w:shd w:val="clear" w:color="auto" w:fill="E6ECFF"/>
          </w:tcPr>
          <w:p>
            <w:pPr>
              <w:jc w:val="right"/>
              <w:spacing w:after="0" w:line="177" w:lineRule="exact"/>
              <w:rPr>
                <w:sz w:val="20"/>
                <w:szCs w:val="20"/>
                <w:color w:val="auto"/>
              </w:rPr>
            </w:pPr>
            <w:r>
              <w:rPr>
                <w:rFonts w:ascii="Calibri" w:cs="Calibri" w:eastAsia="Calibri" w:hAnsi="Calibri"/>
                <w:sz w:val="15"/>
                <w:szCs w:val="15"/>
                <w:color w:val="auto"/>
              </w:rPr>
              <w:t>66.15</w:t>
            </w:r>
          </w:p>
        </w:tc>
        <w:tc>
          <w:tcPr>
            <w:tcW w:w="120" w:type="dxa"/>
            <w:vAlign w:val="bottom"/>
            <w:tcBorders>
              <w:bottom w:val="single" w:sz="8" w:color="E6ECFF"/>
            </w:tcBorders>
            <w:shd w:val="clear" w:color="auto" w:fill="E6ECFF"/>
          </w:tcPr>
          <w:p>
            <w:pPr>
              <w:spacing w:after="0"/>
              <w:rPr>
                <w:sz w:val="15"/>
                <w:szCs w:val="15"/>
                <w:color w:val="auto"/>
              </w:rPr>
            </w:pPr>
          </w:p>
        </w:tc>
        <w:tc>
          <w:tcPr>
            <w:tcW w:w="160" w:type="dxa"/>
            <w:vAlign w:val="bottom"/>
            <w:tcBorders>
              <w:bottom w:val="single" w:sz="8" w:color="E6ECFF"/>
            </w:tcBorders>
            <w:shd w:val="clear" w:color="auto" w:fill="E6ECFF"/>
          </w:tcPr>
          <w:p>
            <w:pPr>
              <w:jc w:val="right"/>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bottom w:val="single" w:sz="8" w:color="E6ECFF"/>
            </w:tcBorders>
            <w:shd w:val="clear" w:color="auto" w:fill="E6ECFF"/>
          </w:tcPr>
          <w:p>
            <w:pPr>
              <w:jc w:val="right"/>
              <w:spacing w:after="0" w:line="177" w:lineRule="exact"/>
              <w:rPr>
                <w:sz w:val="20"/>
                <w:szCs w:val="20"/>
                <w:color w:val="auto"/>
              </w:rPr>
            </w:pPr>
            <w:r>
              <w:rPr>
                <w:rFonts w:ascii="Calibri" w:cs="Calibri" w:eastAsia="Calibri" w:hAnsi="Calibri"/>
                <w:sz w:val="15"/>
                <w:szCs w:val="15"/>
                <w:color w:val="auto"/>
              </w:rPr>
              <w:t>45.13</w:t>
            </w:r>
          </w:p>
        </w:tc>
        <w:tc>
          <w:tcPr>
            <w:tcW w:w="100" w:type="dxa"/>
            <w:vAlign w:val="bottom"/>
            <w:tcBorders>
              <w:bottom w:val="single" w:sz="8" w:color="E6ECFF"/>
            </w:tcBorders>
            <w:shd w:val="clear" w:color="auto" w:fill="E6ECFF"/>
          </w:tcPr>
          <w:p>
            <w:pPr>
              <w:spacing w:after="0"/>
              <w:rPr>
                <w:sz w:val="15"/>
                <w:szCs w:val="15"/>
                <w:color w:val="auto"/>
              </w:rPr>
            </w:pPr>
          </w:p>
        </w:tc>
        <w:tc>
          <w:tcPr>
            <w:tcW w:w="160" w:type="dxa"/>
            <w:vAlign w:val="bottom"/>
            <w:tcBorders>
              <w:bottom w:val="single" w:sz="8" w:color="E6ECFF"/>
            </w:tcBorders>
            <w:shd w:val="clear" w:color="auto" w:fill="E6ECFF"/>
          </w:tcPr>
          <w:p>
            <w:pPr>
              <w:jc w:val="right"/>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bottom w:val="single" w:sz="8" w:color="E6ECFF"/>
            </w:tcBorders>
            <w:shd w:val="clear" w:color="auto" w:fill="E6ECFF"/>
          </w:tcPr>
          <w:p>
            <w:pPr>
              <w:jc w:val="right"/>
              <w:spacing w:after="0" w:line="177" w:lineRule="exact"/>
              <w:rPr>
                <w:sz w:val="20"/>
                <w:szCs w:val="20"/>
                <w:color w:val="auto"/>
              </w:rPr>
            </w:pPr>
            <w:r>
              <w:rPr>
                <w:rFonts w:ascii="Calibri" w:cs="Calibri" w:eastAsia="Calibri" w:hAnsi="Calibri"/>
                <w:sz w:val="15"/>
                <w:szCs w:val="15"/>
                <w:color w:val="auto"/>
              </w:rPr>
              <w:t>38.18</w:t>
            </w:r>
          </w:p>
        </w:tc>
      </w:tr>
      <w:tr>
        <w:trPr>
          <w:trHeight w:val="184"/>
        </w:trPr>
        <w:tc>
          <w:tcPr>
            <w:tcW w:w="4380" w:type="dxa"/>
            <w:vAlign w:val="bottom"/>
            <w:gridSpan w:val="2"/>
          </w:tcPr>
          <w:p>
            <w:pPr>
              <w:ind w:left="20"/>
              <w:spacing w:after="0"/>
              <w:rPr>
                <w:sz w:val="20"/>
                <w:szCs w:val="20"/>
                <w:color w:val="auto"/>
              </w:rPr>
            </w:pPr>
            <w:r>
              <w:rPr>
                <w:rFonts w:ascii="Calibri" w:cs="Calibri" w:eastAsia="Calibri" w:hAnsi="Calibri"/>
                <w:sz w:val="15"/>
                <w:szCs w:val="15"/>
                <w:color w:val="auto"/>
              </w:rPr>
              <w:t>S&amp;P 500 Index</w:t>
            </w:r>
          </w:p>
        </w:tc>
        <w:tc>
          <w:tcPr>
            <w:tcW w:w="160" w:type="dxa"/>
            <w:vAlign w:val="bottom"/>
          </w:tcPr>
          <w:p>
            <w:pPr>
              <w:jc w:val="right"/>
              <w:ind w:right="3"/>
              <w:spacing w:after="0"/>
              <w:rPr>
                <w:sz w:val="20"/>
                <w:szCs w:val="20"/>
                <w:color w:val="auto"/>
              </w:rPr>
            </w:pPr>
            <w:r>
              <w:rPr>
                <w:rFonts w:ascii="Calibri" w:cs="Calibri" w:eastAsia="Calibri" w:hAnsi="Calibri"/>
                <w:sz w:val="15"/>
                <w:szCs w:val="15"/>
                <w:color w:val="auto"/>
                <w:w w:val="78"/>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100.00</w:t>
            </w:r>
          </w:p>
        </w:tc>
        <w:tc>
          <w:tcPr>
            <w:tcW w:w="100" w:type="dxa"/>
            <w:vAlign w:val="bottom"/>
          </w:tcPr>
          <w:p>
            <w:pPr>
              <w:spacing w:after="0"/>
              <w:rPr>
                <w:sz w:val="16"/>
                <w:szCs w:val="16"/>
                <w:color w:val="auto"/>
              </w:rPr>
            </w:pPr>
          </w:p>
        </w:tc>
        <w:tc>
          <w:tcPr>
            <w:tcW w:w="280" w:type="dxa"/>
            <w:vAlign w:val="bottom"/>
          </w:tcPr>
          <w:p>
            <w:pPr>
              <w:jc w:val="right"/>
              <w:ind w:right="103"/>
              <w:spacing w:after="0"/>
              <w:rPr>
                <w:sz w:val="20"/>
                <w:szCs w:val="20"/>
                <w:color w:val="auto"/>
              </w:rPr>
            </w:pPr>
            <w:r>
              <w:rPr>
                <w:rFonts w:ascii="Calibri" w:cs="Calibri" w:eastAsia="Calibri" w:hAnsi="Calibri"/>
                <w:sz w:val="15"/>
                <w:szCs w:val="15"/>
                <w:color w:val="auto"/>
              </w:rPr>
              <w:t>$</w:t>
            </w:r>
          </w:p>
        </w:tc>
        <w:tc>
          <w:tcPr>
            <w:tcW w:w="780" w:type="dxa"/>
            <w:vAlign w:val="bottom"/>
          </w:tcPr>
          <w:p>
            <w:pPr>
              <w:jc w:val="right"/>
              <w:spacing w:after="0"/>
              <w:rPr>
                <w:sz w:val="20"/>
                <w:szCs w:val="20"/>
                <w:color w:val="auto"/>
              </w:rPr>
            </w:pPr>
            <w:r>
              <w:rPr>
                <w:rFonts w:ascii="Calibri" w:cs="Calibri" w:eastAsia="Calibri" w:hAnsi="Calibri"/>
                <w:sz w:val="15"/>
                <w:szCs w:val="15"/>
                <w:color w:val="auto"/>
              </w:rPr>
              <w:t>131.49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860" w:type="dxa"/>
            <w:vAlign w:val="bottom"/>
          </w:tcPr>
          <w:p>
            <w:pPr>
              <w:jc w:val="right"/>
              <w:spacing w:after="0"/>
              <w:rPr>
                <w:sz w:val="20"/>
                <w:szCs w:val="20"/>
                <w:color w:val="auto"/>
              </w:rPr>
            </w:pPr>
            <w:r>
              <w:rPr>
                <w:rFonts w:ascii="Calibri" w:cs="Calibri" w:eastAsia="Calibri" w:hAnsi="Calibri"/>
                <w:sz w:val="15"/>
                <w:szCs w:val="15"/>
                <w:color w:val="auto"/>
              </w:rPr>
              <w:t>155.68</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200.37</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164.08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207.21</w:t>
            </w:r>
          </w:p>
        </w:tc>
      </w:tr>
      <w:tr>
        <w:trPr>
          <w:trHeight w:val="22"/>
        </w:trPr>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4"/>
        </w:trPr>
        <w:tc>
          <w:tcPr>
            <w:tcW w:w="4380" w:type="dxa"/>
            <w:vAlign w:val="bottom"/>
            <w:gridSpan w:val="2"/>
            <w:shd w:val="clear" w:color="auto" w:fill="E6ECFF"/>
          </w:tcPr>
          <w:p>
            <w:pPr>
              <w:ind w:left="20"/>
              <w:spacing w:after="0"/>
              <w:rPr>
                <w:sz w:val="20"/>
                <w:szCs w:val="20"/>
                <w:color w:val="auto"/>
              </w:rPr>
            </w:pPr>
            <w:r>
              <w:rPr>
                <w:rFonts w:ascii="Calibri" w:cs="Calibri" w:eastAsia="Calibri" w:hAnsi="Calibri"/>
                <w:sz w:val="15"/>
                <w:szCs w:val="15"/>
                <w:color w:val="auto"/>
              </w:rPr>
              <w:t>NAREIT Mortgage REIT Index</w:t>
            </w:r>
          </w:p>
        </w:tc>
        <w:tc>
          <w:tcPr>
            <w:tcW w:w="160" w:type="dxa"/>
            <w:vAlign w:val="bottom"/>
            <w:shd w:val="clear" w:color="auto" w:fill="E6ECFF"/>
          </w:tcPr>
          <w:p>
            <w:pPr>
              <w:jc w:val="right"/>
              <w:ind w:right="3"/>
              <w:spacing w:after="0"/>
              <w:rPr>
                <w:sz w:val="20"/>
                <w:szCs w:val="20"/>
                <w:color w:val="auto"/>
              </w:rPr>
            </w:pPr>
            <w:r>
              <w:rPr>
                <w:rFonts w:ascii="Calibri" w:cs="Calibri" w:eastAsia="Calibri" w:hAnsi="Calibri"/>
                <w:sz w:val="15"/>
                <w:szCs w:val="15"/>
                <w:color w:val="auto"/>
                <w:w w:val="78"/>
              </w:rPr>
              <w:t>$</w:t>
            </w:r>
          </w:p>
        </w:tc>
        <w:tc>
          <w:tcPr>
            <w:tcW w:w="900" w:type="dxa"/>
            <w:vAlign w:val="bottom"/>
            <w:shd w:val="clear" w:color="auto" w:fill="E6ECFF"/>
          </w:tcPr>
          <w:p>
            <w:pPr>
              <w:jc w:val="right"/>
              <w:spacing w:after="0"/>
              <w:rPr>
                <w:sz w:val="20"/>
                <w:szCs w:val="20"/>
                <w:color w:val="auto"/>
              </w:rPr>
            </w:pPr>
            <w:r>
              <w:rPr>
                <w:rFonts w:ascii="Calibri" w:cs="Calibri" w:eastAsia="Calibri" w:hAnsi="Calibri"/>
                <w:sz w:val="15"/>
                <w:szCs w:val="15"/>
                <w:color w:val="auto"/>
              </w:rPr>
              <w:t>100.00</w:t>
            </w:r>
          </w:p>
        </w:tc>
        <w:tc>
          <w:tcPr>
            <w:tcW w:w="100" w:type="dxa"/>
            <w:vAlign w:val="bottom"/>
            <w:shd w:val="clear" w:color="auto" w:fill="E6ECFF"/>
          </w:tcPr>
          <w:p>
            <w:pPr>
              <w:spacing w:after="0"/>
              <w:rPr>
                <w:sz w:val="16"/>
                <w:szCs w:val="16"/>
                <w:color w:val="auto"/>
              </w:rPr>
            </w:pPr>
          </w:p>
        </w:tc>
        <w:tc>
          <w:tcPr>
            <w:tcW w:w="280" w:type="dxa"/>
            <w:vAlign w:val="bottom"/>
            <w:shd w:val="clear" w:color="auto" w:fill="E6ECFF"/>
          </w:tcPr>
          <w:p>
            <w:pPr>
              <w:jc w:val="right"/>
              <w:ind w:right="103"/>
              <w:spacing w:after="0"/>
              <w:rPr>
                <w:sz w:val="20"/>
                <w:szCs w:val="20"/>
                <w:color w:val="auto"/>
              </w:rPr>
            </w:pPr>
            <w:r>
              <w:rPr>
                <w:rFonts w:ascii="Calibri" w:cs="Calibri" w:eastAsia="Calibri" w:hAnsi="Calibri"/>
                <w:sz w:val="15"/>
                <w:szCs w:val="15"/>
                <w:color w:val="auto"/>
              </w:rPr>
              <w:t>$</w:t>
            </w:r>
          </w:p>
        </w:tc>
        <w:tc>
          <w:tcPr>
            <w:tcW w:w="780" w:type="dxa"/>
            <w:vAlign w:val="bottom"/>
            <w:shd w:val="clear" w:color="auto" w:fill="E6ECFF"/>
          </w:tcPr>
          <w:p>
            <w:pPr>
              <w:jc w:val="right"/>
              <w:spacing w:after="0"/>
              <w:rPr>
                <w:sz w:val="20"/>
                <w:szCs w:val="20"/>
                <w:color w:val="auto"/>
              </w:rPr>
            </w:pPr>
            <w:r>
              <w:rPr>
                <w:rFonts w:ascii="Calibri" w:cs="Calibri" w:eastAsia="Calibri" w:hAnsi="Calibri"/>
                <w:sz w:val="15"/>
                <w:szCs w:val="15"/>
                <w:color w:val="auto"/>
              </w:rPr>
              <w:t>121.33</w:t>
            </w:r>
          </w:p>
        </w:tc>
        <w:tc>
          <w:tcPr>
            <w:tcW w:w="120" w:type="dxa"/>
            <w:vAlign w:val="bottom"/>
            <w:shd w:val="clear" w:color="auto" w:fill="E6ECFF"/>
          </w:tcPr>
          <w:p>
            <w:pPr>
              <w:spacing w:after="0"/>
              <w:rPr>
                <w:sz w:val="16"/>
                <w:szCs w:val="16"/>
                <w:color w:val="auto"/>
              </w:rPr>
            </w:pPr>
          </w:p>
        </w:tc>
        <w:tc>
          <w:tcPr>
            <w:tcW w:w="140" w:type="dxa"/>
            <w:vAlign w:val="bottom"/>
            <w:shd w:val="clear" w:color="auto" w:fill="E6ECFF"/>
          </w:tcPr>
          <w:p>
            <w:pPr>
              <w:jc w:val="right"/>
              <w:spacing w:after="0"/>
              <w:rPr>
                <w:sz w:val="20"/>
                <w:szCs w:val="20"/>
                <w:color w:val="auto"/>
              </w:rPr>
            </w:pPr>
            <w:r>
              <w:rPr>
                <w:rFonts w:ascii="Calibri" w:cs="Calibri" w:eastAsia="Calibri" w:hAnsi="Calibri"/>
                <w:sz w:val="15"/>
                <w:szCs w:val="15"/>
                <w:color w:val="auto"/>
              </w:rPr>
              <w:t>$</w:t>
            </w:r>
          </w:p>
        </w:tc>
        <w:tc>
          <w:tcPr>
            <w:tcW w:w="860" w:type="dxa"/>
            <w:vAlign w:val="bottom"/>
            <w:shd w:val="clear" w:color="auto" w:fill="E6ECFF"/>
          </w:tcPr>
          <w:p>
            <w:pPr>
              <w:jc w:val="right"/>
              <w:spacing w:after="0"/>
              <w:rPr>
                <w:sz w:val="20"/>
                <w:szCs w:val="20"/>
                <w:color w:val="auto"/>
              </w:rPr>
            </w:pPr>
            <w:r>
              <w:rPr>
                <w:rFonts w:ascii="Calibri" w:cs="Calibri" w:eastAsia="Calibri" w:hAnsi="Calibri"/>
                <w:sz w:val="15"/>
                <w:szCs w:val="15"/>
                <w:color w:val="auto"/>
              </w:rPr>
              <w:t>98.56</w:t>
            </w:r>
          </w:p>
        </w:tc>
        <w:tc>
          <w:tcPr>
            <w:tcW w:w="120" w:type="dxa"/>
            <w:vAlign w:val="bottom"/>
            <w:shd w:val="clear" w:color="auto" w:fill="E6ECFF"/>
          </w:tcPr>
          <w:p>
            <w:pPr>
              <w:spacing w:after="0"/>
              <w:rPr>
                <w:sz w:val="16"/>
                <w:szCs w:val="16"/>
                <w:color w:val="auto"/>
              </w:rPr>
            </w:pPr>
          </w:p>
        </w:tc>
        <w:tc>
          <w:tcPr>
            <w:tcW w:w="160" w:type="dxa"/>
            <w:vAlign w:val="bottom"/>
            <w:shd w:val="clear" w:color="auto" w:fill="E6ECFF"/>
          </w:tcPr>
          <w:p>
            <w:pPr>
              <w:jc w:val="right"/>
              <w:spacing w:after="0"/>
              <w:rPr>
                <w:sz w:val="20"/>
                <w:szCs w:val="20"/>
                <w:color w:val="auto"/>
              </w:rPr>
            </w:pPr>
            <w:r>
              <w:rPr>
                <w:rFonts w:ascii="Calibri" w:cs="Calibri" w:eastAsia="Calibri" w:hAnsi="Calibri"/>
                <w:sz w:val="15"/>
                <w:szCs w:val="15"/>
                <w:color w:val="auto"/>
              </w:rPr>
              <w:t>$</w:t>
            </w:r>
          </w:p>
        </w:tc>
        <w:tc>
          <w:tcPr>
            <w:tcW w:w="900" w:type="dxa"/>
            <w:vAlign w:val="bottom"/>
            <w:shd w:val="clear" w:color="auto" w:fill="E6ECFF"/>
          </w:tcPr>
          <w:p>
            <w:pPr>
              <w:jc w:val="right"/>
              <w:spacing w:after="0"/>
              <w:rPr>
                <w:sz w:val="20"/>
                <w:szCs w:val="20"/>
                <w:color w:val="auto"/>
              </w:rPr>
            </w:pPr>
            <w:r>
              <w:rPr>
                <w:rFonts w:ascii="Calibri" w:cs="Calibri" w:eastAsia="Calibri" w:hAnsi="Calibri"/>
                <w:sz w:val="15"/>
                <w:szCs w:val="15"/>
                <w:color w:val="auto"/>
              </w:rPr>
              <w:t>113.97</w:t>
            </w:r>
          </w:p>
        </w:tc>
        <w:tc>
          <w:tcPr>
            <w:tcW w:w="120" w:type="dxa"/>
            <w:vAlign w:val="bottom"/>
            <w:shd w:val="clear" w:color="auto" w:fill="E6ECFF"/>
          </w:tcPr>
          <w:p>
            <w:pPr>
              <w:spacing w:after="0"/>
              <w:rPr>
                <w:sz w:val="16"/>
                <w:szCs w:val="16"/>
                <w:color w:val="auto"/>
              </w:rPr>
            </w:pPr>
          </w:p>
        </w:tc>
        <w:tc>
          <w:tcPr>
            <w:tcW w:w="160" w:type="dxa"/>
            <w:vAlign w:val="bottom"/>
            <w:shd w:val="clear" w:color="auto" w:fill="E6ECFF"/>
          </w:tcPr>
          <w:p>
            <w:pPr>
              <w:jc w:val="right"/>
              <w:spacing w:after="0"/>
              <w:rPr>
                <w:sz w:val="20"/>
                <w:szCs w:val="20"/>
                <w:color w:val="auto"/>
              </w:rPr>
            </w:pPr>
            <w:r>
              <w:rPr>
                <w:rFonts w:ascii="Calibri" w:cs="Calibri" w:eastAsia="Calibri" w:hAnsi="Calibri"/>
                <w:sz w:val="15"/>
                <w:szCs w:val="15"/>
                <w:color w:val="auto"/>
              </w:rPr>
              <w:t>$</w:t>
            </w:r>
          </w:p>
        </w:tc>
        <w:tc>
          <w:tcPr>
            <w:tcW w:w="900" w:type="dxa"/>
            <w:vAlign w:val="bottom"/>
            <w:shd w:val="clear" w:color="auto" w:fill="E6ECFF"/>
          </w:tcPr>
          <w:p>
            <w:pPr>
              <w:jc w:val="right"/>
              <w:spacing w:after="0"/>
              <w:rPr>
                <w:sz w:val="20"/>
                <w:szCs w:val="20"/>
                <w:color w:val="auto"/>
              </w:rPr>
            </w:pPr>
            <w:r>
              <w:rPr>
                <w:rFonts w:ascii="Calibri" w:cs="Calibri" w:eastAsia="Calibri" w:hAnsi="Calibri"/>
                <w:sz w:val="15"/>
                <w:szCs w:val="15"/>
                <w:color w:val="auto"/>
              </w:rPr>
              <w:t>83.64</w:t>
            </w:r>
          </w:p>
        </w:tc>
        <w:tc>
          <w:tcPr>
            <w:tcW w:w="100" w:type="dxa"/>
            <w:vAlign w:val="bottom"/>
            <w:shd w:val="clear" w:color="auto" w:fill="E6ECFF"/>
          </w:tcPr>
          <w:p>
            <w:pPr>
              <w:spacing w:after="0"/>
              <w:rPr>
                <w:sz w:val="16"/>
                <w:szCs w:val="16"/>
                <w:color w:val="auto"/>
              </w:rPr>
            </w:pPr>
          </w:p>
        </w:tc>
        <w:tc>
          <w:tcPr>
            <w:tcW w:w="160" w:type="dxa"/>
            <w:vAlign w:val="bottom"/>
            <w:shd w:val="clear" w:color="auto" w:fill="E6ECFF"/>
          </w:tcPr>
          <w:p>
            <w:pPr>
              <w:jc w:val="right"/>
              <w:spacing w:after="0"/>
              <w:rPr>
                <w:sz w:val="20"/>
                <w:szCs w:val="20"/>
                <w:color w:val="auto"/>
              </w:rPr>
            </w:pPr>
            <w:r>
              <w:rPr>
                <w:rFonts w:ascii="Calibri" w:cs="Calibri" w:eastAsia="Calibri" w:hAnsi="Calibri"/>
                <w:sz w:val="15"/>
                <w:szCs w:val="15"/>
                <w:color w:val="auto"/>
              </w:rPr>
              <w:t>$</w:t>
            </w:r>
          </w:p>
        </w:tc>
        <w:tc>
          <w:tcPr>
            <w:tcW w:w="900" w:type="dxa"/>
            <w:vAlign w:val="bottom"/>
            <w:shd w:val="clear" w:color="auto" w:fill="E6ECFF"/>
          </w:tcPr>
          <w:p>
            <w:pPr>
              <w:jc w:val="right"/>
              <w:spacing w:after="0"/>
              <w:rPr>
                <w:sz w:val="20"/>
                <w:szCs w:val="20"/>
                <w:color w:val="auto"/>
              </w:rPr>
            </w:pPr>
            <w:r>
              <w:rPr>
                <w:rFonts w:ascii="Calibri" w:cs="Calibri" w:eastAsia="Calibri" w:hAnsi="Calibri"/>
                <w:sz w:val="15"/>
                <w:szCs w:val="15"/>
                <w:color w:val="auto"/>
              </w:rPr>
              <w:t>96.48</w:t>
            </w:r>
          </w:p>
        </w:tc>
      </w:tr>
      <w:tr>
        <w:trPr>
          <w:trHeight w:val="22"/>
        </w:trPr>
        <w:tc>
          <w:tcPr>
            <w:tcW w:w="4260" w:type="dxa"/>
            <w:vAlign w:val="bottom"/>
            <w:shd w:val="clear" w:color="auto" w:fill="E6ECFF"/>
          </w:tcPr>
          <w:p>
            <w:pPr>
              <w:spacing w:after="0" w:line="20" w:lineRule="exact"/>
              <w:rPr>
                <w:sz w:val="1"/>
                <w:szCs w:val="1"/>
                <w:color w:val="auto"/>
              </w:rPr>
            </w:pPr>
          </w:p>
        </w:tc>
        <w:tc>
          <w:tcPr>
            <w:tcW w:w="120" w:type="dxa"/>
            <w:vAlign w:val="bottom"/>
            <w:shd w:val="clear" w:color="auto" w:fill="E6ECFF"/>
          </w:tcPr>
          <w:p>
            <w:pPr>
              <w:spacing w:after="0" w:line="20" w:lineRule="exact"/>
              <w:rPr>
                <w:sz w:val="1"/>
                <w:szCs w:val="1"/>
                <w:color w:val="auto"/>
              </w:rPr>
            </w:pPr>
          </w:p>
        </w:tc>
        <w:tc>
          <w:tcPr>
            <w:tcW w:w="160" w:type="dxa"/>
            <w:vAlign w:val="bottom"/>
            <w:shd w:val="clear" w:color="auto" w:fill="E6ECFF"/>
          </w:tcPr>
          <w:p>
            <w:pPr>
              <w:spacing w:after="0" w:line="20" w:lineRule="exact"/>
              <w:rPr>
                <w:sz w:val="1"/>
                <w:szCs w:val="1"/>
                <w:color w:val="auto"/>
              </w:rPr>
            </w:pPr>
          </w:p>
        </w:tc>
        <w:tc>
          <w:tcPr>
            <w:tcW w:w="900" w:type="dxa"/>
            <w:vAlign w:val="bottom"/>
            <w:shd w:val="clear" w:color="auto" w:fill="E6ECFF"/>
          </w:tcPr>
          <w:p>
            <w:pPr>
              <w:spacing w:after="0" w:line="20" w:lineRule="exact"/>
              <w:rPr>
                <w:sz w:val="1"/>
                <w:szCs w:val="1"/>
                <w:color w:val="auto"/>
              </w:rPr>
            </w:pPr>
          </w:p>
        </w:tc>
        <w:tc>
          <w:tcPr>
            <w:tcW w:w="100" w:type="dxa"/>
            <w:vAlign w:val="bottom"/>
            <w:shd w:val="clear" w:color="auto" w:fill="E6ECFF"/>
          </w:tcPr>
          <w:p>
            <w:pPr>
              <w:spacing w:after="0" w:line="20" w:lineRule="exact"/>
              <w:rPr>
                <w:sz w:val="1"/>
                <w:szCs w:val="1"/>
                <w:color w:val="auto"/>
              </w:rPr>
            </w:pPr>
          </w:p>
        </w:tc>
        <w:tc>
          <w:tcPr>
            <w:tcW w:w="280" w:type="dxa"/>
            <w:vAlign w:val="bottom"/>
            <w:shd w:val="clear" w:color="auto" w:fill="E6ECFF"/>
          </w:tcPr>
          <w:p>
            <w:pPr>
              <w:spacing w:after="0" w:line="20" w:lineRule="exact"/>
              <w:rPr>
                <w:sz w:val="1"/>
                <w:szCs w:val="1"/>
                <w:color w:val="auto"/>
              </w:rPr>
            </w:pPr>
          </w:p>
        </w:tc>
        <w:tc>
          <w:tcPr>
            <w:tcW w:w="780" w:type="dxa"/>
            <w:vAlign w:val="bottom"/>
            <w:shd w:val="clear" w:color="auto" w:fill="E6ECFF"/>
          </w:tcPr>
          <w:p>
            <w:pPr>
              <w:spacing w:after="0" w:line="20" w:lineRule="exact"/>
              <w:rPr>
                <w:sz w:val="1"/>
                <w:szCs w:val="1"/>
                <w:color w:val="auto"/>
              </w:rPr>
            </w:pPr>
          </w:p>
        </w:tc>
        <w:tc>
          <w:tcPr>
            <w:tcW w:w="120" w:type="dxa"/>
            <w:vAlign w:val="bottom"/>
            <w:shd w:val="clear" w:color="auto" w:fill="E6ECFF"/>
          </w:tcPr>
          <w:p>
            <w:pPr>
              <w:spacing w:after="0" w:line="20" w:lineRule="exact"/>
              <w:rPr>
                <w:sz w:val="1"/>
                <w:szCs w:val="1"/>
                <w:color w:val="auto"/>
              </w:rPr>
            </w:pPr>
          </w:p>
        </w:tc>
        <w:tc>
          <w:tcPr>
            <w:tcW w:w="140" w:type="dxa"/>
            <w:vAlign w:val="bottom"/>
            <w:shd w:val="clear" w:color="auto" w:fill="E6ECFF"/>
          </w:tcPr>
          <w:p>
            <w:pPr>
              <w:spacing w:after="0" w:line="20" w:lineRule="exact"/>
              <w:rPr>
                <w:sz w:val="1"/>
                <w:szCs w:val="1"/>
                <w:color w:val="auto"/>
              </w:rPr>
            </w:pPr>
          </w:p>
        </w:tc>
        <w:tc>
          <w:tcPr>
            <w:tcW w:w="860" w:type="dxa"/>
            <w:vAlign w:val="bottom"/>
            <w:shd w:val="clear" w:color="auto" w:fill="E6ECFF"/>
          </w:tcPr>
          <w:p>
            <w:pPr>
              <w:spacing w:after="0" w:line="20" w:lineRule="exact"/>
              <w:rPr>
                <w:sz w:val="1"/>
                <w:szCs w:val="1"/>
                <w:color w:val="auto"/>
              </w:rPr>
            </w:pPr>
          </w:p>
        </w:tc>
        <w:tc>
          <w:tcPr>
            <w:tcW w:w="120" w:type="dxa"/>
            <w:vAlign w:val="bottom"/>
            <w:shd w:val="clear" w:color="auto" w:fill="E6ECFF"/>
          </w:tcPr>
          <w:p>
            <w:pPr>
              <w:spacing w:after="0" w:line="20" w:lineRule="exact"/>
              <w:rPr>
                <w:sz w:val="1"/>
                <w:szCs w:val="1"/>
                <w:color w:val="auto"/>
              </w:rPr>
            </w:pPr>
          </w:p>
        </w:tc>
        <w:tc>
          <w:tcPr>
            <w:tcW w:w="160" w:type="dxa"/>
            <w:vAlign w:val="bottom"/>
            <w:shd w:val="clear" w:color="auto" w:fill="E6ECFF"/>
          </w:tcPr>
          <w:p>
            <w:pPr>
              <w:spacing w:after="0" w:line="20" w:lineRule="exact"/>
              <w:rPr>
                <w:sz w:val="1"/>
                <w:szCs w:val="1"/>
                <w:color w:val="auto"/>
              </w:rPr>
            </w:pPr>
          </w:p>
        </w:tc>
        <w:tc>
          <w:tcPr>
            <w:tcW w:w="900" w:type="dxa"/>
            <w:vAlign w:val="bottom"/>
            <w:shd w:val="clear" w:color="auto" w:fill="E6ECFF"/>
          </w:tcPr>
          <w:p>
            <w:pPr>
              <w:spacing w:after="0" w:line="20" w:lineRule="exact"/>
              <w:rPr>
                <w:sz w:val="1"/>
                <w:szCs w:val="1"/>
                <w:color w:val="auto"/>
              </w:rPr>
            </w:pPr>
          </w:p>
        </w:tc>
        <w:tc>
          <w:tcPr>
            <w:tcW w:w="120" w:type="dxa"/>
            <w:vAlign w:val="bottom"/>
            <w:shd w:val="clear" w:color="auto" w:fill="E6ECFF"/>
          </w:tcPr>
          <w:p>
            <w:pPr>
              <w:spacing w:after="0" w:line="20" w:lineRule="exact"/>
              <w:rPr>
                <w:sz w:val="1"/>
                <w:szCs w:val="1"/>
                <w:color w:val="auto"/>
              </w:rPr>
            </w:pPr>
          </w:p>
        </w:tc>
        <w:tc>
          <w:tcPr>
            <w:tcW w:w="160" w:type="dxa"/>
            <w:vAlign w:val="bottom"/>
            <w:shd w:val="clear" w:color="auto" w:fill="E6ECFF"/>
          </w:tcPr>
          <w:p>
            <w:pPr>
              <w:spacing w:after="0" w:line="20" w:lineRule="exact"/>
              <w:rPr>
                <w:sz w:val="1"/>
                <w:szCs w:val="1"/>
                <w:color w:val="auto"/>
              </w:rPr>
            </w:pPr>
          </w:p>
        </w:tc>
        <w:tc>
          <w:tcPr>
            <w:tcW w:w="900" w:type="dxa"/>
            <w:vAlign w:val="bottom"/>
            <w:shd w:val="clear" w:color="auto" w:fill="E6ECFF"/>
          </w:tcPr>
          <w:p>
            <w:pPr>
              <w:spacing w:after="0" w:line="20" w:lineRule="exact"/>
              <w:rPr>
                <w:sz w:val="1"/>
                <w:szCs w:val="1"/>
                <w:color w:val="auto"/>
              </w:rPr>
            </w:pPr>
          </w:p>
        </w:tc>
        <w:tc>
          <w:tcPr>
            <w:tcW w:w="100" w:type="dxa"/>
            <w:vAlign w:val="bottom"/>
            <w:shd w:val="clear" w:color="auto" w:fill="E6ECFF"/>
          </w:tcPr>
          <w:p>
            <w:pPr>
              <w:spacing w:after="0" w:line="20" w:lineRule="exact"/>
              <w:rPr>
                <w:sz w:val="1"/>
                <w:szCs w:val="1"/>
                <w:color w:val="auto"/>
              </w:rPr>
            </w:pPr>
          </w:p>
        </w:tc>
        <w:tc>
          <w:tcPr>
            <w:tcW w:w="160" w:type="dxa"/>
            <w:vAlign w:val="bottom"/>
            <w:shd w:val="clear" w:color="auto" w:fill="E6ECFF"/>
          </w:tcPr>
          <w:p>
            <w:pPr>
              <w:spacing w:after="0" w:line="20" w:lineRule="exact"/>
              <w:rPr>
                <w:sz w:val="1"/>
                <w:szCs w:val="1"/>
                <w:color w:val="auto"/>
              </w:rPr>
            </w:pPr>
          </w:p>
        </w:tc>
        <w:tc>
          <w:tcPr>
            <w:tcW w:w="900" w:type="dxa"/>
            <w:vAlign w:val="bottom"/>
            <w:shd w:val="clear" w:color="auto" w:fill="E6ECFF"/>
          </w:tcPr>
          <w:p>
            <w:pPr>
              <w:spacing w:after="0" w:line="20" w:lineRule="exact"/>
              <w:rPr>
                <w:sz w:val="1"/>
                <w:szCs w:val="1"/>
                <w:color w:val="auto"/>
              </w:rPr>
            </w:pPr>
          </w:p>
        </w:tc>
      </w:tr>
    </w:tbl>
    <w:p>
      <w:pPr>
        <w:spacing w:after="0" w:line="237"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informaton in the performance graph and table has been obtained from sources believed to be reliable, but neither its accuracy nor its completeness can be guaranteed. The historical informaton set forth above is not necessarily indicatve of future performance. Accordingly, we do not make or endorse any predictons as to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4" w:name="page45"/>
    <w:bookmarkEnd w:id="44"/>
    <w:p>
      <w:pPr>
        <w:jc w:val="center"/>
        <w:ind w:right="1120"/>
        <w:spacing w:after="0"/>
        <w:rPr>
          <w:sz w:val="20"/>
          <w:szCs w:val="20"/>
          <w:color w:val="auto"/>
        </w:rPr>
      </w:pPr>
      <w:r>
        <w:rPr>
          <w:rFonts w:ascii="Calibri" w:cs="Calibri" w:eastAsia="Calibri" w:hAnsi="Calibri"/>
          <w:sz w:val="19"/>
          <w:szCs w:val="19"/>
          <w:b w:val="1"/>
          <w:bCs w:val="1"/>
          <w:color w:val="1C4787"/>
        </w:rPr>
        <w:t>Item 6. [Reserved]</w:t>
      </w:r>
    </w:p>
    <w:p>
      <w:pPr>
        <w:jc w:val="center"/>
        <w:ind w:right="1120"/>
        <w:spacing w:after="0"/>
        <w:rPr>
          <w:sz w:val="20"/>
          <w:szCs w:val="20"/>
          <w:color w:val="auto"/>
        </w:rPr>
      </w:pPr>
      <w:r>
        <w:rPr>
          <w:rFonts w:ascii="Calibri" w:cs="Calibri" w:eastAsia="Calibri" w:hAnsi="Calibri"/>
          <w:sz w:val="19"/>
          <w:szCs w:val="19"/>
          <w:b w:val="1"/>
          <w:bCs w:val="1"/>
          <w:color w:val="1C4787"/>
        </w:rPr>
        <w:t>ARMOUR Residental REIT, Inc.</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43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40"/>
        <w:spacing w:after="0"/>
        <w:rPr>
          <w:sz w:val="20"/>
          <w:szCs w:val="20"/>
          <w:color w:val="auto"/>
        </w:rPr>
      </w:pPr>
      <w:r>
        <w:rPr>
          <w:rFonts w:ascii="Calibri" w:cs="Calibri" w:eastAsia="Calibri" w:hAnsi="Calibri"/>
          <w:sz w:val="17"/>
          <w:szCs w:val="17"/>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1155700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5970905</wp:posOffset>
            </wp:positionH>
            <wp:positionV relativeFrom="paragraph">
              <wp:posOffset>431800</wp:posOffset>
            </wp:positionV>
            <wp:extent cx="458470" cy="5073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0120"/>
          </w:cols>
          <w:pgMar w:left="1440" w:top="740" w:right="339" w:bottom="1440" w:gutter="0" w:footer="0" w:header="0"/>
        </w:sectPr>
      </w:pPr>
    </w:p>
    <w:bookmarkStart w:id="45" w:name="page46"/>
    <w:bookmarkEnd w:id="45"/>
    <w:p>
      <w:pPr>
        <w:jc w:val="center"/>
        <w:spacing w:after="0"/>
        <w:rPr>
          <w:sz w:val="20"/>
          <w:szCs w:val="20"/>
          <w:color w:val="auto"/>
        </w:rPr>
      </w:pPr>
      <w:r>
        <w:rPr>
          <w:rFonts w:ascii="Calibri" w:cs="Calibri" w:eastAsia="Calibri" w:hAnsi="Calibri"/>
          <w:sz w:val="19"/>
          <w:szCs w:val="19"/>
          <w:b w:val="1"/>
          <w:bCs w:val="1"/>
          <w:color w:val="1C4787"/>
        </w:rPr>
        <w:t>Item 7. 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w:t>
      </w:r>
    </w:p>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right"/>
        <w:spacing w:after="0" w:line="233" w:lineRule="auto"/>
        <w:rPr>
          <w:sz w:val="20"/>
          <w:szCs w:val="20"/>
          <w:color w:val="auto"/>
        </w:rPr>
      </w:pPr>
      <w:r>
        <w:rPr>
          <w:rFonts w:ascii="Calibri" w:cs="Calibri" w:eastAsia="Calibri" w:hAnsi="Calibri"/>
          <w:sz w:val="17"/>
          <w:szCs w:val="17"/>
          <w:color w:val="1C4787"/>
        </w:rPr>
        <w:t>44</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i w:val="1"/>
          <w:iCs w:val="1"/>
          <w:color w:val="auto"/>
        </w:rPr>
        <w:t>You should read the following discussion and analysis of our fnancial conditon and results of operatons together with “Risk Factors,” and “Special Note Regarding Forward-Looking Statements,” that appear elsewhere in this Form 10-K. This discussion and analysis contains forward-looking statements that involve risks, uncertaintes, and assumptons. Actual results may difer materially from those antcipated in these forward-looking statements as a result of various factors, including, but not limited to, those presented under “Risk Factors” included in this Form 10-K.</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i w:val="1"/>
          <w:iCs w:val="1"/>
          <w:color w:val="auto"/>
        </w:rPr>
        <w:t>References to “we,” “us,” “our,” or the “Company” are to ARMOUR Residental REIT, Inc. (“ARMOUR”) and its subsidiaries. References to “ACM” are to ARMOUR Capital Management LP, a Delaware limited partnership. ARMOUR owns a 10.8% equity interest in BUCKLER Securites LLC ("BUCKLER"), a Delaware limited liability company and a FINRA-regulated broker-dealer, controlled by ACM and certain executve ofcers of ARMOUR. Refer to the Glossary of Terms for defnitons of capitalized terms and abbreviatons used in this report.</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i w:val="1"/>
          <w:iCs w:val="1"/>
          <w:color w:val="auto"/>
        </w:rPr>
        <w:t>The following discussion of our fnancial conditon and results of operatons should be read in conjuncton with our consolidated fnancial statements and related notes included elsewhere in this report. All per share amounts, common shares outstanding and stock-based compensaton amounts for all periods refect the efect of our Reverse Stock Split, which was efectve September 29, 2023. U.S. dollar amounts are presented in thousands, except per share amounts or as otherwise noted.</w:t>
      </w:r>
    </w:p>
    <w:p>
      <w:pPr>
        <w:spacing w:after="0" w:line="16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Overview</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are a Maryland corporaton managed by ACM, an investment advisor registered with the SEC (see Note 8 and Note 14 to the consolidated fnancial statements). We have elected to be taxed as a REIT under the Code. We believe that we are organized in conformity with the requirements for qualifcaton as a REIT under the Code and our manner of operatons enables us to meet the requirements for taxaton as a REIT for federal income tax purposes.</w:t>
      </w:r>
    </w:p>
    <w:p>
      <w:pPr>
        <w:spacing w:after="0" w:line="169" w:lineRule="exact"/>
        <w:rPr>
          <w:sz w:val="20"/>
          <w:szCs w:val="20"/>
          <w:color w:val="auto"/>
        </w:rPr>
      </w:pPr>
    </w:p>
    <w:p>
      <w:pPr>
        <w:jc w:val="both"/>
        <w:ind w:firstLine="619"/>
        <w:spacing w:after="0" w:line="223" w:lineRule="auto"/>
        <w:rPr>
          <w:sz w:val="20"/>
          <w:szCs w:val="20"/>
          <w:color w:val="auto"/>
        </w:rPr>
      </w:pPr>
      <w:r>
        <w:rPr>
          <w:rFonts w:ascii="Calibri" w:cs="Calibri" w:eastAsia="Calibri" w:hAnsi="Calibri"/>
          <w:sz w:val="17"/>
          <w:szCs w:val="17"/>
          <w:color w:val="auto"/>
        </w:rPr>
        <w:t>ARMOUR brings private capital into the mortgage markets to support home ownership for a broad and diverse spectrum of Americans. We seek to create stockholder value through thoughtul investment and risk management of a leveraged and diversifed portolio of MBS. We rely on the decades of experience of our management team for (i) MBS securites portolio analysis and selecton, (ii) access to equity capital and repurchase fnancing on potentally atractve rates and terms, and (iii) hedging and liquidity strategies to moderate interest rate and MBS price risk. We prioritze maintaining common share dividends appropriate for the intermediate term rather than focusing on short-term market fuctuatons.</w:t>
      </w:r>
    </w:p>
    <w:p>
      <w:pPr>
        <w:spacing w:after="0" w:line="222" w:lineRule="exact"/>
        <w:rPr>
          <w:sz w:val="20"/>
          <w:szCs w:val="20"/>
          <w:color w:val="auto"/>
        </w:rPr>
      </w:pPr>
    </w:p>
    <w:p>
      <w:pPr>
        <w:jc w:val="both"/>
        <w:ind w:firstLine="619"/>
        <w:spacing w:after="0" w:line="228" w:lineRule="auto"/>
        <w:rPr>
          <w:sz w:val="20"/>
          <w:szCs w:val="20"/>
          <w:color w:val="auto"/>
        </w:rPr>
      </w:pPr>
      <w:r>
        <w:rPr>
          <w:rFonts w:ascii="Calibri" w:cs="Calibri" w:eastAsia="Calibri" w:hAnsi="Calibri"/>
          <w:sz w:val="17"/>
          <w:szCs w:val="17"/>
          <w:color w:val="auto"/>
        </w:rPr>
        <w:t>We are deeply commited to implementng sustainable environmental, responsible social, and prudent governance practces that improve our work and our world. We strive to contribute to a healthy, sustainable environment by utlizing resources efciently. As an organizaton, we create a relatvely small environmental footprint. Stll, we are focused on minimizing the environmental impact of our business where possible.</w:t>
      </w:r>
    </w:p>
    <w:p>
      <w:pPr>
        <w:spacing w:after="0" w:line="234"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At December 31, 2023 and December 31, 2022, we invested in MBS, issued or guaranteed by a U.S. GSE, such as Fannie Mae, Freddie Mac, or a government agency such as Ginnie Mae (collectvely, Agency Securites). Our Agency Securites consist of fxed rate loans. From tme to tme we have also invested in U.S. Treasury Securites and money market instruments.</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earn returns on the spread between the yield on our assets and our costs, including the interest cost of the funds we borrow, afer giving efect to our hedges. We identfy and acquire MBS, fnance our acquisitons with borrowings under a series of short-term repurchase agreements and then hedge certain risks based on our entre portolio of assets and liabilites and our management’s view of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1163955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440055</wp:posOffset>
            </wp:positionV>
            <wp:extent cx="458470" cy="5073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6" w:name="page47"/>
    <w:bookmarkEnd w:id="46"/>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45</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Factors that Afect our Results of Operatons and Financial Conditon</w:t>
      </w:r>
    </w:p>
    <w:p>
      <w:pPr>
        <w:spacing w:after="0" w:line="105" w:lineRule="exact"/>
        <w:rPr>
          <w:sz w:val="20"/>
          <w:szCs w:val="20"/>
          <w:color w:val="auto"/>
        </w:rPr>
      </w:pPr>
    </w:p>
    <w:p>
      <w:pPr>
        <w:jc w:val="both"/>
        <w:ind w:firstLine="619"/>
        <w:spacing w:after="0" w:line="255" w:lineRule="auto"/>
        <w:rPr>
          <w:sz w:val="20"/>
          <w:szCs w:val="20"/>
          <w:color w:val="auto"/>
        </w:rPr>
      </w:pPr>
      <w:r>
        <w:rPr>
          <w:rFonts w:ascii="Calibri" w:cs="Calibri" w:eastAsia="Calibri" w:hAnsi="Calibri"/>
          <w:sz w:val="16"/>
          <w:szCs w:val="16"/>
          <w:color w:val="auto"/>
        </w:rPr>
        <w:t>Our results of operatons and fnancial conditon are afected by various factors, many of which are beyond our control, including, among other things, our net interest income, the market value of our assets and the supply of and demand for such assets. Recent events, such as those discussed below, can afect our business in ways that are difcult to predict and may produce results outside of typical operatng variances. Our net interest income varies primarily as a result of changes in interest rates, borrowing costs and prepayment speeds, the behavior of which involves various risks and uncertaintes. We currently invest primarily in Agency Securites, for which the principal and interest payments are guaranteed by a GSE or other government agency. We also invest in U.S. Treasury Securites and money market instruments. We expect our investments to be subject to risks arising from prepayments resultng from existng home sales, fnancings, delinquencies and foreclosures. We are exposed to changing mortgage spreads, which could result in declines in the fair value of our investments. Our asset selecton, fnancing and hedging strategies are designed to work together to generate current net interest income while moderatng our exposure to market volatlity.</w:t>
      </w:r>
    </w:p>
    <w:p>
      <w:pPr>
        <w:spacing w:after="0" w:line="168"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Interest Rates</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Changes in interest rates, partcularly short-term interest rates, may signifcantly infuence our net interest income. With the maturites of our assets, generally of a longer term than those of our liabilites, interest rate increases will tend to decrease our net interest income and the market value of our assets (and therefore our book value). Such rate increases could possibly result in operatng losses or adversely afect our ability to make distributons to our stockholders. Our operatng results depend, in large part, upon our ability to manage interest rate risks efectvely while maintaining our status as a REIT.</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While we use strategies to economically hedge some of our interest rate risk, we do not hedge all of our exposure to changes in interest rates and prepayment rates, as there are practcal limitatons on our ability to insulate our securites portolio from all potental negatve consequences associated with changes in short-term interest rates in a manner that will allow us to seek atractve net spreads on our securites portolio. For GAAP purposes, all changes in the fair value of our derivatves currently fow through earnings. Changes in the fair value of our legacy Agency MBS portolio, that was designated as available for sale historically, were recognized in other comprehensive income. Therefore, historical earnings reported in accordance with GAAP have fuctuated even in situatons where our derivatves were operatng as intended. Currently, all of our Agency MBS portolio is designated as trading securites and changes in the fair values of our derivatves and Agency MBS fow through earnings together. Accordingly, our results of operatons will not be subject to the additonal fuctuatons caused by the previous diferences in mark-to-market accountng treatments.</w:t>
      </w:r>
    </w:p>
    <w:p>
      <w:pPr>
        <w:spacing w:after="0" w:line="182"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Prepayment Rates</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Prepayments on MBS and the underlying mortgage loans may be infuenced by changes in market interest rates and a variety of economic and geographic factors, policy decisions by regulators, as well as other factors beyond our control. To the extent we hold MBS acquired at a premium or discount to par, or face value, changes in prepayment rates may impact our antcipated yield. In periods of declining interest rates, prepayments on our MBS will likely increase. If we are unable to reinvest the proceeds of such prepayments at comparable yields, our net interest income may decline. Our operatng results depend, in large part, upon our ability to manage prepayment risks efectvely while maintaining our status as a REIT.</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In additon to the use of derivatves to hedge interest rate risk, a variety of other factors relatng to our business may also impact our fnancial conditon and operatng performance; these factors include:</w:t>
      </w:r>
    </w:p>
    <w:p>
      <w:pPr>
        <w:spacing w:after="0" w:line="181" w:lineRule="exact"/>
        <w:rPr>
          <w:sz w:val="20"/>
          <w:szCs w:val="20"/>
          <w:color w:val="auto"/>
        </w:rPr>
      </w:pPr>
    </w:p>
    <w:p>
      <w:pPr>
        <w:ind w:left="620" w:hanging="307"/>
        <w:spacing w:after="0"/>
        <w:tabs>
          <w:tab w:leader="none" w:pos="620"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our degree of leverage;</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our access to funding and borrowing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1082040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358140</wp:posOffset>
            </wp:positionV>
            <wp:extent cx="458470" cy="5073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47" w:name="page48"/>
    <w:bookmarkEnd w:id="47"/>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ind w:left="11080"/>
        <w:spacing w:after="0"/>
        <w:rPr>
          <w:sz w:val="20"/>
          <w:szCs w:val="20"/>
          <w:color w:val="auto"/>
        </w:rPr>
      </w:pPr>
      <w:r>
        <w:rPr>
          <w:rFonts w:ascii="Calibri" w:cs="Calibri" w:eastAsia="Calibri" w:hAnsi="Calibri"/>
          <w:sz w:val="15"/>
          <w:szCs w:val="15"/>
          <w:color w:val="1C4787"/>
        </w:rPr>
        <w:t>46</w:t>
      </w:r>
    </w:p>
    <w:p>
      <w:pPr>
        <w:spacing w:after="0" w:line="200" w:lineRule="exact"/>
        <w:rPr>
          <w:sz w:val="20"/>
          <w:szCs w:val="20"/>
          <w:color w:val="auto"/>
        </w:rPr>
      </w:pPr>
    </w:p>
    <w:p>
      <w:pPr>
        <w:spacing w:after="0" w:line="321" w:lineRule="exact"/>
        <w:rPr>
          <w:sz w:val="20"/>
          <w:szCs w:val="20"/>
          <w:color w:val="auto"/>
        </w:rPr>
      </w:pPr>
    </w:p>
    <w:p>
      <w:pPr>
        <w:ind w:left="620" w:hanging="307"/>
        <w:spacing w:after="0"/>
        <w:tabs>
          <w:tab w:leader="none" w:pos="620" w:val="left"/>
        </w:tabs>
        <w:numPr>
          <w:ilvl w:val="0"/>
          <w:numId w:val="16"/>
        </w:numPr>
        <w:rPr>
          <w:rFonts w:ascii="Calibri" w:cs="Calibri" w:eastAsia="Calibri" w:hAnsi="Calibri"/>
          <w:sz w:val="17"/>
          <w:szCs w:val="17"/>
          <w:color w:val="auto"/>
        </w:rPr>
      </w:pPr>
      <w:r>
        <w:rPr>
          <w:rFonts w:ascii="Calibri" w:cs="Calibri" w:eastAsia="Calibri" w:hAnsi="Calibri"/>
          <w:sz w:val="17"/>
          <w:szCs w:val="17"/>
          <w:color w:val="auto"/>
        </w:rPr>
        <w:t>the REIT requirements under the Code; and</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16"/>
        </w:numPr>
        <w:rPr>
          <w:rFonts w:ascii="Calibri" w:cs="Calibri" w:eastAsia="Calibri" w:hAnsi="Calibri"/>
          <w:sz w:val="17"/>
          <w:szCs w:val="17"/>
          <w:color w:val="auto"/>
        </w:rPr>
      </w:pPr>
      <w:r>
        <w:rPr>
          <w:rFonts w:ascii="Calibri" w:cs="Calibri" w:eastAsia="Calibri" w:hAnsi="Calibri"/>
          <w:sz w:val="17"/>
          <w:szCs w:val="17"/>
          <w:color w:val="auto"/>
        </w:rPr>
        <w:t>the requirements to qualify for an exclusion under the 1940 Act and other regulatory and accountng policies related to our business.</w:t>
      </w:r>
    </w:p>
    <w:p>
      <w:pPr>
        <w:spacing w:after="0" w:line="17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Management</w:t>
      </w:r>
    </w:p>
    <w:p>
      <w:pPr>
        <w:spacing w:after="0" w:line="102"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 xml:space="preserve">See secton ttled </w:t>
      </w:r>
      <w:r>
        <w:rPr>
          <w:rFonts w:ascii="Calibri" w:cs="Calibri" w:eastAsia="Calibri" w:hAnsi="Calibri"/>
          <w:sz w:val="17"/>
          <w:szCs w:val="17"/>
          <w:i w:val="1"/>
          <w:iCs w:val="1"/>
          <w:color w:val="auto"/>
        </w:rPr>
        <w:t>Management</w:t>
      </w:r>
      <w:r>
        <w:rPr>
          <w:rFonts w:ascii="Calibri" w:cs="Calibri" w:eastAsia="Calibri" w:hAnsi="Calibri"/>
          <w:sz w:val="17"/>
          <w:szCs w:val="17"/>
          <w:color w:val="auto"/>
        </w:rPr>
        <w:t xml:space="preserve"> in Item 1. Business and also in Note 8 and Note 14 to the consolidated fnancial statements.</w:t>
      </w:r>
    </w:p>
    <w:p>
      <w:pPr>
        <w:spacing w:after="0" w:line="1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Market and Interest Rate Trends and the Efect on our Securites Portolio</w:t>
      </w:r>
    </w:p>
    <w:p>
      <w:pPr>
        <w:spacing w:after="0" w:line="102"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Federal Reserve Actons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On December 13, 2023, the Fed kept its target range for the Federal Funds Rate unchanged at 5.25% to 5.50%, which they had set on July 26, 2023 and maintained on September 20, 2023. The Fed stated that they will contnue to assess additonal informaton and its implicatons for monetary policy. The Fed further stated that in determining the extent of additonal policy adjustments that may be appropriate to return infaton to 2% over tme, the Fed will take into account the cumulatve tghtening of monetary policy, the lags with which monetary policy afects economic actvity and infaton, and economic and fnancial developments.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Fed also stated that it will contnue reducing its holdings of agency mortgage-backed securites and other fxed-income assets as described in its previously announced plans and that it will reinvest into agency MBS the amount of principal payments from the Fed's holdings of agency debt and agency MBS received in each calendar month that exceeds a cap of $35 billion per month. The Fed further indicated that it will roll over at aucton the amount of principal payments from its holdings of Treasury securites maturing in each calendar month that exceeds a cap of $60 billion per month.</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Financial markets will likely be highly sensitve to the Fed’s interest rate decisions, its bond purchasing and balance sheet holding decisions, as well as its communicaton. We intend to contnue to mitgate risk and maximize liquidity within the scope of our business plan. The agency mortgage-backed securites market remains highly dependent on the future course and tming of the Fed's actons on interest rates as well as its purchases and holdings of our target assets.</w:t>
      </w:r>
    </w:p>
    <w:p>
      <w:pPr>
        <w:spacing w:after="0" w:line="166"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Developments at Fannie Mae and Freddie Mac</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payments we receive on the Agency Securites in which we invest depend upon a steady stream of payments by borrowers on the underlying mortgages and the fulfllment of guarantees by GSEs. There can be no assurance that the U.S. Government's interventon in Fannie Mae and Freddie Mac will contnue to be adequate or assured for the longer-term viability of these GSEs. These uncertaintes may lead to concerns about the availability of and market for Agency Securites in the long term. Accordingly, if the GSEs defaulted on their guaranteed obligatons, sufered losses or ceased to exist, the value of our Agency Securites and our business, operatons and fnancial conditon could be materially and adversely afected.</w:t>
      </w:r>
    </w:p>
    <w:p>
      <w:pPr>
        <w:spacing w:after="0" w:line="16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Short-term Interest Rates and Funding Costs</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Changes in Fed policy afect our fnancial results, since our cost of funds is largely dependent on short-term rates. An increase in our cost of funds without a corresponding increase in interest income earned on our MBS would cause our net income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1164590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440690</wp:posOffset>
            </wp:positionV>
            <wp:extent cx="458470" cy="5073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48" w:name="page49"/>
    <w:bookmarkEnd w:id="48"/>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47</w:t>
      </w:r>
    </w:p>
    <w:p>
      <w:pPr>
        <w:spacing w:after="0" w:line="200" w:lineRule="exact"/>
        <w:rPr>
          <w:sz w:val="20"/>
          <w:szCs w:val="20"/>
          <w:color w:val="auto"/>
        </w:rPr>
      </w:pPr>
    </w:p>
    <w:p>
      <w:pPr>
        <w:spacing w:after="0" w:line="302"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Below is the Fed's target range for the Federal Funds Rate at each Fed meetng where a change was made since March 2022.</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6480" w:type="dxa"/>
            <w:vAlign w:val="bottom"/>
            <w:gridSpan w:val="2"/>
            <w:shd w:val="clear" w:color="auto" w:fill="E6ECFF"/>
          </w:tcPr>
          <w:p>
            <w:pPr>
              <w:ind w:left="2700"/>
              <w:spacing w:after="0"/>
              <w:rPr>
                <w:sz w:val="20"/>
                <w:szCs w:val="20"/>
                <w:color w:val="auto"/>
              </w:rPr>
            </w:pPr>
            <w:r>
              <w:rPr>
                <w:rFonts w:ascii="Calibri" w:cs="Calibri" w:eastAsia="Calibri" w:hAnsi="Calibri"/>
                <w:sz w:val="17"/>
                <w:szCs w:val="17"/>
                <w:b w:val="1"/>
                <w:bCs w:val="1"/>
                <w:color w:val="1C4787"/>
              </w:rPr>
              <w:t>Meetng Date</w:t>
            </w:r>
          </w:p>
        </w:tc>
        <w:tc>
          <w:tcPr>
            <w:tcW w:w="2420" w:type="dxa"/>
            <w:vAlign w:val="bottom"/>
            <w:gridSpan w:val="2"/>
            <w:shd w:val="clear" w:color="auto" w:fill="E6ECFF"/>
          </w:tcPr>
          <w:p>
            <w:pPr>
              <w:ind w:left="680"/>
              <w:spacing w:after="0"/>
              <w:rPr>
                <w:sz w:val="20"/>
                <w:szCs w:val="20"/>
                <w:color w:val="auto"/>
              </w:rPr>
            </w:pPr>
            <w:r>
              <w:rPr>
                <w:rFonts w:ascii="Calibri" w:cs="Calibri" w:eastAsia="Calibri" w:hAnsi="Calibri"/>
                <w:sz w:val="17"/>
                <w:szCs w:val="17"/>
                <w:b w:val="1"/>
                <w:bCs w:val="1"/>
                <w:color w:val="1C4787"/>
              </w:rPr>
              <w:t>Lower Bound</w:t>
            </w:r>
          </w:p>
        </w:tc>
        <w:tc>
          <w:tcPr>
            <w:tcW w:w="2320" w:type="dxa"/>
            <w:vAlign w:val="bottom"/>
            <w:shd w:val="clear" w:color="auto" w:fill="E6ECFF"/>
          </w:tcPr>
          <w:p>
            <w:pPr>
              <w:jc w:val="right"/>
              <w:ind w:right="594"/>
              <w:spacing w:after="0"/>
              <w:rPr>
                <w:sz w:val="20"/>
                <w:szCs w:val="20"/>
                <w:color w:val="auto"/>
              </w:rPr>
            </w:pPr>
            <w:r>
              <w:rPr>
                <w:rFonts w:ascii="Calibri" w:cs="Calibri" w:eastAsia="Calibri" w:hAnsi="Calibri"/>
                <w:sz w:val="17"/>
                <w:szCs w:val="17"/>
                <w:b w:val="1"/>
                <w:bCs w:val="1"/>
                <w:color w:val="1C4787"/>
              </w:rPr>
              <w:t>Higher Bound</w:t>
            </w:r>
          </w:p>
        </w:tc>
      </w:tr>
      <w:tr>
        <w:trPr>
          <w:trHeight w:val="205"/>
        </w:trPr>
        <w:tc>
          <w:tcPr>
            <w:tcW w:w="636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July 26, 2023</w:t>
            </w:r>
          </w:p>
        </w:tc>
        <w:tc>
          <w:tcPr>
            <w:tcW w:w="120" w:type="dxa"/>
            <w:vAlign w:val="bottom"/>
          </w:tcPr>
          <w:p>
            <w:pPr>
              <w:spacing w:after="0"/>
              <w:rPr>
                <w:sz w:val="17"/>
                <w:szCs w:val="17"/>
                <w:color w:val="auto"/>
              </w:rPr>
            </w:pPr>
          </w:p>
        </w:tc>
        <w:tc>
          <w:tcPr>
            <w:tcW w:w="230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5.25 %</w:t>
            </w:r>
          </w:p>
        </w:tc>
        <w:tc>
          <w:tcPr>
            <w:tcW w:w="120" w:type="dxa"/>
            <w:vAlign w:val="bottom"/>
          </w:tcPr>
          <w:p>
            <w:pPr>
              <w:spacing w:after="0"/>
              <w:rPr>
                <w:sz w:val="17"/>
                <w:szCs w:val="17"/>
                <w:color w:val="auto"/>
              </w:rPr>
            </w:pPr>
          </w:p>
        </w:tc>
        <w:tc>
          <w:tcPr>
            <w:tcW w:w="232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5.50 %</w:t>
            </w:r>
          </w:p>
        </w:tc>
      </w:tr>
      <w:tr>
        <w:trPr>
          <w:trHeight w:val="226"/>
        </w:trPr>
        <w:tc>
          <w:tcPr>
            <w:tcW w:w="6480" w:type="dxa"/>
            <w:vAlign w:val="bottom"/>
            <w:gridSpan w:val="2"/>
            <w:shd w:val="clear" w:color="auto" w:fill="E6ECFF"/>
          </w:tcPr>
          <w:p>
            <w:pPr>
              <w:ind w:left="20"/>
              <w:spacing w:after="0"/>
              <w:rPr>
                <w:sz w:val="20"/>
                <w:szCs w:val="20"/>
                <w:color w:val="auto"/>
              </w:rPr>
            </w:pPr>
            <w:r>
              <w:rPr>
                <w:rFonts w:ascii="Calibri" w:cs="Calibri" w:eastAsia="Calibri" w:hAnsi="Calibri"/>
                <w:sz w:val="17"/>
                <w:szCs w:val="17"/>
                <w:color w:val="auto"/>
              </w:rPr>
              <w:t>May 3, 2023</w:t>
            </w:r>
          </w:p>
        </w:tc>
        <w:tc>
          <w:tcPr>
            <w:tcW w:w="23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5.00 %</w:t>
            </w:r>
          </w:p>
        </w:tc>
        <w:tc>
          <w:tcPr>
            <w:tcW w:w="120" w:type="dxa"/>
            <w:vAlign w:val="bottom"/>
            <w:shd w:val="clear" w:color="auto" w:fill="E6ECFF"/>
          </w:tcPr>
          <w:p>
            <w:pPr>
              <w:spacing w:after="0"/>
              <w:rPr>
                <w:sz w:val="19"/>
                <w:szCs w:val="19"/>
                <w:color w:val="auto"/>
              </w:rPr>
            </w:pPr>
          </w:p>
        </w:tc>
        <w:tc>
          <w:tcPr>
            <w:tcW w:w="232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5.25 %</w:t>
            </w:r>
          </w:p>
        </w:tc>
      </w:tr>
      <w:tr>
        <w:trPr>
          <w:trHeight w:val="212"/>
        </w:trPr>
        <w:tc>
          <w:tcPr>
            <w:tcW w:w="64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March 22, 2023</w:t>
            </w:r>
          </w:p>
        </w:tc>
        <w:tc>
          <w:tcPr>
            <w:tcW w:w="2300" w:type="dxa"/>
            <w:vAlign w:val="bottom"/>
          </w:tcPr>
          <w:p>
            <w:pPr>
              <w:jc w:val="right"/>
              <w:spacing w:after="0" w:line="205" w:lineRule="exact"/>
              <w:rPr>
                <w:sz w:val="20"/>
                <w:szCs w:val="20"/>
                <w:color w:val="auto"/>
              </w:rPr>
            </w:pPr>
            <w:r>
              <w:rPr>
                <w:rFonts w:ascii="Calibri" w:cs="Calibri" w:eastAsia="Calibri" w:hAnsi="Calibri"/>
                <w:sz w:val="17"/>
                <w:szCs w:val="17"/>
                <w:color w:val="auto"/>
              </w:rPr>
              <w:t>4.75 %</w:t>
            </w:r>
          </w:p>
        </w:tc>
        <w:tc>
          <w:tcPr>
            <w:tcW w:w="120" w:type="dxa"/>
            <w:vAlign w:val="bottom"/>
          </w:tcPr>
          <w:p>
            <w:pPr>
              <w:spacing w:after="0"/>
              <w:rPr>
                <w:sz w:val="18"/>
                <w:szCs w:val="18"/>
                <w:color w:val="auto"/>
              </w:rPr>
            </w:pPr>
          </w:p>
        </w:tc>
        <w:tc>
          <w:tcPr>
            <w:tcW w:w="2320" w:type="dxa"/>
            <w:vAlign w:val="bottom"/>
          </w:tcPr>
          <w:p>
            <w:pPr>
              <w:jc w:val="right"/>
              <w:spacing w:after="0" w:line="205" w:lineRule="exact"/>
              <w:rPr>
                <w:sz w:val="20"/>
                <w:szCs w:val="20"/>
                <w:color w:val="auto"/>
              </w:rPr>
            </w:pPr>
            <w:r>
              <w:rPr>
                <w:rFonts w:ascii="Calibri" w:cs="Calibri" w:eastAsia="Calibri" w:hAnsi="Calibri"/>
                <w:sz w:val="17"/>
                <w:szCs w:val="17"/>
                <w:color w:val="auto"/>
              </w:rPr>
              <w:t>5.00 %</w:t>
            </w:r>
          </w:p>
        </w:tc>
      </w:tr>
      <w:tr>
        <w:trPr>
          <w:trHeight w:val="226"/>
        </w:trPr>
        <w:tc>
          <w:tcPr>
            <w:tcW w:w="6480" w:type="dxa"/>
            <w:vAlign w:val="bottom"/>
            <w:gridSpan w:val="2"/>
            <w:shd w:val="clear" w:color="auto" w:fill="E6ECFF"/>
          </w:tcPr>
          <w:p>
            <w:pPr>
              <w:ind w:left="20"/>
              <w:spacing w:after="0"/>
              <w:rPr>
                <w:sz w:val="20"/>
                <w:szCs w:val="20"/>
                <w:color w:val="auto"/>
              </w:rPr>
            </w:pPr>
            <w:r>
              <w:rPr>
                <w:rFonts w:ascii="Calibri" w:cs="Calibri" w:eastAsia="Calibri" w:hAnsi="Calibri"/>
                <w:sz w:val="17"/>
                <w:szCs w:val="17"/>
                <w:color w:val="auto"/>
              </w:rPr>
              <w:t>February 1, 2023</w:t>
            </w:r>
          </w:p>
        </w:tc>
        <w:tc>
          <w:tcPr>
            <w:tcW w:w="23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4.50 %</w:t>
            </w:r>
          </w:p>
        </w:tc>
        <w:tc>
          <w:tcPr>
            <w:tcW w:w="120" w:type="dxa"/>
            <w:vAlign w:val="bottom"/>
            <w:shd w:val="clear" w:color="auto" w:fill="E6ECFF"/>
          </w:tcPr>
          <w:p>
            <w:pPr>
              <w:spacing w:after="0"/>
              <w:rPr>
                <w:sz w:val="19"/>
                <w:szCs w:val="19"/>
                <w:color w:val="auto"/>
              </w:rPr>
            </w:pPr>
          </w:p>
        </w:tc>
        <w:tc>
          <w:tcPr>
            <w:tcW w:w="232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4.75 %</w:t>
            </w:r>
          </w:p>
        </w:tc>
      </w:tr>
      <w:tr>
        <w:trPr>
          <w:trHeight w:val="212"/>
        </w:trPr>
        <w:tc>
          <w:tcPr>
            <w:tcW w:w="64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December 14, 2022</w:t>
            </w:r>
          </w:p>
        </w:tc>
        <w:tc>
          <w:tcPr>
            <w:tcW w:w="2300" w:type="dxa"/>
            <w:vAlign w:val="bottom"/>
          </w:tcPr>
          <w:p>
            <w:pPr>
              <w:jc w:val="right"/>
              <w:spacing w:after="0" w:line="205" w:lineRule="exact"/>
              <w:rPr>
                <w:sz w:val="20"/>
                <w:szCs w:val="20"/>
                <w:color w:val="auto"/>
              </w:rPr>
            </w:pPr>
            <w:r>
              <w:rPr>
                <w:rFonts w:ascii="Calibri" w:cs="Calibri" w:eastAsia="Calibri" w:hAnsi="Calibri"/>
                <w:sz w:val="17"/>
                <w:szCs w:val="17"/>
                <w:color w:val="auto"/>
              </w:rPr>
              <w:t>4.25 %</w:t>
            </w:r>
          </w:p>
        </w:tc>
        <w:tc>
          <w:tcPr>
            <w:tcW w:w="120" w:type="dxa"/>
            <w:vAlign w:val="bottom"/>
          </w:tcPr>
          <w:p>
            <w:pPr>
              <w:spacing w:after="0"/>
              <w:rPr>
                <w:sz w:val="18"/>
                <w:szCs w:val="18"/>
                <w:color w:val="auto"/>
              </w:rPr>
            </w:pPr>
          </w:p>
        </w:tc>
        <w:tc>
          <w:tcPr>
            <w:tcW w:w="2320" w:type="dxa"/>
            <w:vAlign w:val="bottom"/>
          </w:tcPr>
          <w:p>
            <w:pPr>
              <w:jc w:val="right"/>
              <w:spacing w:after="0" w:line="205" w:lineRule="exact"/>
              <w:rPr>
                <w:sz w:val="20"/>
                <w:szCs w:val="20"/>
                <w:color w:val="auto"/>
              </w:rPr>
            </w:pPr>
            <w:r>
              <w:rPr>
                <w:rFonts w:ascii="Calibri" w:cs="Calibri" w:eastAsia="Calibri" w:hAnsi="Calibri"/>
                <w:sz w:val="17"/>
                <w:szCs w:val="17"/>
                <w:color w:val="auto"/>
              </w:rPr>
              <w:t>4.50 %</w:t>
            </w:r>
          </w:p>
        </w:tc>
      </w:tr>
      <w:tr>
        <w:trPr>
          <w:trHeight w:val="226"/>
        </w:trPr>
        <w:tc>
          <w:tcPr>
            <w:tcW w:w="6480" w:type="dxa"/>
            <w:vAlign w:val="bottom"/>
            <w:gridSpan w:val="2"/>
            <w:shd w:val="clear" w:color="auto" w:fill="E6ECFF"/>
          </w:tcPr>
          <w:p>
            <w:pPr>
              <w:ind w:left="20"/>
              <w:spacing w:after="0"/>
              <w:rPr>
                <w:sz w:val="20"/>
                <w:szCs w:val="20"/>
                <w:color w:val="auto"/>
              </w:rPr>
            </w:pPr>
            <w:r>
              <w:rPr>
                <w:rFonts w:ascii="Calibri" w:cs="Calibri" w:eastAsia="Calibri" w:hAnsi="Calibri"/>
                <w:sz w:val="17"/>
                <w:szCs w:val="17"/>
                <w:color w:val="auto"/>
              </w:rPr>
              <w:t>November 2, 2022</w:t>
            </w:r>
          </w:p>
        </w:tc>
        <w:tc>
          <w:tcPr>
            <w:tcW w:w="23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3.75 %</w:t>
            </w:r>
          </w:p>
        </w:tc>
        <w:tc>
          <w:tcPr>
            <w:tcW w:w="120" w:type="dxa"/>
            <w:vAlign w:val="bottom"/>
            <w:shd w:val="clear" w:color="auto" w:fill="E6ECFF"/>
          </w:tcPr>
          <w:p>
            <w:pPr>
              <w:spacing w:after="0"/>
              <w:rPr>
                <w:sz w:val="19"/>
                <w:szCs w:val="19"/>
                <w:color w:val="auto"/>
              </w:rPr>
            </w:pPr>
          </w:p>
        </w:tc>
        <w:tc>
          <w:tcPr>
            <w:tcW w:w="232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4.00 %</w:t>
            </w:r>
          </w:p>
        </w:tc>
      </w:tr>
      <w:tr>
        <w:trPr>
          <w:trHeight w:val="212"/>
        </w:trPr>
        <w:tc>
          <w:tcPr>
            <w:tcW w:w="64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September 21, 2022</w:t>
            </w:r>
          </w:p>
        </w:tc>
        <w:tc>
          <w:tcPr>
            <w:tcW w:w="2300" w:type="dxa"/>
            <w:vAlign w:val="bottom"/>
          </w:tcPr>
          <w:p>
            <w:pPr>
              <w:jc w:val="right"/>
              <w:spacing w:after="0" w:line="205" w:lineRule="exact"/>
              <w:rPr>
                <w:sz w:val="20"/>
                <w:szCs w:val="20"/>
                <w:color w:val="auto"/>
              </w:rPr>
            </w:pPr>
            <w:r>
              <w:rPr>
                <w:rFonts w:ascii="Calibri" w:cs="Calibri" w:eastAsia="Calibri" w:hAnsi="Calibri"/>
                <w:sz w:val="17"/>
                <w:szCs w:val="17"/>
                <w:color w:val="auto"/>
              </w:rPr>
              <w:t>3.00 %</w:t>
            </w:r>
          </w:p>
        </w:tc>
        <w:tc>
          <w:tcPr>
            <w:tcW w:w="120" w:type="dxa"/>
            <w:vAlign w:val="bottom"/>
          </w:tcPr>
          <w:p>
            <w:pPr>
              <w:spacing w:after="0"/>
              <w:rPr>
                <w:sz w:val="18"/>
                <w:szCs w:val="18"/>
                <w:color w:val="auto"/>
              </w:rPr>
            </w:pPr>
          </w:p>
        </w:tc>
        <w:tc>
          <w:tcPr>
            <w:tcW w:w="2320" w:type="dxa"/>
            <w:vAlign w:val="bottom"/>
          </w:tcPr>
          <w:p>
            <w:pPr>
              <w:jc w:val="right"/>
              <w:spacing w:after="0" w:line="205" w:lineRule="exact"/>
              <w:rPr>
                <w:sz w:val="20"/>
                <w:szCs w:val="20"/>
                <w:color w:val="auto"/>
              </w:rPr>
            </w:pPr>
            <w:r>
              <w:rPr>
                <w:rFonts w:ascii="Calibri" w:cs="Calibri" w:eastAsia="Calibri" w:hAnsi="Calibri"/>
                <w:sz w:val="17"/>
                <w:szCs w:val="17"/>
                <w:color w:val="auto"/>
              </w:rPr>
              <w:t>3.25 %</w:t>
            </w:r>
          </w:p>
        </w:tc>
      </w:tr>
      <w:tr>
        <w:trPr>
          <w:trHeight w:val="226"/>
        </w:trPr>
        <w:tc>
          <w:tcPr>
            <w:tcW w:w="6480" w:type="dxa"/>
            <w:vAlign w:val="bottom"/>
            <w:gridSpan w:val="2"/>
            <w:shd w:val="clear" w:color="auto" w:fill="E6ECFF"/>
          </w:tcPr>
          <w:p>
            <w:pPr>
              <w:ind w:left="20"/>
              <w:spacing w:after="0"/>
              <w:rPr>
                <w:sz w:val="20"/>
                <w:szCs w:val="20"/>
                <w:color w:val="auto"/>
              </w:rPr>
            </w:pPr>
            <w:r>
              <w:rPr>
                <w:rFonts w:ascii="Calibri" w:cs="Calibri" w:eastAsia="Calibri" w:hAnsi="Calibri"/>
                <w:sz w:val="17"/>
                <w:szCs w:val="17"/>
                <w:color w:val="auto"/>
              </w:rPr>
              <w:t>July 27, 2022</w:t>
            </w:r>
          </w:p>
        </w:tc>
        <w:tc>
          <w:tcPr>
            <w:tcW w:w="23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2.25 %</w:t>
            </w:r>
          </w:p>
        </w:tc>
        <w:tc>
          <w:tcPr>
            <w:tcW w:w="120" w:type="dxa"/>
            <w:vAlign w:val="bottom"/>
            <w:shd w:val="clear" w:color="auto" w:fill="E6ECFF"/>
          </w:tcPr>
          <w:p>
            <w:pPr>
              <w:spacing w:after="0"/>
              <w:rPr>
                <w:sz w:val="19"/>
                <w:szCs w:val="19"/>
                <w:color w:val="auto"/>
              </w:rPr>
            </w:pPr>
          </w:p>
        </w:tc>
        <w:tc>
          <w:tcPr>
            <w:tcW w:w="232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2.50 %</w:t>
            </w:r>
          </w:p>
        </w:tc>
      </w:tr>
      <w:tr>
        <w:trPr>
          <w:trHeight w:val="212"/>
        </w:trPr>
        <w:tc>
          <w:tcPr>
            <w:tcW w:w="64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June 15, 2022</w:t>
            </w:r>
          </w:p>
        </w:tc>
        <w:tc>
          <w:tcPr>
            <w:tcW w:w="2300" w:type="dxa"/>
            <w:vAlign w:val="bottom"/>
          </w:tcPr>
          <w:p>
            <w:pPr>
              <w:jc w:val="right"/>
              <w:spacing w:after="0" w:line="205" w:lineRule="exact"/>
              <w:rPr>
                <w:sz w:val="20"/>
                <w:szCs w:val="20"/>
                <w:color w:val="auto"/>
              </w:rPr>
            </w:pPr>
            <w:r>
              <w:rPr>
                <w:rFonts w:ascii="Calibri" w:cs="Calibri" w:eastAsia="Calibri" w:hAnsi="Calibri"/>
                <w:sz w:val="17"/>
                <w:szCs w:val="17"/>
                <w:color w:val="auto"/>
              </w:rPr>
              <w:t>1.50 %</w:t>
            </w:r>
          </w:p>
        </w:tc>
        <w:tc>
          <w:tcPr>
            <w:tcW w:w="120" w:type="dxa"/>
            <w:vAlign w:val="bottom"/>
          </w:tcPr>
          <w:p>
            <w:pPr>
              <w:spacing w:after="0"/>
              <w:rPr>
                <w:sz w:val="18"/>
                <w:szCs w:val="18"/>
                <w:color w:val="auto"/>
              </w:rPr>
            </w:pPr>
          </w:p>
        </w:tc>
        <w:tc>
          <w:tcPr>
            <w:tcW w:w="2320" w:type="dxa"/>
            <w:vAlign w:val="bottom"/>
          </w:tcPr>
          <w:p>
            <w:pPr>
              <w:jc w:val="right"/>
              <w:spacing w:after="0" w:line="205" w:lineRule="exact"/>
              <w:rPr>
                <w:sz w:val="20"/>
                <w:szCs w:val="20"/>
                <w:color w:val="auto"/>
              </w:rPr>
            </w:pPr>
            <w:r>
              <w:rPr>
                <w:rFonts w:ascii="Calibri" w:cs="Calibri" w:eastAsia="Calibri" w:hAnsi="Calibri"/>
                <w:sz w:val="17"/>
                <w:szCs w:val="17"/>
                <w:color w:val="auto"/>
              </w:rPr>
              <w:t>1.75 %</w:t>
            </w:r>
          </w:p>
        </w:tc>
      </w:tr>
      <w:tr>
        <w:trPr>
          <w:trHeight w:val="226"/>
        </w:trPr>
        <w:tc>
          <w:tcPr>
            <w:tcW w:w="6480" w:type="dxa"/>
            <w:vAlign w:val="bottom"/>
            <w:gridSpan w:val="2"/>
            <w:shd w:val="clear" w:color="auto" w:fill="E6ECFF"/>
          </w:tcPr>
          <w:p>
            <w:pPr>
              <w:ind w:left="20"/>
              <w:spacing w:after="0"/>
              <w:rPr>
                <w:sz w:val="20"/>
                <w:szCs w:val="20"/>
                <w:color w:val="auto"/>
              </w:rPr>
            </w:pPr>
            <w:r>
              <w:rPr>
                <w:rFonts w:ascii="Calibri" w:cs="Calibri" w:eastAsia="Calibri" w:hAnsi="Calibri"/>
                <w:sz w:val="17"/>
                <w:szCs w:val="17"/>
                <w:color w:val="auto"/>
              </w:rPr>
              <w:t>May 4, 2022</w:t>
            </w:r>
          </w:p>
        </w:tc>
        <w:tc>
          <w:tcPr>
            <w:tcW w:w="23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0.75 %</w:t>
            </w:r>
          </w:p>
        </w:tc>
        <w:tc>
          <w:tcPr>
            <w:tcW w:w="120" w:type="dxa"/>
            <w:vAlign w:val="bottom"/>
            <w:shd w:val="clear" w:color="auto" w:fill="E6ECFF"/>
          </w:tcPr>
          <w:p>
            <w:pPr>
              <w:spacing w:after="0"/>
              <w:rPr>
                <w:sz w:val="19"/>
                <w:szCs w:val="19"/>
                <w:color w:val="auto"/>
              </w:rPr>
            </w:pPr>
          </w:p>
        </w:tc>
        <w:tc>
          <w:tcPr>
            <w:tcW w:w="232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1.00 %</w:t>
            </w:r>
          </w:p>
        </w:tc>
      </w:tr>
      <w:tr>
        <w:trPr>
          <w:trHeight w:val="205"/>
        </w:trPr>
        <w:tc>
          <w:tcPr>
            <w:tcW w:w="64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March 16, 2022</w:t>
            </w:r>
          </w:p>
        </w:tc>
        <w:tc>
          <w:tcPr>
            <w:tcW w:w="2300" w:type="dxa"/>
            <w:vAlign w:val="bottom"/>
          </w:tcPr>
          <w:p>
            <w:pPr>
              <w:jc w:val="right"/>
              <w:spacing w:after="0" w:line="205" w:lineRule="exact"/>
              <w:rPr>
                <w:sz w:val="20"/>
                <w:szCs w:val="20"/>
                <w:color w:val="auto"/>
              </w:rPr>
            </w:pPr>
            <w:r>
              <w:rPr>
                <w:rFonts w:ascii="Calibri" w:cs="Calibri" w:eastAsia="Calibri" w:hAnsi="Calibri"/>
                <w:sz w:val="17"/>
                <w:szCs w:val="17"/>
                <w:color w:val="auto"/>
              </w:rPr>
              <w:t>0.25 %</w:t>
            </w:r>
          </w:p>
        </w:tc>
        <w:tc>
          <w:tcPr>
            <w:tcW w:w="120" w:type="dxa"/>
            <w:vAlign w:val="bottom"/>
          </w:tcPr>
          <w:p>
            <w:pPr>
              <w:spacing w:after="0"/>
              <w:rPr>
                <w:sz w:val="17"/>
                <w:szCs w:val="17"/>
                <w:color w:val="auto"/>
              </w:rPr>
            </w:pPr>
          </w:p>
        </w:tc>
        <w:tc>
          <w:tcPr>
            <w:tcW w:w="2320" w:type="dxa"/>
            <w:vAlign w:val="bottom"/>
          </w:tcPr>
          <w:p>
            <w:pPr>
              <w:jc w:val="right"/>
              <w:spacing w:after="0" w:line="205" w:lineRule="exact"/>
              <w:rPr>
                <w:sz w:val="20"/>
                <w:szCs w:val="20"/>
                <w:color w:val="auto"/>
              </w:rPr>
            </w:pPr>
            <w:r>
              <w:rPr>
                <w:rFonts w:ascii="Calibri" w:cs="Calibri" w:eastAsia="Calibri" w:hAnsi="Calibri"/>
                <w:sz w:val="17"/>
                <w:szCs w:val="17"/>
                <w:color w:val="auto"/>
              </w:rPr>
              <w:t>0.50 %</w:t>
            </w:r>
          </w:p>
        </w:tc>
      </w:tr>
    </w:tbl>
    <w:p>
      <w:pPr>
        <w:spacing w:after="0" w:line="251" w:lineRule="exact"/>
        <w:rPr>
          <w:sz w:val="20"/>
          <w:szCs w:val="20"/>
          <w:color w:val="auto"/>
        </w:rPr>
      </w:pPr>
    </w:p>
    <w:p>
      <w:pPr>
        <w:jc w:val="both"/>
        <w:ind w:firstLine="619"/>
        <w:spacing w:after="0" w:line="229" w:lineRule="auto"/>
        <w:rPr>
          <w:sz w:val="20"/>
          <w:szCs w:val="20"/>
          <w:color w:val="auto"/>
        </w:rPr>
      </w:pPr>
      <w:r>
        <w:rPr>
          <w:rFonts w:ascii="Calibri" w:cs="Calibri" w:eastAsia="Calibri" w:hAnsi="Calibri"/>
          <w:sz w:val="17"/>
          <w:szCs w:val="17"/>
          <w:color w:val="auto"/>
        </w:rPr>
        <w:t>Our borrowings in the repurchase market have closely tracked the Federal Funds Rate, and SOFR. Traditonally, a lower Federal Funds Rate has indicated a tme of increased net interest spread and higher asset values. Volatlity in these rates and divergence from the historical relatonship among these rates could negatvely impact our ability to manage our securites portolio. If rates were to increase as a result, our net interest spread and the value of our securites portolio might sufer as a result. Our derivatves are either Federal Funds Rate or SOFR-based interest rate swap contracts (see Note 7 to the consolidated fnancial statements).</w:t>
      </w:r>
    </w:p>
    <w:p>
      <w:pPr>
        <w:spacing w:after="0" w:line="168"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The following graph shows the efectve Federal Funds Rate as compared to SOFR on a monthly basis from December 31, 2021 to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3775710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112395</wp:posOffset>
            </wp:positionV>
            <wp:extent cx="5108575" cy="2463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08575" cy="246380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3051175</wp:posOffset>
            </wp:positionV>
            <wp:extent cx="458470" cy="5073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49" w:name="page50"/>
    <w:bookmarkEnd w:id="49"/>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48</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Long-term Interest Rates and Mortgage Spreads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securites are valued at an interest rate spread versus long-term interest rates (mortgage spread). This mortgage spread varies over tme and can be above or below long-term averages, depending upon market partcipants' current desire to own MBS over other investment alternatves. When the mortgage spread gets smaller (or negatve) versus long-term interest rates, our book value will be positvely afected. When this spread gets larger (or positve), our book value will be negatvely afected.</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Mortgage spreads can vary due to movements in securites valuatons, movements in long-term interest rates or a combinaton of both. We mainly use interest rate swap contracts, interest rate swaptons, basis swap contracts and futures contracts to economically hedge against changes in the valuaton of our securites. We do not use such hedging contracts for speculatve purposes.</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may reduce our mortgage spread exposure by entering in to certain TBA Agency Securites short positons. The TBA short positons may represent diferent securites and maturites than our MBS and TBA Agency Security long positons, and accordingly, may perform somewhat diferently. While we expect our TBA Agency Securites short positons to perform well compared to our related mortgage securites, there can be no assurance as to their relatve performance.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00" w:type="dxa"/>
            <w:vAlign w:val="bottom"/>
            <w:gridSpan w:val="2"/>
          </w:tcPr>
          <w:p>
            <w:pPr>
              <w:spacing w:after="0"/>
              <w:rPr>
                <w:sz w:val="20"/>
                <w:szCs w:val="20"/>
                <w:color w:val="auto"/>
              </w:rPr>
            </w:pPr>
            <w:r>
              <w:rPr>
                <w:rFonts w:ascii="Calibri" w:cs="Calibri" w:eastAsia="Calibri" w:hAnsi="Calibri"/>
                <w:sz w:val="17"/>
                <w:szCs w:val="17"/>
                <w:b w:val="1"/>
                <w:bCs w:val="1"/>
                <w:color w:val="1C4787"/>
              </w:rPr>
              <w:t>Results of Operatons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660" w:type="dxa"/>
            <w:vAlign w:val="bottom"/>
            <w:shd w:val="clear" w:color="auto" w:fill="E6EEFF"/>
          </w:tcPr>
          <w:p>
            <w:pPr>
              <w:spacing w:after="0"/>
              <w:rPr>
                <w:sz w:val="18"/>
                <w:szCs w:val="18"/>
                <w:color w:val="auto"/>
              </w:rPr>
            </w:pPr>
          </w:p>
        </w:tc>
        <w:tc>
          <w:tcPr>
            <w:tcW w:w="480" w:type="dxa"/>
            <w:vAlign w:val="bottom"/>
            <w:tcBorders>
              <w:bottom w:val="single" w:sz="8" w:color="auto"/>
            </w:tcBorders>
            <w:shd w:val="clear" w:color="auto" w:fill="E6EEFF"/>
          </w:tcPr>
          <w:p>
            <w:pPr>
              <w:spacing w:after="0"/>
              <w:rPr>
                <w:sz w:val="18"/>
                <w:szCs w:val="18"/>
                <w:color w:val="auto"/>
              </w:rPr>
            </w:pPr>
          </w:p>
        </w:tc>
        <w:tc>
          <w:tcPr>
            <w:tcW w:w="980" w:type="dxa"/>
            <w:vAlign w:val="bottom"/>
            <w:tcBorders>
              <w:bottom w:val="single" w:sz="8" w:color="auto"/>
            </w:tcBorders>
            <w:shd w:val="clear" w:color="auto" w:fill="E6EEFF"/>
          </w:tcPr>
          <w:p>
            <w:pPr>
              <w:spacing w:after="0"/>
              <w:rPr>
                <w:sz w:val="18"/>
                <w:szCs w:val="18"/>
                <w:color w:val="auto"/>
              </w:rPr>
            </w:pPr>
          </w:p>
        </w:tc>
        <w:tc>
          <w:tcPr>
            <w:tcW w:w="80" w:type="dxa"/>
            <w:vAlign w:val="bottom"/>
            <w:tcBorders>
              <w:bottom w:val="single" w:sz="8" w:color="auto"/>
            </w:tcBorders>
            <w:shd w:val="clear" w:color="auto" w:fill="E6EEFF"/>
          </w:tcPr>
          <w:p>
            <w:pPr>
              <w:spacing w:after="0"/>
              <w:rPr>
                <w:sz w:val="18"/>
                <w:szCs w:val="18"/>
                <w:color w:val="auto"/>
              </w:rPr>
            </w:pPr>
          </w:p>
        </w:tc>
        <w:tc>
          <w:tcPr>
            <w:tcW w:w="1540" w:type="dxa"/>
            <w:vAlign w:val="bottom"/>
            <w:tcBorders>
              <w:bottom w:val="single" w:sz="8" w:color="auto"/>
            </w:tcBorders>
            <w:gridSpan w:val="3"/>
            <w:shd w:val="clear" w:color="auto" w:fill="E6EEFF"/>
          </w:tcPr>
          <w:p>
            <w:pPr>
              <w:ind w:left="40"/>
              <w:spacing w:after="0" w:line="205" w:lineRule="exact"/>
              <w:rPr>
                <w:sz w:val="20"/>
                <w:szCs w:val="20"/>
                <w:color w:val="auto"/>
              </w:rPr>
            </w:pPr>
            <w:r>
              <w:rPr>
                <w:rFonts w:ascii="Calibri" w:cs="Calibri" w:eastAsia="Calibri" w:hAnsi="Calibri"/>
                <w:sz w:val="17"/>
                <w:szCs w:val="17"/>
                <w:b w:val="1"/>
                <w:bCs w:val="1"/>
                <w:color w:val="1C4787"/>
              </w:rPr>
              <w:t>For the Years Ended</w:t>
            </w:r>
          </w:p>
        </w:tc>
        <w:tc>
          <w:tcPr>
            <w:tcW w:w="460" w:type="dxa"/>
            <w:vAlign w:val="bottom"/>
            <w:tcBorders>
              <w:bottom w:val="single" w:sz="8" w:color="auto"/>
            </w:tcBorders>
            <w:shd w:val="clear" w:color="auto" w:fill="E6EEFF"/>
          </w:tcPr>
          <w:p>
            <w:pPr>
              <w:spacing w:after="0"/>
              <w:rPr>
                <w:sz w:val="18"/>
                <w:szCs w:val="18"/>
                <w:color w:val="auto"/>
              </w:rPr>
            </w:pPr>
          </w:p>
        </w:tc>
        <w:tc>
          <w:tcPr>
            <w:tcW w:w="980" w:type="dxa"/>
            <w:vAlign w:val="bottom"/>
            <w:tcBorders>
              <w:bottom w:val="single" w:sz="8" w:color="auto"/>
            </w:tcBorders>
            <w:shd w:val="clear" w:color="auto" w:fill="E6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540" w:type="dxa"/>
            <w:vAlign w:val="bottom"/>
            <w:gridSpan w:val="3"/>
          </w:tcPr>
          <w:p>
            <w:pPr>
              <w:ind w:left="6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540" w:type="dxa"/>
            <w:vAlign w:val="bottom"/>
            <w:gridSpan w:val="3"/>
          </w:tcPr>
          <w:p>
            <w:pPr>
              <w:ind w:left="4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440" w:type="dxa"/>
            <w:vAlign w:val="bottom"/>
            <w:gridSpan w:val="2"/>
          </w:tcPr>
          <w:p>
            <w:pPr>
              <w:jc w:val="right"/>
              <w:spacing w:after="0" w:line="205" w:lineRule="exact"/>
              <w:rPr>
                <w:sz w:val="20"/>
                <w:szCs w:val="20"/>
                <w:color w:val="auto"/>
              </w:rPr>
            </w:pPr>
            <w:r>
              <w:rPr>
                <w:rFonts w:ascii="Calibri" w:cs="Calibri" w:eastAsia="Calibri" w:hAnsi="Calibri"/>
                <w:sz w:val="17"/>
                <w:szCs w:val="17"/>
                <w:b w:val="1"/>
                <w:bCs w:val="1"/>
                <w:color w:val="1C4787"/>
                <w:w w:val="99"/>
              </w:rPr>
              <w:t>December 31, 2021</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6660" w:type="dxa"/>
            <w:vAlign w:val="bottom"/>
            <w:tcBorders>
              <w:top w:val="single" w:sz="8" w:color="E6EEFF"/>
            </w:tcBorders>
            <w:shd w:val="clear" w:color="auto" w:fill="E6EEFF"/>
          </w:tcPr>
          <w:p>
            <w:pPr>
              <w:spacing w:after="0"/>
              <w:rPr>
                <w:sz w:val="20"/>
                <w:szCs w:val="20"/>
                <w:color w:val="auto"/>
              </w:rPr>
            </w:pPr>
          </w:p>
        </w:tc>
        <w:tc>
          <w:tcPr>
            <w:tcW w:w="480" w:type="dxa"/>
            <w:vAlign w:val="bottom"/>
            <w:tcBorders>
              <w:top w:val="single" w:sz="8" w:color="auto"/>
            </w:tcBorders>
            <w:shd w:val="clear" w:color="auto" w:fill="E6EEFF"/>
          </w:tcPr>
          <w:p>
            <w:pPr>
              <w:spacing w:after="0"/>
              <w:rPr>
                <w:sz w:val="20"/>
                <w:szCs w:val="20"/>
                <w:color w:val="auto"/>
              </w:rPr>
            </w:pPr>
          </w:p>
        </w:tc>
        <w:tc>
          <w:tcPr>
            <w:tcW w:w="980" w:type="dxa"/>
            <w:vAlign w:val="bottom"/>
            <w:tcBorders>
              <w:top w:val="single" w:sz="8" w:color="auto"/>
            </w:tcBorders>
            <w:shd w:val="clear" w:color="auto" w:fill="E6EEFF"/>
          </w:tcPr>
          <w:p>
            <w:pPr>
              <w:spacing w:after="0"/>
              <w:rPr>
                <w:sz w:val="20"/>
                <w:szCs w:val="20"/>
                <w:color w:val="auto"/>
              </w:rPr>
            </w:pPr>
          </w:p>
        </w:tc>
        <w:tc>
          <w:tcPr>
            <w:tcW w:w="80" w:type="dxa"/>
            <w:vAlign w:val="bottom"/>
            <w:tcBorders>
              <w:top w:val="single" w:sz="8" w:color="E6EEFF"/>
            </w:tcBorders>
            <w:shd w:val="clear" w:color="auto" w:fill="E6EEFF"/>
          </w:tcPr>
          <w:p>
            <w:pPr>
              <w:spacing w:after="0"/>
              <w:rPr>
                <w:sz w:val="20"/>
                <w:szCs w:val="20"/>
                <w:color w:val="auto"/>
              </w:rPr>
            </w:pPr>
          </w:p>
        </w:tc>
        <w:tc>
          <w:tcPr>
            <w:tcW w:w="420" w:type="dxa"/>
            <w:vAlign w:val="bottom"/>
            <w:tcBorders>
              <w:top w:val="single" w:sz="8" w:color="auto"/>
            </w:tcBorders>
            <w:shd w:val="clear" w:color="auto" w:fill="E6EEFF"/>
          </w:tcPr>
          <w:p>
            <w:pPr>
              <w:spacing w:after="0"/>
              <w:rPr>
                <w:sz w:val="20"/>
                <w:szCs w:val="20"/>
                <w:color w:val="auto"/>
              </w:rPr>
            </w:pPr>
          </w:p>
        </w:tc>
        <w:tc>
          <w:tcPr>
            <w:tcW w:w="1020" w:type="dxa"/>
            <w:vAlign w:val="bottom"/>
            <w:tcBorders>
              <w:top w:val="single" w:sz="8" w:color="auto"/>
            </w:tcBorders>
            <w:shd w:val="clear" w:color="auto" w:fill="E6EEFF"/>
          </w:tcPr>
          <w:p>
            <w:pPr>
              <w:spacing w:after="0"/>
              <w:rPr>
                <w:sz w:val="20"/>
                <w:szCs w:val="20"/>
                <w:color w:val="auto"/>
              </w:rPr>
            </w:pPr>
          </w:p>
        </w:tc>
        <w:tc>
          <w:tcPr>
            <w:tcW w:w="100" w:type="dxa"/>
            <w:vAlign w:val="bottom"/>
            <w:tcBorders>
              <w:top w:val="single" w:sz="8" w:color="E6EEFF"/>
            </w:tcBorders>
            <w:shd w:val="clear" w:color="auto" w:fill="E6EEFF"/>
          </w:tcPr>
          <w:p>
            <w:pPr>
              <w:spacing w:after="0"/>
              <w:rPr>
                <w:sz w:val="20"/>
                <w:szCs w:val="20"/>
                <w:color w:val="auto"/>
              </w:rPr>
            </w:pPr>
          </w:p>
        </w:tc>
        <w:tc>
          <w:tcPr>
            <w:tcW w:w="460" w:type="dxa"/>
            <w:vAlign w:val="bottom"/>
            <w:tcBorders>
              <w:top w:val="single" w:sz="8" w:color="auto"/>
            </w:tcBorders>
            <w:shd w:val="clear" w:color="auto" w:fill="E6EEFF"/>
          </w:tcPr>
          <w:p>
            <w:pPr>
              <w:spacing w:after="0"/>
              <w:rPr>
                <w:sz w:val="20"/>
                <w:szCs w:val="20"/>
                <w:color w:val="auto"/>
              </w:rPr>
            </w:pPr>
          </w:p>
        </w:tc>
        <w:tc>
          <w:tcPr>
            <w:tcW w:w="980" w:type="dxa"/>
            <w:vAlign w:val="bottom"/>
            <w:tcBorders>
              <w:top w:val="single" w:sz="8" w:color="auto"/>
            </w:tcBorders>
            <w:shd w:val="clear" w:color="auto" w:fill="E6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66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1C4787"/>
              </w:rPr>
              <w:t>Net Interest Income</w:t>
            </w:r>
          </w:p>
        </w:tc>
        <w:tc>
          <w:tcPr>
            <w:tcW w:w="480" w:type="dxa"/>
            <w:vAlign w:val="bottom"/>
          </w:tcPr>
          <w:p>
            <w:pPr>
              <w:spacing w:after="0"/>
              <w:rPr>
                <w:sz w:val="18"/>
                <w:szCs w:val="18"/>
                <w:color w:val="auto"/>
              </w:rPr>
            </w:pPr>
          </w:p>
        </w:tc>
        <w:tc>
          <w:tcPr>
            <w:tcW w:w="980" w:type="dxa"/>
            <w:vAlign w:val="bottom"/>
          </w:tcPr>
          <w:p>
            <w:pPr>
              <w:jc w:val="right"/>
              <w:spacing w:after="0" w:line="205" w:lineRule="exact"/>
              <w:rPr>
                <w:sz w:val="20"/>
                <w:szCs w:val="20"/>
                <w:color w:val="auto"/>
              </w:rPr>
            </w:pPr>
            <w:r>
              <w:rPr>
                <w:rFonts w:ascii="Calibri" w:cs="Calibri" w:eastAsia="Calibri" w:hAnsi="Calibri"/>
                <w:sz w:val="17"/>
                <w:szCs w:val="17"/>
                <w:color w:val="auto"/>
              </w:rPr>
              <w:t>27,109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line="205" w:lineRule="exact"/>
              <w:rPr>
                <w:sz w:val="20"/>
                <w:szCs w:val="20"/>
                <w:color w:val="auto"/>
              </w:rPr>
            </w:pPr>
            <w:r>
              <w:rPr>
                <w:rFonts w:ascii="Calibri" w:cs="Calibri" w:eastAsia="Calibri" w:hAnsi="Calibri"/>
                <w:sz w:val="17"/>
                <w:szCs w:val="17"/>
                <w:color w:val="auto"/>
              </w:rPr>
              <w:t>107,664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line="205" w:lineRule="exact"/>
              <w:rPr>
                <w:sz w:val="20"/>
                <w:szCs w:val="20"/>
                <w:color w:val="auto"/>
              </w:rPr>
            </w:pPr>
            <w:r>
              <w:rPr>
                <w:rFonts w:ascii="Calibri" w:cs="Calibri" w:eastAsia="Calibri" w:hAnsi="Calibri"/>
                <w:sz w:val="17"/>
                <w:szCs w:val="17"/>
                <w:color w:val="auto"/>
              </w:rPr>
              <w:t>73,369</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660" w:type="dxa"/>
            <w:vAlign w:val="bottom"/>
            <w:shd w:val="clear" w:color="auto" w:fill="E6EEFF"/>
          </w:tcPr>
          <w:p>
            <w:pPr>
              <w:ind w:left="20"/>
              <w:spacing w:after="0"/>
              <w:rPr>
                <w:sz w:val="20"/>
                <w:szCs w:val="20"/>
                <w:color w:val="auto"/>
              </w:rPr>
            </w:pPr>
            <w:r>
              <w:rPr>
                <w:rFonts w:ascii="Calibri" w:cs="Calibri" w:eastAsia="Calibri" w:hAnsi="Calibri"/>
                <w:sz w:val="17"/>
                <w:szCs w:val="17"/>
                <w:b w:val="1"/>
                <w:bCs w:val="1"/>
                <w:color w:val="1C4787"/>
              </w:rPr>
              <w:t>Total Other Loss</w:t>
            </w:r>
          </w:p>
        </w:tc>
        <w:tc>
          <w:tcPr>
            <w:tcW w:w="480" w:type="dxa"/>
            <w:vAlign w:val="bottom"/>
            <w:shd w:val="clear" w:color="auto" w:fill="E6EEFF"/>
          </w:tcPr>
          <w:p>
            <w:pPr>
              <w:spacing w:after="0"/>
              <w:rPr>
                <w:sz w:val="19"/>
                <w:szCs w:val="19"/>
                <w:color w:val="auto"/>
              </w:rPr>
            </w:pPr>
          </w:p>
        </w:tc>
        <w:tc>
          <w:tcPr>
            <w:tcW w:w="9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(51,481)</w:t>
            </w:r>
          </w:p>
        </w:tc>
        <w:tc>
          <w:tcPr>
            <w:tcW w:w="80" w:type="dxa"/>
            <w:vAlign w:val="bottom"/>
            <w:shd w:val="clear" w:color="auto" w:fill="E6EEFF"/>
          </w:tcPr>
          <w:p>
            <w:pPr>
              <w:spacing w:after="0"/>
              <w:rPr>
                <w:sz w:val="19"/>
                <w:szCs w:val="19"/>
                <w:color w:val="auto"/>
              </w:rPr>
            </w:pPr>
          </w:p>
        </w:tc>
        <w:tc>
          <w:tcPr>
            <w:tcW w:w="420" w:type="dxa"/>
            <w:vAlign w:val="bottom"/>
            <w:shd w:val="clear" w:color="auto" w:fill="E6EEFF"/>
          </w:tcPr>
          <w:p>
            <w:pPr>
              <w:spacing w:after="0"/>
              <w:rPr>
                <w:sz w:val="19"/>
                <w:szCs w:val="19"/>
                <w:color w:val="auto"/>
              </w:rPr>
            </w:pPr>
          </w:p>
        </w:tc>
        <w:tc>
          <w:tcPr>
            <w:tcW w:w="10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(299,761)</w:t>
            </w:r>
          </w:p>
        </w:tc>
        <w:tc>
          <w:tcPr>
            <w:tcW w:w="100" w:type="dxa"/>
            <w:vAlign w:val="bottom"/>
            <w:shd w:val="clear" w:color="auto" w:fill="E6EEFF"/>
          </w:tcPr>
          <w:p>
            <w:pPr>
              <w:spacing w:after="0"/>
              <w:rPr>
                <w:sz w:val="19"/>
                <w:szCs w:val="19"/>
                <w:color w:val="auto"/>
              </w:rPr>
            </w:pPr>
          </w:p>
        </w:tc>
        <w:tc>
          <w:tcPr>
            <w:tcW w:w="460" w:type="dxa"/>
            <w:vAlign w:val="bottom"/>
            <w:shd w:val="clear" w:color="auto" w:fill="E6EEFF"/>
          </w:tcPr>
          <w:p>
            <w:pPr>
              <w:spacing w:after="0"/>
              <w:rPr>
                <w:sz w:val="19"/>
                <w:szCs w:val="19"/>
                <w:color w:val="auto"/>
              </w:rPr>
            </w:pPr>
          </w:p>
        </w:tc>
        <w:tc>
          <w:tcPr>
            <w:tcW w:w="9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(23,091)</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660" w:type="dxa"/>
            <w:vAlign w:val="bottom"/>
            <w:tcBorders>
              <w:bottom w:val="single" w:sz="8" w:color="E6EEFF"/>
            </w:tcBorders>
          </w:tcPr>
          <w:p>
            <w:pPr>
              <w:ind w:left="20"/>
              <w:spacing w:after="0" w:line="205" w:lineRule="exact"/>
              <w:rPr>
                <w:sz w:val="20"/>
                <w:szCs w:val="20"/>
                <w:color w:val="auto"/>
              </w:rPr>
            </w:pPr>
            <w:r>
              <w:rPr>
                <w:rFonts w:ascii="Calibri" w:cs="Calibri" w:eastAsia="Calibri" w:hAnsi="Calibri"/>
                <w:sz w:val="17"/>
                <w:szCs w:val="17"/>
                <w:b w:val="1"/>
                <w:bCs w:val="1"/>
                <w:color w:val="1C4787"/>
              </w:rPr>
              <w:t>Total Expenses afer fees waived</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(43,551)</w:t>
            </w:r>
          </w:p>
        </w:tc>
        <w:tc>
          <w:tcPr>
            <w:tcW w:w="80" w:type="dxa"/>
            <w:vAlign w:val="bottom"/>
            <w:tcBorders>
              <w:bottom w:val="single" w:sz="8" w:color="E6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(37,833)</w:t>
            </w:r>
          </w:p>
        </w:tc>
        <w:tc>
          <w:tcPr>
            <w:tcW w:w="100" w:type="dxa"/>
            <w:vAlign w:val="bottom"/>
            <w:tcBorders>
              <w:bottom w:val="single" w:sz="8" w:color="E6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(34,915)</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0"/>
                <w:szCs w:val="20"/>
                <w:color w:val="auto"/>
              </w:rPr>
            </w:pPr>
          </w:p>
        </w:tc>
        <w:tc>
          <w:tcPr>
            <w:tcW w:w="6660" w:type="dxa"/>
            <w:vAlign w:val="bottom"/>
            <w:tcBorders>
              <w:bottom w:val="single" w:sz="8" w:color="E6EEFF"/>
            </w:tcBorders>
            <w:shd w:val="clear" w:color="auto" w:fill="E6EEFF"/>
          </w:tcPr>
          <w:p>
            <w:pPr>
              <w:ind w:left="20"/>
              <w:spacing w:after="0"/>
              <w:rPr>
                <w:sz w:val="20"/>
                <w:szCs w:val="20"/>
                <w:color w:val="auto"/>
              </w:rPr>
            </w:pPr>
            <w:r>
              <w:rPr>
                <w:rFonts w:ascii="Calibri" w:cs="Calibri" w:eastAsia="Calibri" w:hAnsi="Calibri"/>
                <w:sz w:val="17"/>
                <w:szCs w:val="17"/>
                <w:b w:val="1"/>
                <w:bCs w:val="1"/>
                <w:color w:val="1C4787"/>
              </w:rPr>
              <w:t>Net Income (Loss)</w:t>
            </w:r>
          </w:p>
        </w:tc>
        <w:tc>
          <w:tcPr>
            <w:tcW w:w="480" w:type="dxa"/>
            <w:vAlign w:val="bottom"/>
            <w:tcBorders>
              <w:bottom w:val="single" w:sz="8" w:color="auto"/>
            </w:tcBorders>
            <w:shd w:val="clear" w:color="auto" w:fill="E6EEFF"/>
          </w:tcPr>
          <w:p>
            <w:pPr>
              <w:jc w:val="right"/>
              <w:ind w:right="294"/>
              <w:spacing w:after="0" w:line="205" w:lineRule="exact"/>
              <w:rPr>
                <w:sz w:val="20"/>
                <w:szCs w:val="20"/>
                <w:color w:val="auto"/>
              </w:rPr>
            </w:pPr>
            <w:r>
              <w:rPr>
                <w:rFonts w:ascii="Calibri" w:cs="Calibri" w:eastAsia="Calibri" w:hAnsi="Calibri"/>
                <w:sz w:val="17"/>
                <w:szCs w:val="17"/>
                <w:color w:val="auto"/>
                <w:w w:val="92"/>
              </w:rPr>
              <w:t>$</w:t>
            </w:r>
          </w:p>
        </w:tc>
        <w:tc>
          <w:tcPr>
            <w:tcW w:w="98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(67,923)</w:t>
            </w:r>
          </w:p>
        </w:tc>
        <w:tc>
          <w:tcPr>
            <w:tcW w:w="80" w:type="dxa"/>
            <w:vAlign w:val="bottom"/>
            <w:tcBorders>
              <w:bottom w:val="single" w:sz="8" w:color="E6EEFF"/>
            </w:tcBorders>
            <w:shd w:val="clear" w:color="auto" w:fill="E6EEFF"/>
          </w:tcPr>
          <w:p>
            <w:pPr>
              <w:spacing w:after="0"/>
              <w:rPr>
                <w:sz w:val="20"/>
                <w:szCs w:val="20"/>
                <w:color w:val="auto"/>
              </w:rPr>
            </w:pPr>
          </w:p>
        </w:tc>
        <w:tc>
          <w:tcPr>
            <w:tcW w:w="420" w:type="dxa"/>
            <w:vAlign w:val="bottom"/>
            <w:tcBorders>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0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(229,930)</w:t>
            </w:r>
          </w:p>
        </w:tc>
        <w:tc>
          <w:tcPr>
            <w:tcW w:w="100" w:type="dxa"/>
            <w:vAlign w:val="bottom"/>
            <w:tcBorders>
              <w:bottom w:val="single" w:sz="8" w:color="E6EEFF"/>
            </w:tcBorders>
            <w:shd w:val="clear" w:color="auto" w:fill="E6EEFF"/>
          </w:tcPr>
          <w:p>
            <w:pPr>
              <w:spacing w:after="0"/>
              <w:rPr>
                <w:sz w:val="20"/>
                <w:szCs w:val="20"/>
                <w:color w:val="auto"/>
              </w:rPr>
            </w:pPr>
          </w:p>
        </w:tc>
        <w:tc>
          <w:tcPr>
            <w:tcW w:w="460" w:type="dxa"/>
            <w:vAlign w:val="bottom"/>
            <w:tcBorders>
              <w:bottom w:val="single" w:sz="8" w:color="auto"/>
            </w:tcBorders>
            <w:shd w:val="clear" w:color="auto" w:fill="E6EEFF"/>
          </w:tcPr>
          <w:p>
            <w:pPr>
              <w:jc w:val="right"/>
              <w:ind w:right="274"/>
              <w:spacing w:after="0" w:line="205" w:lineRule="exact"/>
              <w:rPr>
                <w:sz w:val="20"/>
                <w:szCs w:val="20"/>
                <w:color w:val="auto"/>
              </w:rPr>
            </w:pPr>
            <w:r>
              <w:rPr>
                <w:rFonts w:ascii="Calibri" w:cs="Calibri" w:eastAsia="Calibri" w:hAnsi="Calibri"/>
                <w:sz w:val="17"/>
                <w:szCs w:val="17"/>
                <w:color w:val="auto"/>
                <w:w w:val="92"/>
              </w:rPr>
              <w:t>$</w:t>
            </w:r>
          </w:p>
        </w:tc>
        <w:tc>
          <w:tcPr>
            <w:tcW w:w="98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15,363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60" w:type="dxa"/>
            <w:vAlign w:val="bottom"/>
            <w:tcBorders>
              <w:top w:val="single" w:sz="8" w:color="E6EEFF"/>
              <w:bottom w:val="single" w:sz="8" w:color="E6EEFF"/>
            </w:tcBorders>
            <w:vMerge w:val="restart"/>
          </w:tcPr>
          <w:p>
            <w:pPr>
              <w:ind w:left="120"/>
              <w:spacing w:after="0" w:line="158" w:lineRule="exact"/>
              <w:rPr>
                <w:sz w:val="20"/>
                <w:szCs w:val="20"/>
                <w:color w:val="auto"/>
              </w:rPr>
            </w:pPr>
            <w:r>
              <w:rPr>
                <w:rFonts w:ascii="Calibri" w:cs="Calibri" w:eastAsia="Calibri" w:hAnsi="Calibri"/>
                <w:sz w:val="17"/>
                <w:szCs w:val="17"/>
                <w:color w:val="auto"/>
              </w:rPr>
              <w:t>Reclassifcaton adjustment for realized (gain) loss on sale of available for sale Agency</w:t>
            </w:r>
          </w:p>
        </w:tc>
        <w:tc>
          <w:tcPr>
            <w:tcW w:w="480" w:type="dxa"/>
            <w:vAlign w:val="bottom"/>
            <w:tcBorders>
              <w:top w:val="single" w:sz="8" w:color="E6EEFF"/>
              <w:bottom w:val="single" w:sz="8" w:color="auto"/>
            </w:tcBorders>
          </w:tcPr>
          <w:p>
            <w:pPr>
              <w:spacing w:after="0" w:line="20" w:lineRule="exact"/>
              <w:rPr>
                <w:sz w:val="1"/>
                <w:szCs w:val="1"/>
                <w:color w:val="auto"/>
              </w:rPr>
            </w:pPr>
          </w:p>
        </w:tc>
        <w:tc>
          <w:tcPr>
            <w:tcW w:w="980" w:type="dxa"/>
            <w:vAlign w:val="bottom"/>
            <w:tcBorders>
              <w:top w:val="single" w:sz="8" w:color="E6EEFF"/>
              <w:bottom w:val="single" w:sz="8" w:color="auto"/>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420" w:type="dxa"/>
            <w:vAlign w:val="bottom"/>
            <w:tcBorders>
              <w:top w:val="single" w:sz="8" w:color="E6EEFF"/>
              <w:bottom w:val="single" w:sz="8" w:color="auto"/>
            </w:tcBorders>
          </w:tcPr>
          <w:p>
            <w:pPr>
              <w:spacing w:after="0" w:line="20" w:lineRule="exact"/>
              <w:rPr>
                <w:sz w:val="1"/>
                <w:szCs w:val="1"/>
                <w:color w:val="auto"/>
              </w:rPr>
            </w:pPr>
          </w:p>
        </w:tc>
        <w:tc>
          <w:tcPr>
            <w:tcW w:w="102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460" w:type="dxa"/>
            <w:vAlign w:val="bottom"/>
            <w:tcBorders>
              <w:top w:val="single" w:sz="8" w:color="E6EEFF"/>
              <w:bottom w:val="single" w:sz="8" w:color="auto"/>
            </w:tcBorders>
          </w:tcPr>
          <w:p>
            <w:pPr>
              <w:spacing w:after="0" w:line="20" w:lineRule="exact"/>
              <w:rPr>
                <w:sz w:val="1"/>
                <w:szCs w:val="1"/>
                <w:color w:val="auto"/>
              </w:rPr>
            </w:pPr>
          </w:p>
        </w:tc>
        <w:tc>
          <w:tcPr>
            <w:tcW w:w="980" w:type="dxa"/>
            <w:vAlign w:val="bottom"/>
            <w:tcBorders>
              <w:top w:val="single" w:sz="8" w:color="E6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0" w:type="dxa"/>
            <w:vAlign w:val="bottom"/>
          </w:tcPr>
          <w:p>
            <w:pPr>
              <w:spacing w:after="0"/>
              <w:rPr>
                <w:sz w:val="10"/>
                <w:szCs w:val="10"/>
                <w:color w:val="auto"/>
              </w:rPr>
            </w:pPr>
          </w:p>
        </w:tc>
        <w:tc>
          <w:tcPr>
            <w:tcW w:w="666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6660" w:type="dxa"/>
            <w:vAlign w:val="bottom"/>
          </w:tcPr>
          <w:p>
            <w:pPr>
              <w:ind w:left="120"/>
              <w:spacing w:after="0" w:line="205" w:lineRule="exact"/>
              <w:rPr>
                <w:sz w:val="20"/>
                <w:szCs w:val="20"/>
                <w:color w:val="auto"/>
              </w:rPr>
            </w:pPr>
            <w:r>
              <w:rPr>
                <w:rFonts w:ascii="Calibri" w:cs="Calibri" w:eastAsia="Calibri" w:hAnsi="Calibri"/>
                <w:sz w:val="17"/>
                <w:szCs w:val="17"/>
                <w:color w:val="auto"/>
              </w:rPr>
              <w:t>Securites</w:t>
            </w:r>
          </w:p>
        </w:tc>
        <w:tc>
          <w:tcPr>
            <w:tcW w:w="480" w:type="dxa"/>
            <w:vAlign w:val="bottom"/>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Calibri" w:cs="Calibri" w:eastAsia="Calibri" w:hAnsi="Calibri"/>
                <w:sz w:val="17"/>
                <w:szCs w:val="17"/>
                <w:color w:val="auto"/>
              </w:rPr>
              <w:t>7,471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line="205" w:lineRule="exact"/>
              <w:rPr>
                <w:sz w:val="20"/>
                <w:szCs w:val="20"/>
                <w:color w:val="auto"/>
              </w:rPr>
            </w:pPr>
            <w:r>
              <w:rPr>
                <w:rFonts w:ascii="Calibri" w:cs="Calibri" w:eastAsia="Calibri" w:hAnsi="Calibri"/>
                <w:sz w:val="17"/>
                <w:szCs w:val="17"/>
                <w:color w:val="auto"/>
              </w:rPr>
              <w:t>7,452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Calibri" w:cs="Calibri" w:eastAsia="Calibri" w:hAnsi="Calibri"/>
                <w:sz w:val="17"/>
                <w:szCs w:val="17"/>
                <w:color w:val="auto"/>
              </w:rPr>
              <w:t>(10,952)</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Pr>
          <w:p>
            <w:pPr>
              <w:spacing w:after="0"/>
              <w:rPr>
                <w:sz w:val="19"/>
                <w:szCs w:val="19"/>
                <w:color w:val="auto"/>
              </w:rPr>
            </w:pPr>
          </w:p>
        </w:tc>
        <w:tc>
          <w:tcPr>
            <w:tcW w:w="6660" w:type="dxa"/>
            <w:vAlign w:val="bottom"/>
            <w:shd w:val="clear" w:color="auto" w:fill="E6EEFF"/>
          </w:tcPr>
          <w:p>
            <w:pPr>
              <w:ind w:left="120"/>
              <w:spacing w:after="0" w:line="205" w:lineRule="exact"/>
              <w:rPr>
                <w:sz w:val="20"/>
                <w:szCs w:val="20"/>
                <w:color w:val="auto"/>
              </w:rPr>
            </w:pPr>
            <w:r>
              <w:rPr>
                <w:rFonts w:ascii="Calibri" w:cs="Calibri" w:eastAsia="Calibri" w:hAnsi="Calibri"/>
                <w:sz w:val="17"/>
                <w:szCs w:val="17"/>
                <w:color w:val="auto"/>
              </w:rPr>
              <w:t>Reclassifcaton adjustment for Impairment losses on available for sale Agency Securites</w:t>
            </w:r>
          </w:p>
        </w:tc>
        <w:tc>
          <w:tcPr>
            <w:tcW w:w="480" w:type="dxa"/>
            <w:vAlign w:val="bottom"/>
            <w:shd w:val="clear" w:color="auto" w:fill="E6EEFF"/>
          </w:tcPr>
          <w:p>
            <w:pPr>
              <w:spacing w:after="0"/>
              <w:rPr>
                <w:sz w:val="19"/>
                <w:szCs w:val="19"/>
                <w:color w:val="auto"/>
              </w:rPr>
            </w:pPr>
          </w:p>
        </w:tc>
        <w:tc>
          <w:tcPr>
            <w:tcW w:w="1060" w:type="dxa"/>
            <w:vAlign w:val="bottom"/>
            <w:gridSpan w:val="2"/>
            <w:shd w:val="clear" w:color="auto" w:fill="E6EEFF"/>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420" w:type="dxa"/>
            <w:vAlign w:val="bottom"/>
            <w:shd w:val="clear" w:color="auto" w:fill="E6EEFF"/>
          </w:tcPr>
          <w:p>
            <w:pPr>
              <w:spacing w:after="0"/>
              <w:rPr>
                <w:sz w:val="19"/>
                <w:szCs w:val="19"/>
                <w:color w:val="auto"/>
              </w:rPr>
            </w:pPr>
          </w:p>
        </w:tc>
        <w:tc>
          <w:tcPr>
            <w:tcW w:w="102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4,183</w:t>
            </w:r>
          </w:p>
        </w:tc>
        <w:tc>
          <w:tcPr>
            <w:tcW w:w="100" w:type="dxa"/>
            <w:vAlign w:val="bottom"/>
            <w:shd w:val="clear" w:color="auto" w:fill="E6EEFF"/>
          </w:tcPr>
          <w:p>
            <w:pPr>
              <w:spacing w:after="0"/>
              <w:rPr>
                <w:sz w:val="19"/>
                <w:szCs w:val="19"/>
                <w:color w:val="auto"/>
              </w:rPr>
            </w:pPr>
          </w:p>
        </w:tc>
        <w:tc>
          <w:tcPr>
            <w:tcW w:w="460" w:type="dxa"/>
            <w:vAlign w:val="bottom"/>
            <w:shd w:val="clear" w:color="auto" w:fill="E6EEFF"/>
          </w:tcPr>
          <w:p>
            <w:pPr>
              <w:spacing w:after="0"/>
              <w:rPr>
                <w:sz w:val="19"/>
                <w:szCs w:val="19"/>
                <w:color w:val="auto"/>
              </w:rPr>
            </w:pPr>
          </w:p>
        </w:tc>
        <w:tc>
          <w:tcPr>
            <w:tcW w:w="98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660" w:type="dxa"/>
            <w:vAlign w:val="bottom"/>
            <w:tcBorders>
              <w:bottom w:val="single" w:sz="8" w:color="E6EEFF"/>
            </w:tcBorders>
          </w:tcPr>
          <w:p>
            <w:pPr>
              <w:ind w:left="120"/>
              <w:spacing w:after="0" w:line="205" w:lineRule="exact"/>
              <w:rPr>
                <w:sz w:val="20"/>
                <w:szCs w:val="20"/>
                <w:color w:val="auto"/>
              </w:rPr>
            </w:pPr>
            <w:r>
              <w:rPr>
                <w:rFonts w:ascii="Calibri" w:cs="Calibri" w:eastAsia="Calibri" w:hAnsi="Calibri"/>
                <w:sz w:val="17"/>
                <w:szCs w:val="17"/>
                <w:color w:val="auto"/>
              </w:rPr>
              <w:t>Net unrealized gain (loss) on available for sale Agency Securites</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4,056</w:t>
            </w:r>
          </w:p>
        </w:tc>
        <w:tc>
          <w:tcPr>
            <w:tcW w:w="80" w:type="dxa"/>
            <w:vAlign w:val="bottom"/>
            <w:tcBorders>
              <w:bottom w:val="single" w:sz="8" w:color="E6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(130,135)</w:t>
            </w:r>
          </w:p>
        </w:tc>
        <w:tc>
          <w:tcPr>
            <w:tcW w:w="100" w:type="dxa"/>
            <w:vAlign w:val="bottom"/>
            <w:tcBorders>
              <w:bottom w:val="single" w:sz="8" w:color="E6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(61,106)</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660" w:type="dxa"/>
            <w:vAlign w:val="bottom"/>
            <w:shd w:val="clear" w:color="auto" w:fill="E6EEFF"/>
          </w:tcPr>
          <w:p>
            <w:pPr>
              <w:ind w:left="20"/>
              <w:spacing w:after="0" w:line="197" w:lineRule="exact"/>
              <w:rPr>
                <w:sz w:val="20"/>
                <w:szCs w:val="20"/>
                <w:color w:val="auto"/>
              </w:rPr>
            </w:pPr>
            <w:r>
              <w:rPr>
                <w:rFonts w:ascii="Calibri" w:cs="Calibri" w:eastAsia="Calibri" w:hAnsi="Calibri"/>
                <w:sz w:val="17"/>
                <w:szCs w:val="17"/>
                <w:b w:val="1"/>
                <w:bCs w:val="1"/>
                <w:color w:val="1C4787"/>
              </w:rPr>
              <w:t>Other comprehensive income (loss)</w:t>
            </w:r>
          </w:p>
        </w:tc>
        <w:tc>
          <w:tcPr>
            <w:tcW w:w="480" w:type="dxa"/>
            <w:vAlign w:val="bottom"/>
            <w:tcBorders>
              <w:bottom w:val="single" w:sz="8" w:color="auto"/>
            </w:tcBorders>
            <w:shd w:val="clear" w:color="auto" w:fill="E6EEFF"/>
          </w:tcPr>
          <w:p>
            <w:pPr>
              <w:jc w:val="right"/>
              <w:ind w:right="294"/>
              <w:spacing w:after="0" w:line="205" w:lineRule="exact"/>
              <w:rPr>
                <w:sz w:val="20"/>
                <w:szCs w:val="20"/>
                <w:color w:val="auto"/>
              </w:rPr>
            </w:pPr>
            <w:r>
              <w:rPr>
                <w:rFonts w:ascii="Calibri" w:cs="Calibri" w:eastAsia="Calibri" w:hAnsi="Calibri"/>
                <w:sz w:val="17"/>
                <w:szCs w:val="17"/>
                <w:color w:val="auto"/>
                <w:w w:val="92"/>
              </w:rPr>
              <w:t>$</w:t>
            </w:r>
          </w:p>
        </w:tc>
        <w:tc>
          <w:tcPr>
            <w:tcW w:w="98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11,527</w:t>
            </w:r>
          </w:p>
        </w:tc>
        <w:tc>
          <w:tcPr>
            <w:tcW w:w="80" w:type="dxa"/>
            <w:vAlign w:val="bottom"/>
            <w:shd w:val="clear" w:color="auto" w:fill="E6EEFF"/>
          </w:tcPr>
          <w:p>
            <w:pPr>
              <w:spacing w:after="0"/>
              <w:rPr>
                <w:sz w:val="18"/>
                <w:szCs w:val="18"/>
                <w:color w:val="auto"/>
              </w:rPr>
            </w:pPr>
          </w:p>
        </w:tc>
        <w:tc>
          <w:tcPr>
            <w:tcW w:w="420" w:type="dxa"/>
            <w:vAlign w:val="bottom"/>
            <w:tcBorders>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0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(118,500)</w:t>
            </w:r>
          </w:p>
        </w:tc>
        <w:tc>
          <w:tcPr>
            <w:tcW w:w="100" w:type="dxa"/>
            <w:vAlign w:val="bottom"/>
            <w:shd w:val="clear" w:color="auto" w:fill="E6EEFF"/>
          </w:tcPr>
          <w:p>
            <w:pPr>
              <w:spacing w:after="0"/>
              <w:rPr>
                <w:sz w:val="18"/>
                <w:szCs w:val="18"/>
                <w:color w:val="auto"/>
              </w:rPr>
            </w:pPr>
          </w:p>
        </w:tc>
        <w:tc>
          <w:tcPr>
            <w:tcW w:w="460" w:type="dxa"/>
            <w:vAlign w:val="bottom"/>
            <w:tcBorders>
              <w:bottom w:val="single" w:sz="8" w:color="auto"/>
            </w:tcBorders>
            <w:shd w:val="clear" w:color="auto" w:fill="E6EEFF"/>
          </w:tcPr>
          <w:p>
            <w:pPr>
              <w:jc w:val="right"/>
              <w:ind w:right="274"/>
              <w:spacing w:after="0" w:line="205" w:lineRule="exact"/>
              <w:rPr>
                <w:sz w:val="20"/>
                <w:szCs w:val="20"/>
                <w:color w:val="auto"/>
              </w:rPr>
            </w:pPr>
            <w:r>
              <w:rPr>
                <w:rFonts w:ascii="Calibri" w:cs="Calibri" w:eastAsia="Calibri" w:hAnsi="Calibri"/>
                <w:sz w:val="17"/>
                <w:szCs w:val="17"/>
                <w:color w:val="auto"/>
                <w:w w:val="92"/>
              </w:rPr>
              <w:t>$</w:t>
            </w:r>
          </w:p>
        </w:tc>
        <w:tc>
          <w:tcPr>
            <w:tcW w:w="98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(72,058)</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Calibri" w:cs="Calibri" w:eastAsia="Calibri" w:hAnsi="Calibri"/>
                <w:sz w:val="17"/>
                <w:szCs w:val="17"/>
                <w:b w:val="1"/>
                <w:bCs w:val="1"/>
                <w:color w:val="1C4787"/>
              </w:rPr>
              <w:t>Comprehensive Loss</w:t>
            </w:r>
          </w:p>
        </w:tc>
        <w:tc>
          <w:tcPr>
            <w:tcW w:w="480" w:type="dxa"/>
            <w:vAlign w:val="bottom"/>
            <w:tcBorders>
              <w:bottom w:val="single" w:sz="8" w:color="auto"/>
            </w:tcBorders>
          </w:tcPr>
          <w:p>
            <w:pPr>
              <w:jc w:val="right"/>
              <w:ind w:right="294"/>
              <w:spacing w:after="0" w:line="205" w:lineRule="exact"/>
              <w:rPr>
                <w:sz w:val="20"/>
                <w:szCs w:val="20"/>
                <w:color w:val="auto"/>
              </w:rPr>
            </w:pPr>
            <w:r>
              <w:rPr>
                <w:rFonts w:ascii="Calibri" w:cs="Calibri" w:eastAsia="Calibri" w:hAnsi="Calibri"/>
                <w:sz w:val="17"/>
                <w:szCs w:val="17"/>
                <w:color w:val="auto"/>
                <w:w w:val="92"/>
              </w:rPr>
              <w:t>$</w:t>
            </w:r>
          </w:p>
        </w:tc>
        <w:tc>
          <w:tcPr>
            <w:tcW w:w="9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(56,396)</w:t>
            </w:r>
          </w:p>
        </w:tc>
        <w:tc>
          <w:tcPr>
            <w:tcW w:w="80" w:type="dxa"/>
            <w:vAlign w:val="bottom"/>
          </w:tcPr>
          <w:p>
            <w:pPr>
              <w:spacing w:after="0"/>
              <w:rPr>
                <w:sz w:val="19"/>
                <w:szCs w:val="19"/>
                <w:color w:val="auto"/>
              </w:rPr>
            </w:pPr>
          </w:p>
        </w:tc>
        <w:tc>
          <w:tcPr>
            <w:tcW w:w="42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w:t>
            </w:r>
          </w:p>
        </w:tc>
        <w:tc>
          <w:tcPr>
            <w:tcW w:w="10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(348,430)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4"/>
              <w:spacing w:after="0" w:line="205" w:lineRule="exact"/>
              <w:rPr>
                <w:sz w:val="20"/>
                <w:szCs w:val="20"/>
                <w:color w:val="auto"/>
              </w:rPr>
            </w:pPr>
            <w:r>
              <w:rPr>
                <w:rFonts w:ascii="Calibri" w:cs="Calibri" w:eastAsia="Calibri" w:hAnsi="Calibri"/>
                <w:sz w:val="17"/>
                <w:szCs w:val="17"/>
                <w:color w:val="auto"/>
                <w:w w:val="92"/>
              </w:rPr>
              <w:t>$</w:t>
            </w:r>
          </w:p>
        </w:tc>
        <w:tc>
          <w:tcPr>
            <w:tcW w:w="9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(56,695)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Net loss for the years ended December 31, 2023 and December 31, 2022 refects interest income from a larger average securites portolio as well as net gain on our derivatves ofset by losses on Agency Securites and U.S. Treasury Securites and higher interest costs for repurchase fnancing. Net income for the year ended December 31, 2021 refects interest income from a smaller average securites portolio than 2022 as well as gains (losses) on our Agency Securites and the net gains on our derivatves.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571500</wp:posOffset>
            </wp:positionV>
            <wp:extent cx="458470" cy="5073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0" w:name="page51"/>
    <w:bookmarkEnd w:id="50"/>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49</w:t>
      </w:r>
    </w:p>
    <w:p>
      <w:pPr>
        <w:spacing w:after="0" w:line="200" w:lineRule="exact"/>
        <w:rPr>
          <w:sz w:val="20"/>
          <w:szCs w:val="20"/>
          <w:color w:val="auto"/>
        </w:rPr>
      </w:pPr>
    </w:p>
    <w:p>
      <w:pPr>
        <w:spacing w:after="0" w:line="305" w:lineRule="exact"/>
        <w:rPr>
          <w:sz w:val="20"/>
          <w:szCs w:val="20"/>
          <w:color w:val="auto"/>
        </w:rPr>
      </w:pPr>
    </w:p>
    <w:p>
      <w:pPr>
        <w:ind w:left="620"/>
        <w:spacing w:after="0"/>
        <w:rPr>
          <w:sz w:val="20"/>
          <w:szCs w:val="20"/>
          <w:color w:val="auto"/>
        </w:rPr>
      </w:pPr>
      <w:r>
        <w:rPr>
          <w:rFonts w:ascii="Calibri" w:cs="Calibri" w:eastAsia="Calibri" w:hAnsi="Calibri"/>
          <w:sz w:val="16"/>
          <w:szCs w:val="16"/>
          <w:color w:val="auto"/>
        </w:rPr>
        <w:t>Net interest income is a functon of the size of and yield earned from our investment portolio and the size of and cost of our repurchase and other fnancing</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costs.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6700" w:type="dxa"/>
            <w:vAlign w:val="bottom"/>
            <w:shd w:val="clear" w:color="auto" w:fill="E6EEFF"/>
          </w:tcPr>
          <w:p>
            <w:pPr>
              <w:spacing w:after="0"/>
              <w:rPr>
                <w:sz w:val="19"/>
                <w:szCs w:val="19"/>
                <w:color w:val="auto"/>
              </w:rPr>
            </w:pPr>
          </w:p>
        </w:tc>
        <w:tc>
          <w:tcPr>
            <w:tcW w:w="440" w:type="dxa"/>
            <w:vAlign w:val="bottom"/>
            <w:tcBorders>
              <w:bottom w:val="single" w:sz="8" w:color="auto"/>
            </w:tcBorders>
            <w:shd w:val="clear" w:color="auto" w:fill="E6EEFF"/>
          </w:tcPr>
          <w:p>
            <w:pPr>
              <w:spacing w:after="0"/>
              <w:rPr>
                <w:sz w:val="19"/>
                <w:szCs w:val="19"/>
                <w:color w:val="auto"/>
              </w:rPr>
            </w:pPr>
          </w:p>
        </w:tc>
        <w:tc>
          <w:tcPr>
            <w:tcW w:w="1000" w:type="dxa"/>
            <w:vAlign w:val="bottom"/>
            <w:tcBorders>
              <w:bottom w:val="single" w:sz="8" w:color="auto"/>
            </w:tcBorders>
            <w:shd w:val="clear" w:color="auto" w:fill="E6EEFF"/>
          </w:tcPr>
          <w:p>
            <w:pPr>
              <w:spacing w:after="0"/>
              <w:rPr>
                <w:sz w:val="19"/>
                <w:szCs w:val="19"/>
                <w:color w:val="auto"/>
              </w:rPr>
            </w:pPr>
          </w:p>
        </w:tc>
        <w:tc>
          <w:tcPr>
            <w:tcW w:w="100" w:type="dxa"/>
            <w:vAlign w:val="bottom"/>
            <w:tcBorders>
              <w:bottom w:val="single" w:sz="8" w:color="auto"/>
            </w:tcBorders>
            <w:shd w:val="clear" w:color="auto" w:fill="E6EEFF"/>
          </w:tcPr>
          <w:p>
            <w:pPr>
              <w:spacing w:after="0"/>
              <w:rPr>
                <w:sz w:val="19"/>
                <w:szCs w:val="19"/>
                <w:color w:val="auto"/>
              </w:rPr>
            </w:pPr>
          </w:p>
        </w:tc>
        <w:tc>
          <w:tcPr>
            <w:tcW w:w="1520" w:type="dxa"/>
            <w:vAlign w:val="bottom"/>
            <w:tcBorders>
              <w:bottom w:val="single" w:sz="8" w:color="auto"/>
            </w:tcBorders>
            <w:gridSpan w:val="3"/>
            <w:shd w:val="clear" w:color="auto" w:fill="E6EEFF"/>
          </w:tcPr>
          <w:p>
            <w:pPr>
              <w:ind w:left="40"/>
              <w:spacing w:after="0"/>
              <w:rPr>
                <w:sz w:val="20"/>
                <w:szCs w:val="20"/>
                <w:color w:val="auto"/>
              </w:rPr>
            </w:pPr>
            <w:r>
              <w:rPr>
                <w:rFonts w:ascii="Calibri" w:cs="Calibri" w:eastAsia="Calibri" w:hAnsi="Calibri"/>
                <w:sz w:val="17"/>
                <w:szCs w:val="17"/>
                <w:b w:val="1"/>
                <w:bCs w:val="1"/>
                <w:color w:val="1C4787"/>
              </w:rPr>
              <w:t>For the Years Ended</w:t>
            </w:r>
          </w:p>
        </w:tc>
        <w:tc>
          <w:tcPr>
            <w:tcW w:w="520" w:type="dxa"/>
            <w:vAlign w:val="bottom"/>
            <w:tcBorders>
              <w:bottom w:val="single" w:sz="8" w:color="auto"/>
            </w:tcBorders>
            <w:shd w:val="clear" w:color="auto" w:fill="E6EEFF"/>
          </w:tcPr>
          <w:p>
            <w:pPr>
              <w:spacing w:after="0"/>
              <w:rPr>
                <w:sz w:val="19"/>
                <w:szCs w:val="19"/>
                <w:color w:val="auto"/>
              </w:rPr>
            </w:pPr>
          </w:p>
        </w:tc>
        <w:tc>
          <w:tcPr>
            <w:tcW w:w="940" w:type="dxa"/>
            <w:vAlign w:val="bottom"/>
            <w:tcBorders>
              <w:bottom w:val="single" w:sz="8" w:color="auto"/>
            </w:tcBorders>
            <w:shd w:val="clear" w:color="auto" w:fill="E6EEFF"/>
          </w:tcPr>
          <w:p>
            <w:pPr>
              <w:spacing w:after="0"/>
              <w:rPr>
                <w:sz w:val="19"/>
                <w:szCs w:val="19"/>
                <w:color w:val="auto"/>
              </w:rPr>
            </w:pPr>
          </w:p>
        </w:tc>
      </w:tr>
      <w:tr>
        <w:trPr>
          <w:trHeight w:val="205"/>
        </w:trPr>
        <w:tc>
          <w:tcPr>
            <w:tcW w:w="6700" w:type="dxa"/>
            <w:vAlign w:val="bottom"/>
          </w:tcPr>
          <w:p>
            <w:pPr>
              <w:spacing w:after="0"/>
              <w:rPr>
                <w:sz w:val="17"/>
                <w:szCs w:val="17"/>
                <w:color w:val="auto"/>
              </w:rPr>
            </w:pPr>
          </w:p>
        </w:tc>
        <w:tc>
          <w:tcPr>
            <w:tcW w:w="1540" w:type="dxa"/>
            <w:vAlign w:val="bottom"/>
            <w:gridSpan w:val="3"/>
          </w:tcPr>
          <w:p>
            <w:pPr>
              <w:ind w:left="6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520" w:type="dxa"/>
            <w:vAlign w:val="bottom"/>
            <w:gridSpan w:val="3"/>
          </w:tcPr>
          <w:p>
            <w:pPr>
              <w:ind w:left="4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460" w:type="dxa"/>
            <w:vAlign w:val="bottom"/>
            <w:gridSpan w:val="2"/>
          </w:tcPr>
          <w:p>
            <w:pPr>
              <w:ind w:left="60"/>
              <w:spacing w:after="0" w:line="205" w:lineRule="exact"/>
              <w:rPr>
                <w:sz w:val="20"/>
                <w:szCs w:val="20"/>
                <w:color w:val="auto"/>
              </w:rPr>
            </w:pPr>
            <w:r>
              <w:rPr>
                <w:rFonts w:ascii="Calibri" w:cs="Calibri" w:eastAsia="Calibri" w:hAnsi="Calibri"/>
                <w:sz w:val="17"/>
                <w:szCs w:val="17"/>
                <w:b w:val="1"/>
                <w:bCs w:val="1"/>
                <w:color w:val="1C4787"/>
              </w:rPr>
              <w:t>December 31, 2021</w:t>
            </w:r>
          </w:p>
        </w:tc>
      </w:tr>
      <w:tr>
        <w:trPr>
          <w:trHeight w:val="219"/>
        </w:trPr>
        <w:tc>
          <w:tcPr>
            <w:tcW w:w="6700" w:type="dxa"/>
            <w:vAlign w:val="bottom"/>
            <w:tcBorders>
              <w:top w:val="single" w:sz="8" w:color="E6EEFF"/>
            </w:tcBorders>
            <w:shd w:val="clear" w:color="auto" w:fill="E6EEFF"/>
          </w:tcPr>
          <w:p>
            <w:pPr>
              <w:ind w:left="20"/>
              <w:spacing w:after="0" w:line="197" w:lineRule="exact"/>
              <w:rPr>
                <w:sz w:val="20"/>
                <w:szCs w:val="20"/>
                <w:color w:val="auto"/>
              </w:rPr>
            </w:pPr>
            <w:r>
              <w:rPr>
                <w:rFonts w:ascii="Calibri" w:cs="Calibri" w:eastAsia="Calibri" w:hAnsi="Calibri"/>
                <w:sz w:val="17"/>
                <w:szCs w:val="17"/>
                <w:b w:val="1"/>
                <w:bCs w:val="1"/>
                <w:color w:val="1C4787"/>
              </w:rPr>
              <w:t>Interest Income</w:t>
            </w:r>
          </w:p>
        </w:tc>
        <w:tc>
          <w:tcPr>
            <w:tcW w:w="440" w:type="dxa"/>
            <w:vAlign w:val="bottom"/>
            <w:tcBorders>
              <w:top w:val="single" w:sz="8" w:color="auto"/>
            </w:tcBorders>
            <w:shd w:val="clear" w:color="auto" w:fill="E6EEFF"/>
          </w:tcPr>
          <w:p>
            <w:pPr>
              <w:jc w:val="right"/>
              <w:ind w:right="25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552,903</w:t>
            </w:r>
          </w:p>
        </w:tc>
        <w:tc>
          <w:tcPr>
            <w:tcW w:w="100" w:type="dxa"/>
            <w:vAlign w:val="bottom"/>
            <w:tcBorders>
              <w:top w:val="single" w:sz="8" w:color="E6EEFF"/>
            </w:tcBorders>
            <w:shd w:val="clear" w:color="auto" w:fill="E6EEFF"/>
          </w:tcPr>
          <w:p>
            <w:pPr>
              <w:spacing w:after="0"/>
              <w:rPr>
                <w:sz w:val="19"/>
                <w:szCs w:val="19"/>
                <w:color w:val="auto"/>
              </w:rPr>
            </w:pPr>
          </w:p>
        </w:tc>
        <w:tc>
          <w:tcPr>
            <w:tcW w:w="420" w:type="dxa"/>
            <w:vAlign w:val="bottom"/>
            <w:tcBorders>
              <w:top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020" w:type="dxa"/>
            <w:vAlign w:val="bottom"/>
            <w:tcBorders>
              <w:top w:val="single" w:sz="8" w:color="auto"/>
            </w:tcBorders>
            <w:shd w:val="clear" w:color="auto" w:fill="E6EEFF"/>
          </w:tcPr>
          <w:p>
            <w:pPr>
              <w:jc w:val="center"/>
              <w:ind w:left="254"/>
              <w:spacing w:after="0" w:line="205" w:lineRule="exact"/>
              <w:rPr>
                <w:sz w:val="20"/>
                <w:szCs w:val="20"/>
                <w:color w:val="auto"/>
              </w:rPr>
            </w:pPr>
            <w:r>
              <w:rPr>
                <w:rFonts w:ascii="Calibri" w:cs="Calibri" w:eastAsia="Calibri" w:hAnsi="Calibri"/>
                <w:sz w:val="17"/>
                <w:szCs w:val="17"/>
                <w:color w:val="auto"/>
                <w:w w:val="99"/>
              </w:rPr>
              <w:t>228,432</w:t>
            </w:r>
          </w:p>
        </w:tc>
        <w:tc>
          <w:tcPr>
            <w:tcW w:w="80" w:type="dxa"/>
            <w:vAlign w:val="bottom"/>
            <w:tcBorders>
              <w:top w:val="single" w:sz="8" w:color="E6EEFF"/>
            </w:tcBorders>
            <w:shd w:val="clear" w:color="auto" w:fill="E6EEFF"/>
          </w:tcPr>
          <w:p>
            <w:pPr>
              <w:spacing w:after="0"/>
              <w:rPr>
                <w:sz w:val="19"/>
                <w:szCs w:val="19"/>
                <w:color w:val="auto"/>
              </w:rPr>
            </w:pPr>
          </w:p>
        </w:tc>
        <w:tc>
          <w:tcPr>
            <w:tcW w:w="520" w:type="dxa"/>
            <w:vAlign w:val="bottom"/>
            <w:tcBorders>
              <w:top w:val="single" w:sz="8" w:color="auto"/>
            </w:tcBorders>
            <w:shd w:val="clear" w:color="auto" w:fill="E6EEFF"/>
          </w:tcPr>
          <w:p>
            <w:pPr>
              <w:jc w:val="right"/>
              <w:ind w:right="314"/>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top w:val="single" w:sz="8" w:color="auto"/>
            </w:tcBorders>
            <w:shd w:val="clear" w:color="auto" w:fill="E6EEFF"/>
          </w:tcPr>
          <w:p>
            <w:pPr>
              <w:ind w:left="400"/>
              <w:spacing w:after="0" w:line="205" w:lineRule="exact"/>
              <w:rPr>
                <w:sz w:val="20"/>
                <w:szCs w:val="20"/>
                <w:color w:val="auto"/>
              </w:rPr>
            </w:pPr>
            <w:r>
              <w:rPr>
                <w:rFonts w:ascii="Calibri" w:cs="Calibri" w:eastAsia="Calibri" w:hAnsi="Calibri"/>
                <w:sz w:val="17"/>
                <w:szCs w:val="17"/>
                <w:color w:val="auto"/>
              </w:rPr>
              <w:t>80,478</w:t>
            </w:r>
          </w:p>
        </w:tc>
      </w:tr>
      <w:tr>
        <w:trPr>
          <w:trHeight w:val="212"/>
        </w:trPr>
        <w:tc>
          <w:tcPr>
            <w:tcW w:w="6700" w:type="dxa"/>
            <w:vAlign w:val="bottom"/>
            <w:tcBorders>
              <w:bottom w:val="single" w:sz="8" w:color="E6EEFF"/>
            </w:tcBorders>
          </w:tcPr>
          <w:p>
            <w:pPr>
              <w:ind w:left="20"/>
              <w:spacing w:after="0" w:line="205" w:lineRule="exact"/>
              <w:rPr>
                <w:sz w:val="20"/>
                <w:szCs w:val="20"/>
                <w:color w:val="auto"/>
              </w:rPr>
            </w:pPr>
            <w:r>
              <w:rPr>
                <w:rFonts w:ascii="Calibri" w:cs="Calibri" w:eastAsia="Calibri" w:hAnsi="Calibri"/>
                <w:sz w:val="17"/>
                <w:szCs w:val="17"/>
                <w:b w:val="1"/>
                <w:bCs w:val="1"/>
                <w:color w:val="1C4787"/>
              </w:rPr>
              <w:t>Interest Expense</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(525,794)</w:t>
            </w:r>
          </w:p>
        </w:tc>
        <w:tc>
          <w:tcPr>
            <w:tcW w:w="100" w:type="dxa"/>
            <w:vAlign w:val="bottom"/>
            <w:tcBorders>
              <w:bottom w:val="single" w:sz="8" w:color="E6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left="234"/>
              <w:spacing w:after="0" w:line="205" w:lineRule="exact"/>
              <w:rPr>
                <w:sz w:val="20"/>
                <w:szCs w:val="20"/>
                <w:color w:val="auto"/>
              </w:rPr>
            </w:pPr>
            <w:r>
              <w:rPr>
                <w:rFonts w:ascii="Calibri" w:cs="Calibri" w:eastAsia="Calibri" w:hAnsi="Calibri"/>
                <w:sz w:val="17"/>
                <w:szCs w:val="17"/>
                <w:color w:val="auto"/>
                <w:w w:val="99"/>
              </w:rPr>
              <w:t>(120,768)</w:t>
            </w:r>
          </w:p>
        </w:tc>
        <w:tc>
          <w:tcPr>
            <w:tcW w:w="80" w:type="dxa"/>
            <w:vAlign w:val="bottom"/>
            <w:tcBorders>
              <w:bottom w:val="single" w:sz="8" w:color="E6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20"/>
              <w:spacing w:after="0" w:line="205" w:lineRule="exact"/>
              <w:rPr>
                <w:sz w:val="20"/>
                <w:szCs w:val="20"/>
                <w:color w:val="auto"/>
              </w:rPr>
            </w:pPr>
            <w:r>
              <w:rPr>
                <w:rFonts w:ascii="Calibri" w:cs="Calibri" w:eastAsia="Calibri" w:hAnsi="Calibri"/>
                <w:sz w:val="17"/>
                <w:szCs w:val="17"/>
                <w:color w:val="auto"/>
              </w:rPr>
              <w:t>(7,109)</w:t>
            </w:r>
          </w:p>
        </w:tc>
      </w:tr>
      <w:tr>
        <w:trPr>
          <w:trHeight w:val="244"/>
        </w:trPr>
        <w:tc>
          <w:tcPr>
            <w:tcW w:w="6700" w:type="dxa"/>
            <w:vAlign w:val="bottom"/>
            <w:tcBorders>
              <w:bottom w:val="single" w:sz="8" w:color="E6EEFF"/>
            </w:tcBorders>
            <w:shd w:val="clear" w:color="auto" w:fill="E6EEFF"/>
          </w:tcPr>
          <w:p>
            <w:pPr>
              <w:ind w:left="20"/>
              <w:spacing w:after="0"/>
              <w:rPr>
                <w:sz w:val="20"/>
                <w:szCs w:val="20"/>
                <w:color w:val="auto"/>
              </w:rPr>
            </w:pPr>
            <w:r>
              <w:rPr>
                <w:rFonts w:ascii="Calibri" w:cs="Calibri" w:eastAsia="Calibri" w:hAnsi="Calibri"/>
                <w:sz w:val="17"/>
                <w:szCs w:val="17"/>
                <w:b w:val="1"/>
                <w:bCs w:val="1"/>
                <w:color w:val="1C4787"/>
              </w:rPr>
              <w:t>Net Interest Income</w:t>
            </w:r>
          </w:p>
        </w:tc>
        <w:tc>
          <w:tcPr>
            <w:tcW w:w="440" w:type="dxa"/>
            <w:vAlign w:val="bottom"/>
            <w:tcBorders>
              <w:bottom w:val="single" w:sz="8" w:color="auto"/>
            </w:tcBorders>
            <w:shd w:val="clear" w:color="auto" w:fill="E6EEFF"/>
          </w:tcPr>
          <w:p>
            <w:pPr>
              <w:jc w:val="right"/>
              <w:ind w:right="25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27,109</w:t>
            </w:r>
          </w:p>
        </w:tc>
        <w:tc>
          <w:tcPr>
            <w:tcW w:w="100" w:type="dxa"/>
            <w:vAlign w:val="bottom"/>
            <w:tcBorders>
              <w:bottom w:val="single" w:sz="8" w:color="E6EEFF"/>
            </w:tcBorders>
            <w:shd w:val="clear" w:color="auto" w:fill="E6EEFF"/>
          </w:tcPr>
          <w:p>
            <w:pPr>
              <w:spacing w:after="0"/>
              <w:rPr>
                <w:sz w:val="20"/>
                <w:szCs w:val="20"/>
                <w:color w:val="auto"/>
              </w:rPr>
            </w:pPr>
          </w:p>
        </w:tc>
        <w:tc>
          <w:tcPr>
            <w:tcW w:w="420" w:type="dxa"/>
            <w:vAlign w:val="bottom"/>
            <w:tcBorders>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020" w:type="dxa"/>
            <w:vAlign w:val="bottom"/>
            <w:tcBorders>
              <w:bottom w:val="single" w:sz="8" w:color="auto"/>
            </w:tcBorders>
            <w:shd w:val="clear" w:color="auto" w:fill="E6EEFF"/>
          </w:tcPr>
          <w:p>
            <w:pPr>
              <w:jc w:val="center"/>
              <w:ind w:left="254"/>
              <w:spacing w:after="0" w:line="205" w:lineRule="exact"/>
              <w:rPr>
                <w:sz w:val="20"/>
                <w:szCs w:val="20"/>
                <w:color w:val="auto"/>
              </w:rPr>
            </w:pPr>
            <w:r>
              <w:rPr>
                <w:rFonts w:ascii="Calibri" w:cs="Calibri" w:eastAsia="Calibri" w:hAnsi="Calibri"/>
                <w:sz w:val="17"/>
                <w:szCs w:val="17"/>
                <w:color w:val="auto"/>
                <w:w w:val="99"/>
              </w:rPr>
              <w:t>107,664</w:t>
            </w:r>
          </w:p>
        </w:tc>
        <w:tc>
          <w:tcPr>
            <w:tcW w:w="80" w:type="dxa"/>
            <w:vAlign w:val="bottom"/>
            <w:tcBorders>
              <w:bottom w:val="single" w:sz="8" w:color="E6EEFF"/>
            </w:tcBorders>
            <w:shd w:val="clear" w:color="auto" w:fill="E6EEFF"/>
          </w:tcPr>
          <w:p>
            <w:pPr>
              <w:spacing w:after="0"/>
              <w:rPr>
                <w:sz w:val="20"/>
                <w:szCs w:val="20"/>
                <w:color w:val="auto"/>
              </w:rPr>
            </w:pPr>
          </w:p>
        </w:tc>
        <w:tc>
          <w:tcPr>
            <w:tcW w:w="520" w:type="dxa"/>
            <w:vAlign w:val="bottom"/>
            <w:tcBorders>
              <w:bottom w:val="single" w:sz="8" w:color="auto"/>
            </w:tcBorders>
            <w:shd w:val="clear" w:color="auto" w:fill="E6EEFF"/>
          </w:tcPr>
          <w:p>
            <w:pPr>
              <w:jc w:val="right"/>
              <w:ind w:right="314"/>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bottom w:val="single" w:sz="8" w:color="auto"/>
            </w:tcBorders>
            <w:shd w:val="clear" w:color="auto" w:fill="E6EEFF"/>
          </w:tcPr>
          <w:p>
            <w:pPr>
              <w:ind w:left="400"/>
              <w:spacing w:after="0" w:line="205" w:lineRule="exact"/>
              <w:rPr>
                <w:sz w:val="20"/>
                <w:szCs w:val="20"/>
                <w:color w:val="auto"/>
              </w:rPr>
            </w:pPr>
            <w:r>
              <w:rPr>
                <w:rFonts w:ascii="Calibri" w:cs="Calibri" w:eastAsia="Calibri" w:hAnsi="Calibri"/>
                <w:sz w:val="17"/>
                <w:szCs w:val="17"/>
                <w:color w:val="auto"/>
              </w:rPr>
              <w:t>73,369</w:t>
            </w:r>
          </w:p>
        </w:tc>
      </w:tr>
      <w:tr>
        <w:trPr>
          <w:trHeight w:val="20"/>
        </w:trPr>
        <w:tc>
          <w:tcPr>
            <w:tcW w:w="6700" w:type="dxa"/>
            <w:vAlign w:val="bottom"/>
            <w:tcBorders>
              <w:top w:val="single" w:sz="8" w:color="E6EEFF"/>
            </w:tcBorders>
          </w:tcPr>
          <w:p>
            <w:pPr>
              <w:spacing w:after="0" w:line="20" w:lineRule="exact"/>
              <w:rPr>
                <w:sz w:val="1"/>
                <w:szCs w:val="1"/>
                <w:color w:val="auto"/>
              </w:rPr>
            </w:pPr>
          </w:p>
        </w:tc>
        <w:tc>
          <w:tcPr>
            <w:tcW w:w="440" w:type="dxa"/>
            <w:vAlign w:val="bottom"/>
            <w:tcBorders>
              <w:top w:val="single" w:sz="8" w:color="E6EEFF"/>
              <w:bottom w:val="single" w:sz="8" w:color="auto"/>
            </w:tcBorders>
          </w:tcPr>
          <w:p>
            <w:pPr>
              <w:spacing w:after="0" w:line="20" w:lineRule="exact"/>
              <w:rPr>
                <w:sz w:val="1"/>
                <w:szCs w:val="1"/>
                <w:color w:val="auto"/>
              </w:rPr>
            </w:pPr>
          </w:p>
        </w:tc>
        <w:tc>
          <w:tcPr>
            <w:tcW w:w="100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420" w:type="dxa"/>
            <w:vAlign w:val="bottom"/>
            <w:tcBorders>
              <w:top w:val="single" w:sz="8" w:color="E6EEFF"/>
              <w:bottom w:val="single" w:sz="8" w:color="auto"/>
            </w:tcBorders>
          </w:tcPr>
          <w:p>
            <w:pPr>
              <w:spacing w:after="0" w:line="20" w:lineRule="exact"/>
              <w:rPr>
                <w:sz w:val="1"/>
                <w:szCs w:val="1"/>
                <w:color w:val="auto"/>
              </w:rPr>
            </w:pPr>
          </w:p>
        </w:tc>
        <w:tc>
          <w:tcPr>
            <w:tcW w:w="1020" w:type="dxa"/>
            <w:vAlign w:val="bottom"/>
            <w:tcBorders>
              <w:top w:val="single" w:sz="8" w:color="E6EEFF"/>
              <w:bottom w:val="single" w:sz="8" w:color="auto"/>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52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have made changes to the presentaton of certain informaton related to net interest income, including Net Interest Margin, beginning in the fourth quarter of 2023. The changes in presentaton are detailed in the below tables. These changes were the result of maters discussed under Item 9B - Other Informaton, in which we concluded that our prior presentaton of Net Interest Margin is a non-GAAP fnancial measure. As a result of these changes, the Net Interest Margin informaton presented prior to the fourth quarter of 2023 is not comparable to the items shown in the table below. The following table details the factors impactng our net interest income for the year ended December 31,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820" w:type="dxa"/>
            <w:vAlign w:val="bottom"/>
            <w:shd w:val="clear" w:color="auto" w:fill="E6EEFF"/>
          </w:tcPr>
          <w:p>
            <w:pPr>
              <w:spacing w:after="0"/>
              <w:rPr>
                <w:sz w:val="18"/>
                <w:szCs w:val="18"/>
                <w:color w:val="auto"/>
              </w:rPr>
            </w:pPr>
          </w:p>
        </w:tc>
        <w:tc>
          <w:tcPr>
            <w:tcW w:w="140" w:type="dxa"/>
            <w:vAlign w:val="bottom"/>
            <w:shd w:val="clear" w:color="auto" w:fill="E6EEFF"/>
          </w:tcPr>
          <w:p>
            <w:pPr>
              <w:spacing w:after="0"/>
              <w:rPr>
                <w:sz w:val="18"/>
                <w:szCs w:val="18"/>
                <w:color w:val="auto"/>
              </w:rPr>
            </w:pPr>
          </w:p>
        </w:tc>
        <w:tc>
          <w:tcPr>
            <w:tcW w:w="1300" w:type="dxa"/>
            <w:vAlign w:val="bottom"/>
            <w:shd w:val="clear" w:color="auto" w:fill="E6EEFF"/>
          </w:tcPr>
          <w:p>
            <w:pPr>
              <w:jc w:val="right"/>
              <w:ind w:right="74"/>
              <w:spacing w:after="0"/>
              <w:rPr>
                <w:sz w:val="20"/>
                <w:szCs w:val="20"/>
                <w:color w:val="auto"/>
              </w:rPr>
            </w:pPr>
            <w:r>
              <w:rPr>
                <w:rFonts w:ascii="Calibri" w:cs="Calibri" w:eastAsia="Calibri" w:hAnsi="Calibri"/>
                <w:sz w:val="17"/>
                <w:szCs w:val="17"/>
                <w:b w:val="1"/>
                <w:bCs w:val="1"/>
                <w:color w:val="1C4787"/>
              </w:rPr>
              <w:t>Interest Income</w:t>
            </w:r>
          </w:p>
        </w:tc>
        <w:tc>
          <w:tcPr>
            <w:tcW w:w="80" w:type="dxa"/>
            <w:vAlign w:val="bottom"/>
            <w:shd w:val="clear" w:color="auto" w:fill="E6EEFF"/>
          </w:tcPr>
          <w:p>
            <w:pPr>
              <w:spacing w:after="0"/>
              <w:rPr>
                <w:sz w:val="18"/>
                <w:szCs w:val="18"/>
                <w:color w:val="auto"/>
              </w:rPr>
            </w:pPr>
          </w:p>
        </w:tc>
        <w:tc>
          <w:tcPr>
            <w:tcW w:w="140" w:type="dxa"/>
            <w:vAlign w:val="bottom"/>
            <w:shd w:val="clear" w:color="auto" w:fill="E6EEFF"/>
          </w:tcPr>
          <w:p>
            <w:pPr>
              <w:spacing w:after="0"/>
              <w:rPr>
                <w:sz w:val="18"/>
                <w:szCs w:val="18"/>
                <w:color w:val="auto"/>
              </w:rPr>
            </w:pPr>
          </w:p>
        </w:tc>
        <w:tc>
          <w:tcPr>
            <w:tcW w:w="1300" w:type="dxa"/>
            <w:vAlign w:val="bottom"/>
            <w:shd w:val="clear" w:color="auto" w:fill="E6EEFF"/>
          </w:tcPr>
          <w:p>
            <w:pPr>
              <w:spacing w:after="0"/>
              <w:rPr>
                <w:sz w:val="18"/>
                <w:szCs w:val="18"/>
                <w:color w:val="auto"/>
              </w:rPr>
            </w:pPr>
          </w:p>
        </w:tc>
        <w:tc>
          <w:tcPr>
            <w:tcW w:w="100" w:type="dxa"/>
            <w:vAlign w:val="bottom"/>
            <w:shd w:val="clear" w:color="auto" w:fill="E6EEFF"/>
          </w:tcPr>
          <w:p>
            <w:pPr>
              <w:spacing w:after="0"/>
              <w:rPr>
                <w:sz w:val="18"/>
                <w:szCs w:val="18"/>
                <w:color w:val="auto"/>
              </w:rPr>
            </w:pPr>
          </w:p>
        </w:tc>
        <w:tc>
          <w:tcPr>
            <w:tcW w:w="1340" w:type="dxa"/>
            <w:vAlign w:val="bottom"/>
            <w:shd w:val="clear" w:color="auto" w:fill="E6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20" w:type="dxa"/>
            <w:vAlign w:val="bottom"/>
            <w:tcBorders>
              <w:bottom w:val="single" w:sz="8" w:color="E6EEFF"/>
            </w:tcBorders>
            <w:shd w:val="clear" w:color="auto" w:fill="E6EEFF"/>
          </w:tcPr>
          <w:p>
            <w:pPr>
              <w:ind w:left="20"/>
              <w:spacing w:after="0" w:line="205" w:lineRule="exact"/>
              <w:rPr>
                <w:sz w:val="20"/>
                <w:szCs w:val="20"/>
                <w:color w:val="auto"/>
              </w:rPr>
            </w:pPr>
            <w:r>
              <w:rPr>
                <w:rFonts w:ascii="Calibri" w:cs="Calibri" w:eastAsia="Calibri" w:hAnsi="Calibri"/>
                <w:sz w:val="17"/>
                <w:szCs w:val="17"/>
                <w:b w:val="1"/>
                <w:bCs w:val="1"/>
                <w:color w:val="1C4787"/>
              </w:rPr>
              <w:t>For the Year Ended December 31, 2023:</w:t>
            </w:r>
          </w:p>
        </w:tc>
        <w:tc>
          <w:tcPr>
            <w:tcW w:w="140" w:type="dxa"/>
            <w:vAlign w:val="bottom"/>
            <w:tcBorders>
              <w:bottom w:val="single" w:sz="8" w:color="E6EEFF"/>
            </w:tcBorders>
            <w:shd w:val="clear" w:color="auto" w:fill="E6EEFF"/>
          </w:tcPr>
          <w:p>
            <w:pPr>
              <w:spacing w:after="0"/>
              <w:rPr>
                <w:sz w:val="19"/>
                <w:szCs w:val="19"/>
                <w:color w:val="auto"/>
              </w:rPr>
            </w:pPr>
          </w:p>
        </w:tc>
        <w:tc>
          <w:tcPr>
            <w:tcW w:w="1300" w:type="dxa"/>
            <w:vAlign w:val="bottom"/>
            <w:tcBorders>
              <w:bottom w:val="single" w:sz="8" w:color="E6EEFF"/>
            </w:tcBorders>
            <w:shd w:val="clear" w:color="auto" w:fill="E6EEFF"/>
          </w:tcPr>
          <w:p>
            <w:pPr>
              <w:jc w:val="right"/>
              <w:ind w:right="294"/>
              <w:spacing w:after="0" w:line="205" w:lineRule="exact"/>
              <w:rPr>
                <w:sz w:val="20"/>
                <w:szCs w:val="20"/>
                <w:color w:val="auto"/>
              </w:rPr>
            </w:pPr>
            <w:r>
              <w:rPr>
                <w:rFonts w:ascii="Calibri" w:cs="Calibri" w:eastAsia="Calibri" w:hAnsi="Calibri"/>
                <w:sz w:val="17"/>
                <w:szCs w:val="17"/>
                <w:b w:val="1"/>
                <w:bCs w:val="1"/>
                <w:color w:val="1C4787"/>
              </w:rPr>
              <w:t>(Expense)</w:t>
            </w:r>
          </w:p>
        </w:tc>
        <w:tc>
          <w:tcPr>
            <w:tcW w:w="80" w:type="dxa"/>
            <w:vAlign w:val="bottom"/>
            <w:tcBorders>
              <w:bottom w:val="single" w:sz="8" w:color="E6EEFF"/>
            </w:tcBorders>
            <w:shd w:val="clear" w:color="auto" w:fill="E6EEFF"/>
          </w:tcPr>
          <w:p>
            <w:pPr>
              <w:spacing w:after="0"/>
              <w:rPr>
                <w:sz w:val="19"/>
                <w:szCs w:val="19"/>
                <w:color w:val="auto"/>
              </w:rPr>
            </w:pPr>
          </w:p>
        </w:tc>
        <w:tc>
          <w:tcPr>
            <w:tcW w:w="140" w:type="dxa"/>
            <w:vAlign w:val="bottom"/>
            <w:tcBorders>
              <w:bottom w:val="single" w:sz="8" w:color="E6EEFF"/>
            </w:tcBorders>
            <w:shd w:val="clear" w:color="auto" w:fill="E6EEFF"/>
          </w:tcPr>
          <w:p>
            <w:pPr>
              <w:spacing w:after="0"/>
              <w:rPr>
                <w:sz w:val="19"/>
                <w:szCs w:val="19"/>
                <w:color w:val="auto"/>
              </w:rPr>
            </w:pPr>
          </w:p>
        </w:tc>
        <w:tc>
          <w:tcPr>
            <w:tcW w:w="1400" w:type="dxa"/>
            <w:vAlign w:val="bottom"/>
            <w:tcBorders>
              <w:bottom w:val="single" w:sz="8" w:color="E6EEFF"/>
            </w:tcBorders>
            <w:gridSpan w:val="2"/>
            <w:shd w:val="clear" w:color="auto" w:fill="E6EEFF"/>
          </w:tcPr>
          <w:p>
            <w:pPr>
              <w:ind w:left="20"/>
              <w:spacing w:after="0" w:line="205" w:lineRule="exact"/>
              <w:rPr>
                <w:sz w:val="20"/>
                <w:szCs w:val="20"/>
                <w:color w:val="auto"/>
              </w:rPr>
            </w:pPr>
            <w:r>
              <w:rPr>
                <w:rFonts w:ascii="Calibri" w:cs="Calibri" w:eastAsia="Calibri" w:hAnsi="Calibri"/>
                <w:sz w:val="17"/>
                <w:szCs w:val="17"/>
                <w:b w:val="1"/>
                <w:bCs w:val="1"/>
                <w:color w:val="1C4787"/>
              </w:rPr>
              <w:t>Average Balance</w:t>
            </w:r>
          </w:p>
        </w:tc>
        <w:tc>
          <w:tcPr>
            <w:tcW w:w="1340" w:type="dxa"/>
            <w:vAlign w:val="bottom"/>
            <w:tcBorders>
              <w:bottom w:val="single" w:sz="8" w:color="E6EEFF"/>
            </w:tcBorders>
            <w:shd w:val="clear" w:color="auto" w:fill="E6EEFF"/>
          </w:tcPr>
          <w:p>
            <w:pPr>
              <w:jc w:val="right"/>
              <w:ind w:right="234"/>
              <w:spacing w:after="0" w:line="205" w:lineRule="exact"/>
              <w:rPr>
                <w:sz w:val="20"/>
                <w:szCs w:val="20"/>
                <w:color w:val="auto"/>
              </w:rPr>
            </w:pPr>
            <w:r>
              <w:rPr>
                <w:rFonts w:ascii="Calibri" w:cs="Calibri" w:eastAsia="Calibri" w:hAnsi="Calibri"/>
                <w:sz w:val="17"/>
                <w:szCs w:val="17"/>
                <w:b w:val="1"/>
                <w:bCs w:val="1"/>
                <w:color w:val="1C4787"/>
              </w:rPr>
              <w:t>Yield/Rate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tcPr>
          <w:p>
            <w:pPr>
              <w:ind w:left="20"/>
              <w:spacing w:after="0" w:line="190" w:lineRule="exact"/>
              <w:rPr>
                <w:sz w:val="20"/>
                <w:szCs w:val="20"/>
                <w:color w:val="auto"/>
              </w:rPr>
            </w:pPr>
            <w:r>
              <w:rPr>
                <w:rFonts w:ascii="Calibri" w:cs="Calibri" w:eastAsia="Calibri" w:hAnsi="Calibri"/>
                <w:sz w:val="17"/>
                <w:szCs w:val="17"/>
                <w:color w:val="auto"/>
              </w:rPr>
              <w:t>Agency Securites, Net of Amortzaton</w:t>
            </w:r>
          </w:p>
        </w:tc>
        <w:tc>
          <w:tcPr>
            <w:tcW w:w="14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130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546,246</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130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11,381,637</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4.80 %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82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Cash Equivalents &amp; Treasury Securites</w:t>
            </w:r>
          </w:p>
        </w:tc>
        <w:tc>
          <w:tcPr>
            <w:tcW w:w="140" w:type="dxa"/>
            <w:vAlign w:val="bottom"/>
            <w:shd w:val="clear" w:color="auto" w:fill="E6EEFF"/>
          </w:tcPr>
          <w:p>
            <w:pPr>
              <w:spacing w:after="0"/>
              <w:rPr>
                <w:sz w:val="19"/>
                <w:szCs w:val="19"/>
                <w:color w:val="auto"/>
              </w:rPr>
            </w:pPr>
          </w:p>
        </w:tc>
        <w:tc>
          <w:tcPr>
            <w:tcW w:w="13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5,684</w:t>
            </w:r>
          </w:p>
        </w:tc>
        <w:tc>
          <w:tcPr>
            <w:tcW w:w="80" w:type="dxa"/>
            <w:vAlign w:val="bottom"/>
            <w:shd w:val="clear" w:color="auto" w:fill="E6EEFF"/>
          </w:tcPr>
          <w:p>
            <w:pPr>
              <w:spacing w:after="0"/>
              <w:rPr>
                <w:sz w:val="19"/>
                <w:szCs w:val="19"/>
                <w:color w:val="auto"/>
              </w:rPr>
            </w:pPr>
          </w:p>
        </w:tc>
        <w:tc>
          <w:tcPr>
            <w:tcW w:w="140" w:type="dxa"/>
            <w:vAlign w:val="bottom"/>
            <w:shd w:val="clear" w:color="auto" w:fill="E6EEFF"/>
          </w:tcPr>
          <w:p>
            <w:pPr>
              <w:spacing w:after="0"/>
              <w:rPr>
                <w:sz w:val="19"/>
                <w:szCs w:val="19"/>
                <w:color w:val="auto"/>
              </w:rPr>
            </w:pPr>
          </w:p>
        </w:tc>
        <w:tc>
          <w:tcPr>
            <w:tcW w:w="13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159,112</w:t>
            </w:r>
          </w:p>
        </w:tc>
        <w:tc>
          <w:tcPr>
            <w:tcW w:w="100" w:type="dxa"/>
            <w:vAlign w:val="bottom"/>
            <w:shd w:val="clear" w:color="auto" w:fill="E6EEFF"/>
          </w:tcPr>
          <w:p>
            <w:pPr>
              <w:spacing w:after="0"/>
              <w:rPr>
                <w:sz w:val="19"/>
                <w:szCs w:val="19"/>
                <w:color w:val="auto"/>
              </w:rPr>
            </w:pPr>
          </w:p>
        </w:tc>
        <w:tc>
          <w:tcPr>
            <w:tcW w:w="13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3.57 %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20" w:type="dxa"/>
            <w:vAlign w:val="bottom"/>
            <w:tcBorders>
              <w:bottom w:val="single" w:sz="8" w:color="E6EEFF"/>
            </w:tcBorders>
          </w:tcPr>
          <w:p>
            <w:pPr>
              <w:ind w:left="20"/>
              <w:spacing w:after="0" w:line="205" w:lineRule="exact"/>
              <w:rPr>
                <w:sz w:val="20"/>
                <w:szCs w:val="20"/>
                <w:color w:val="auto"/>
              </w:rPr>
            </w:pPr>
            <w:r>
              <w:rPr>
                <w:rFonts w:ascii="Calibri" w:cs="Calibri" w:eastAsia="Calibri" w:hAnsi="Calibri"/>
                <w:sz w:val="17"/>
                <w:szCs w:val="17"/>
                <w:color w:val="auto"/>
              </w:rPr>
              <w:t>Subordinated Loan to BUCKLER</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973</w:t>
            </w:r>
          </w:p>
        </w:tc>
        <w:tc>
          <w:tcPr>
            <w:tcW w:w="80" w:type="dxa"/>
            <w:vAlign w:val="bottom"/>
            <w:tcBorders>
              <w:bottom w:val="single" w:sz="8" w:color="E6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22,726</w:t>
            </w:r>
          </w:p>
        </w:tc>
        <w:tc>
          <w:tcPr>
            <w:tcW w:w="100" w:type="dxa"/>
            <w:vAlign w:val="bottom"/>
            <w:tcBorders>
              <w:bottom w:val="single" w:sz="8" w:color="E6EEFF"/>
            </w:tcBorders>
          </w:tcPr>
          <w:p>
            <w:pPr>
              <w:spacing w:after="0"/>
              <w:rPr>
                <w:sz w:val="18"/>
                <w:szCs w:val="18"/>
                <w:color w:val="auto"/>
              </w:rPr>
            </w:pPr>
          </w:p>
        </w:tc>
        <w:tc>
          <w:tcPr>
            <w:tcW w:w="13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4.28 %</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820" w:type="dxa"/>
            <w:vAlign w:val="bottom"/>
            <w:tcBorders>
              <w:bottom w:val="single" w:sz="8" w:color="E6EEFF"/>
            </w:tcBorders>
            <w:shd w:val="clear" w:color="auto" w:fill="E6EEFF"/>
          </w:tcPr>
          <w:p>
            <w:pPr>
              <w:ind w:left="20"/>
              <w:spacing w:after="0"/>
              <w:rPr>
                <w:sz w:val="20"/>
                <w:szCs w:val="20"/>
                <w:color w:val="auto"/>
              </w:rPr>
            </w:pPr>
            <w:r>
              <w:rPr>
                <w:rFonts w:ascii="Calibri" w:cs="Calibri" w:eastAsia="Calibri" w:hAnsi="Calibri"/>
                <w:sz w:val="17"/>
                <w:szCs w:val="17"/>
                <w:color w:val="auto"/>
              </w:rPr>
              <w:t>Total Interest Income/Average Interest Earning Assets</w:t>
            </w:r>
          </w:p>
        </w:tc>
        <w:tc>
          <w:tcPr>
            <w:tcW w:w="1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w:t>
            </w:r>
          </w:p>
        </w:tc>
        <w:tc>
          <w:tcPr>
            <w:tcW w:w="130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552,903</w:t>
            </w:r>
          </w:p>
        </w:tc>
        <w:tc>
          <w:tcPr>
            <w:tcW w:w="80" w:type="dxa"/>
            <w:vAlign w:val="bottom"/>
            <w:tcBorders>
              <w:bottom w:val="single" w:sz="8" w:color="E6EEFF"/>
            </w:tcBorders>
            <w:shd w:val="clear" w:color="auto" w:fill="E6EEFF"/>
          </w:tcPr>
          <w:p>
            <w:pPr>
              <w:spacing w:after="0"/>
              <w:rPr>
                <w:sz w:val="24"/>
                <w:szCs w:val="24"/>
                <w:color w:val="auto"/>
              </w:rPr>
            </w:pPr>
          </w:p>
        </w:tc>
        <w:tc>
          <w:tcPr>
            <w:tcW w:w="1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130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11,563,475</w:t>
            </w:r>
          </w:p>
        </w:tc>
        <w:tc>
          <w:tcPr>
            <w:tcW w:w="100" w:type="dxa"/>
            <w:vAlign w:val="bottom"/>
            <w:tcBorders>
              <w:bottom w:val="single" w:sz="8" w:color="E6EEFF"/>
            </w:tcBorders>
            <w:shd w:val="clear" w:color="auto" w:fill="E6EEFF"/>
          </w:tcPr>
          <w:p>
            <w:pPr>
              <w:spacing w:after="0"/>
              <w:rPr>
                <w:sz w:val="24"/>
                <w:szCs w:val="24"/>
                <w:color w:val="auto"/>
              </w:rPr>
            </w:pPr>
          </w:p>
        </w:tc>
        <w:tc>
          <w:tcPr>
            <w:tcW w:w="13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4.78 %</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820" w:type="dxa"/>
            <w:vAlign w:val="bottom"/>
            <w:tcBorders>
              <w:top w:val="single" w:sz="8" w:color="E6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80" w:type="dxa"/>
            <w:vAlign w:val="bottom"/>
            <w:tcBorders>
              <w:top w:val="single" w:sz="8" w:color="E6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100" w:type="dxa"/>
            <w:vAlign w:val="bottom"/>
            <w:tcBorders>
              <w:top w:val="single" w:sz="8" w:color="E6EEFF"/>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20" w:type="dxa"/>
            <w:vAlign w:val="bottom"/>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Interest-bearing Liabilites:</w:t>
            </w:r>
          </w:p>
        </w:tc>
        <w:tc>
          <w:tcPr>
            <w:tcW w:w="140" w:type="dxa"/>
            <w:vAlign w:val="bottom"/>
            <w:shd w:val="clear" w:color="auto" w:fill="E6EEFF"/>
          </w:tcPr>
          <w:p>
            <w:pPr>
              <w:spacing w:after="0"/>
              <w:rPr>
                <w:sz w:val="19"/>
                <w:szCs w:val="19"/>
                <w:color w:val="auto"/>
              </w:rPr>
            </w:pPr>
          </w:p>
        </w:tc>
        <w:tc>
          <w:tcPr>
            <w:tcW w:w="1300" w:type="dxa"/>
            <w:vAlign w:val="bottom"/>
            <w:shd w:val="clear" w:color="auto" w:fill="E6EEFF"/>
          </w:tcPr>
          <w:p>
            <w:pPr>
              <w:spacing w:after="0"/>
              <w:rPr>
                <w:sz w:val="19"/>
                <w:szCs w:val="19"/>
                <w:color w:val="auto"/>
              </w:rPr>
            </w:pPr>
          </w:p>
        </w:tc>
        <w:tc>
          <w:tcPr>
            <w:tcW w:w="80" w:type="dxa"/>
            <w:vAlign w:val="bottom"/>
            <w:shd w:val="clear" w:color="auto" w:fill="E6EEFF"/>
          </w:tcPr>
          <w:p>
            <w:pPr>
              <w:spacing w:after="0"/>
              <w:rPr>
                <w:sz w:val="19"/>
                <w:szCs w:val="19"/>
                <w:color w:val="auto"/>
              </w:rPr>
            </w:pPr>
          </w:p>
        </w:tc>
        <w:tc>
          <w:tcPr>
            <w:tcW w:w="140" w:type="dxa"/>
            <w:vAlign w:val="bottom"/>
            <w:shd w:val="clear" w:color="auto" w:fill="E6EEFF"/>
          </w:tcPr>
          <w:p>
            <w:pPr>
              <w:spacing w:after="0"/>
              <w:rPr>
                <w:sz w:val="19"/>
                <w:szCs w:val="19"/>
                <w:color w:val="auto"/>
              </w:rPr>
            </w:pPr>
          </w:p>
        </w:tc>
        <w:tc>
          <w:tcPr>
            <w:tcW w:w="130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1340" w:type="dxa"/>
            <w:vAlign w:val="bottom"/>
            <w:shd w:val="clear" w:color="auto" w:fill="E6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20" w:type="dxa"/>
            <w:vAlign w:val="bottom"/>
          </w:tcPr>
          <w:p>
            <w:pPr>
              <w:ind w:left="20"/>
              <w:spacing w:after="0" w:line="205" w:lineRule="exact"/>
              <w:rPr>
                <w:sz w:val="20"/>
                <w:szCs w:val="20"/>
                <w:color w:val="auto"/>
              </w:rPr>
            </w:pPr>
            <w:r>
              <w:rPr>
                <w:rFonts w:ascii="Calibri" w:cs="Calibri" w:eastAsia="Calibri" w:hAnsi="Calibri"/>
                <w:sz w:val="17"/>
                <w:szCs w:val="17"/>
                <w:color w:val="auto"/>
              </w:rPr>
              <w:t>Repurchase Agreements</w:t>
            </w:r>
          </w:p>
        </w:tc>
        <w:tc>
          <w:tcPr>
            <w:tcW w:w="14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1300" w:type="dxa"/>
            <w:vAlign w:val="bottom"/>
          </w:tcPr>
          <w:p>
            <w:pPr>
              <w:jc w:val="right"/>
              <w:spacing w:after="0" w:line="205" w:lineRule="exact"/>
              <w:rPr>
                <w:sz w:val="20"/>
                <w:szCs w:val="20"/>
                <w:color w:val="auto"/>
              </w:rPr>
            </w:pPr>
            <w:r>
              <w:rPr>
                <w:rFonts w:ascii="Calibri" w:cs="Calibri" w:eastAsia="Calibri" w:hAnsi="Calibri"/>
                <w:sz w:val="17"/>
                <w:szCs w:val="17"/>
                <w:color w:val="auto"/>
              </w:rPr>
              <w:t>(506,242)</w:t>
            </w:r>
          </w:p>
        </w:tc>
        <w:tc>
          <w:tcPr>
            <w:tcW w:w="220" w:type="dxa"/>
            <w:vAlign w:val="bottom"/>
            <w:gridSpan w:val="2"/>
          </w:tcPr>
          <w:p>
            <w:pPr>
              <w:jc w:val="right"/>
              <w:spacing w:after="0" w:line="205" w:lineRule="exact"/>
              <w:rPr>
                <w:sz w:val="20"/>
                <w:szCs w:val="20"/>
                <w:color w:val="auto"/>
              </w:rPr>
            </w:pPr>
            <w:r>
              <w:rPr>
                <w:rFonts w:ascii="Calibri" w:cs="Calibri" w:eastAsia="Calibri" w:hAnsi="Calibri"/>
                <w:sz w:val="17"/>
                <w:szCs w:val="17"/>
                <w:color w:val="auto"/>
              </w:rPr>
              <w:t>$</w:t>
            </w:r>
          </w:p>
        </w:tc>
        <w:tc>
          <w:tcPr>
            <w:tcW w:w="1300" w:type="dxa"/>
            <w:vAlign w:val="bottom"/>
          </w:tcPr>
          <w:p>
            <w:pPr>
              <w:jc w:val="right"/>
              <w:spacing w:after="0" w:line="205" w:lineRule="exact"/>
              <w:rPr>
                <w:sz w:val="20"/>
                <w:szCs w:val="20"/>
                <w:color w:val="auto"/>
              </w:rPr>
            </w:pPr>
            <w:r>
              <w:rPr>
                <w:rFonts w:ascii="Calibri" w:cs="Calibri" w:eastAsia="Calibri" w:hAnsi="Calibri"/>
                <w:sz w:val="17"/>
                <w:szCs w:val="17"/>
                <w:color w:val="auto"/>
              </w:rPr>
              <w:t>9,580,996</w:t>
            </w:r>
          </w:p>
        </w:tc>
        <w:tc>
          <w:tcPr>
            <w:tcW w:w="100" w:type="dxa"/>
            <w:vAlign w:val="bottom"/>
          </w:tcPr>
          <w:p>
            <w:pPr>
              <w:spacing w:after="0"/>
              <w:rPr>
                <w:sz w:val="18"/>
                <w:szCs w:val="18"/>
                <w:color w:val="auto"/>
              </w:rPr>
            </w:pPr>
          </w:p>
        </w:tc>
        <w:tc>
          <w:tcPr>
            <w:tcW w:w="1340" w:type="dxa"/>
            <w:vAlign w:val="bottom"/>
          </w:tcPr>
          <w:p>
            <w:pPr>
              <w:jc w:val="right"/>
              <w:spacing w:after="0" w:line="205" w:lineRule="exact"/>
              <w:rPr>
                <w:sz w:val="20"/>
                <w:szCs w:val="20"/>
                <w:color w:val="auto"/>
              </w:rPr>
            </w:pPr>
            <w:r>
              <w:rPr>
                <w:rFonts w:ascii="Calibri" w:cs="Calibri" w:eastAsia="Calibri" w:hAnsi="Calibri"/>
                <w:sz w:val="17"/>
                <w:szCs w:val="17"/>
                <w:color w:val="auto"/>
              </w:rPr>
              <w:t>(5.28)%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82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Treasury Securites Sold Short</w:t>
            </w:r>
          </w:p>
        </w:tc>
        <w:tc>
          <w:tcPr>
            <w:tcW w:w="140" w:type="dxa"/>
            <w:vAlign w:val="bottom"/>
            <w:tcBorders>
              <w:bottom w:val="single" w:sz="8" w:color="auto"/>
            </w:tcBorders>
            <w:shd w:val="clear" w:color="auto" w:fill="E6EEFF"/>
          </w:tcPr>
          <w:p>
            <w:pPr>
              <w:spacing w:after="0"/>
              <w:rPr>
                <w:sz w:val="19"/>
                <w:szCs w:val="19"/>
                <w:color w:val="auto"/>
              </w:rPr>
            </w:pPr>
          </w:p>
        </w:tc>
        <w:tc>
          <w:tcPr>
            <w:tcW w:w="130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(19,552)</w:t>
            </w:r>
          </w:p>
        </w:tc>
        <w:tc>
          <w:tcPr>
            <w:tcW w:w="80" w:type="dxa"/>
            <w:vAlign w:val="bottom"/>
            <w:shd w:val="clear" w:color="auto" w:fill="E6EEFF"/>
          </w:tcPr>
          <w:p>
            <w:pPr>
              <w:spacing w:after="0"/>
              <w:rPr>
                <w:sz w:val="19"/>
                <w:szCs w:val="19"/>
                <w:color w:val="auto"/>
              </w:rPr>
            </w:pPr>
          </w:p>
        </w:tc>
        <w:tc>
          <w:tcPr>
            <w:tcW w:w="140" w:type="dxa"/>
            <w:vAlign w:val="bottom"/>
            <w:tcBorders>
              <w:bottom w:val="single" w:sz="8" w:color="auto"/>
            </w:tcBorders>
            <w:shd w:val="clear" w:color="auto" w:fill="E6EEFF"/>
          </w:tcPr>
          <w:p>
            <w:pPr>
              <w:spacing w:after="0"/>
              <w:rPr>
                <w:sz w:val="19"/>
                <w:szCs w:val="19"/>
                <w:color w:val="auto"/>
              </w:rPr>
            </w:pPr>
          </w:p>
        </w:tc>
        <w:tc>
          <w:tcPr>
            <w:tcW w:w="130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432,922</w:t>
            </w:r>
          </w:p>
        </w:tc>
        <w:tc>
          <w:tcPr>
            <w:tcW w:w="100" w:type="dxa"/>
            <w:vAlign w:val="bottom"/>
            <w:shd w:val="clear" w:color="auto" w:fill="E6EEFF"/>
          </w:tcPr>
          <w:p>
            <w:pPr>
              <w:spacing w:after="0"/>
              <w:rPr>
                <w:sz w:val="19"/>
                <w:szCs w:val="19"/>
                <w:color w:val="auto"/>
              </w:rPr>
            </w:pPr>
          </w:p>
        </w:tc>
        <w:tc>
          <w:tcPr>
            <w:tcW w:w="13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(4.52)%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20" w:type="dxa"/>
            <w:vAlign w:val="bottom"/>
          </w:tcPr>
          <w:p>
            <w:pPr>
              <w:ind w:left="20"/>
              <w:spacing w:after="0"/>
              <w:rPr>
                <w:sz w:val="20"/>
                <w:szCs w:val="20"/>
                <w:color w:val="auto"/>
              </w:rPr>
            </w:pPr>
            <w:r>
              <w:rPr>
                <w:rFonts w:ascii="Calibri" w:cs="Calibri" w:eastAsia="Calibri" w:hAnsi="Calibri"/>
                <w:sz w:val="17"/>
                <w:szCs w:val="17"/>
                <w:color w:val="auto"/>
              </w:rPr>
              <w:t>Total Interest Expense/Average Interest Bearing Liabilites</w:t>
            </w:r>
          </w:p>
        </w:tc>
        <w:tc>
          <w:tcPr>
            <w:tcW w:w="140" w:type="dxa"/>
            <w:vAlign w:val="bottom"/>
          </w:tcPr>
          <w:p>
            <w:pPr>
              <w:jc w:val="right"/>
              <w:spacing w:after="0"/>
              <w:rPr>
                <w:sz w:val="20"/>
                <w:szCs w:val="20"/>
                <w:color w:val="auto"/>
              </w:rPr>
            </w:pPr>
            <w:r>
              <w:rPr>
                <w:rFonts w:ascii="Calibri" w:cs="Calibri" w:eastAsia="Calibri" w:hAnsi="Calibri"/>
                <w:sz w:val="17"/>
                <w:szCs w:val="17"/>
                <w:color w:val="auto"/>
              </w:rPr>
              <w:t>$</w:t>
            </w:r>
          </w:p>
        </w:tc>
        <w:tc>
          <w:tcPr>
            <w:tcW w:w="1300" w:type="dxa"/>
            <w:vAlign w:val="bottom"/>
          </w:tcPr>
          <w:p>
            <w:pPr>
              <w:jc w:val="right"/>
              <w:spacing w:after="0"/>
              <w:rPr>
                <w:sz w:val="20"/>
                <w:szCs w:val="20"/>
                <w:color w:val="auto"/>
              </w:rPr>
            </w:pPr>
            <w:r>
              <w:rPr>
                <w:rFonts w:ascii="Calibri" w:cs="Calibri" w:eastAsia="Calibri" w:hAnsi="Calibri"/>
                <w:sz w:val="17"/>
                <w:szCs w:val="17"/>
                <w:color w:val="auto"/>
              </w:rPr>
              <w:t>(525,794)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13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10,013,918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Calibri" w:cs="Calibri" w:eastAsia="Calibri" w:hAnsi="Calibri"/>
                <w:sz w:val="17"/>
                <w:szCs w:val="17"/>
                <w:color w:val="auto"/>
              </w:rPr>
              <w:t>(5.25)%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20" w:type="dxa"/>
            <w:vAlign w:val="bottom"/>
            <w:tcBorders>
              <w:bottom w:val="single" w:sz="8" w:color="E6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E6EEFF"/>
            </w:tcBorders>
          </w:tcPr>
          <w:p>
            <w:pPr>
              <w:spacing w:after="0"/>
              <w:rPr>
                <w:sz w:val="3"/>
                <w:szCs w:val="3"/>
                <w:color w:val="auto"/>
              </w:rPr>
            </w:pPr>
          </w:p>
        </w:tc>
        <w:tc>
          <w:tcPr>
            <w:tcW w:w="140" w:type="dxa"/>
            <w:vAlign w:val="bottom"/>
            <w:tcBorders>
              <w:bottom w:val="single" w:sz="8" w:color="E6EEFF"/>
            </w:tcBorders>
          </w:tcPr>
          <w:p>
            <w:pPr>
              <w:spacing w:after="0"/>
              <w:rPr>
                <w:sz w:val="3"/>
                <w:szCs w:val="3"/>
                <w:color w:val="auto"/>
              </w:rPr>
            </w:pPr>
          </w:p>
        </w:tc>
        <w:tc>
          <w:tcPr>
            <w:tcW w:w="1300" w:type="dxa"/>
            <w:vAlign w:val="bottom"/>
            <w:tcBorders>
              <w:bottom w:val="single" w:sz="8" w:color="E6EEFF"/>
            </w:tcBorders>
          </w:tcPr>
          <w:p>
            <w:pPr>
              <w:spacing w:after="0"/>
              <w:rPr>
                <w:sz w:val="3"/>
                <w:szCs w:val="3"/>
                <w:color w:val="auto"/>
              </w:rPr>
            </w:pPr>
          </w:p>
        </w:tc>
        <w:tc>
          <w:tcPr>
            <w:tcW w:w="100" w:type="dxa"/>
            <w:vAlign w:val="bottom"/>
            <w:tcBorders>
              <w:bottom w:val="single" w:sz="8" w:color="E6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Borders>
              <w:top w:val="single" w:sz="8" w:color="E6EEFF"/>
              <w:bottom w:val="single" w:sz="8" w:color="E6EEFF"/>
            </w:tcBorders>
            <w:shd w:val="clear" w:color="auto" w:fill="E6EEFF"/>
          </w:tcPr>
          <w:p>
            <w:pPr>
              <w:ind w:left="20"/>
              <w:spacing w:after="0" w:line="178" w:lineRule="exact"/>
              <w:rPr>
                <w:sz w:val="20"/>
                <w:szCs w:val="20"/>
                <w:color w:val="auto"/>
              </w:rPr>
            </w:pPr>
            <w:r>
              <w:rPr>
                <w:rFonts w:ascii="Calibri" w:cs="Calibri" w:eastAsia="Calibri" w:hAnsi="Calibri"/>
                <w:sz w:val="17"/>
                <w:szCs w:val="17"/>
                <w:color w:val="auto"/>
              </w:rPr>
              <w:t>Net Interest Income/Net Interest Spread</w:t>
            </w:r>
          </w:p>
        </w:tc>
        <w:tc>
          <w:tcPr>
            <w:tcW w:w="140" w:type="dxa"/>
            <w:vAlign w:val="bottom"/>
            <w:tcBorders>
              <w:top w:val="single" w:sz="8" w:color="E6EEFF"/>
              <w:bottom w:val="single" w:sz="8" w:color="auto"/>
            </w:tcBorders>
            <w:shd w:val="clear" w:color="auto" w:fill="E6EEFF"/>
          </w:tcPr>
          <w:p>
            <w:pPr>
              <w:jc w:val="right"/>
              <w:spacing w:after="0" w:line="178" w:lineRule="exact"/>
              <w:rPr>
                <w:sz w:val="20"/>
                <w:szCs w:val="20"/>
                <w:color w:val="auto"/>
              </w:rPr>
            </w:pPr>
            <w:r>
              <w:rPr>
                <w:rFonts w:ascii="Calibri" w:cs="Calibri" w:eastAsia="Calibri" w:hAnsi="Calibri"/>
                <w:sz w:val="17"/>
                <w:szCs w:val="17"/>
                <w:color w:val="auto"/>
              </w:rPr>
              <w:t>$</w:t>
            </w:r>
          </w:p>
        </w:tc>
        <w:tc>
          <w:tcPr>
            <w:tcW w:w="1300" w:type="dxa"/>
            <w:vAlign w:val="bottom"/>
            <w:tcBorders>
              <w:top w:val="single" w:sz="8" w:color="E6EEFF"/>
              <w:bottom w:val="single" w:sz="8" w:color="auto"/>
            </w:tcBorders>
            <w:shd w:val="clear" w:color="auto" w:fill="E6EEFF"/>
          </w:tcPr>
          <w:p>
            <w:pPr>
              <w:jc w:val="right"/>
              <w:spacing w:after="0" w:line="178" w:lineRule="exact"/>
              <w:rPr>
                <w:sz w:val="20"/>
                <w:szCs w:val="20"/>
                <w:color w:val="auto"/>
              </w:rPr>
            </w:pPr>
            <w:r>
              <w:rPr>
                <w:rFonts w:ascii="Calibri" w:cs="Calibri" w:eastAsia="Calibri" w:hAnsi="Calibri"/>
                <w:sz w:val="17"/>
                <w:szCs w:val="17"/>
                <w:color w:val="auto"/>
              </w:rPr>
              <w:t>27,109</w:t>
            </w:r>
          </w:p>
        </w:tc>
        <w:tc>
          <w:tcPr>
            <w:tcW w:w="80" w:type="dxa"/>
            <w:vAlign w:val="bottom"/>
            <w:tcBorders>
              <w:top w:val="single" w:sz="8" w:color="E6EEFF"/>
              <w:bottom w:val="single" w:sz="8" w:color="E6EEFF"/>
            </w:tcBorders>
            <w:shd w:val="clear" w:color="auto" w:fill="E6EEFF"/>
          </w:tcPr>
          <w:p>
            <w:pPr>
              <w:spacing w:after="0"/>
              <w:rPr>
                <w:sz w:val="17"/>
                <w:szCs w:val="17"/>
                <w:color w:val="auto"/>
              </w:rPr>
            </w:pPr>
          </w:p>
        </w:tc>
        <w:tc>
          <w:tcPr>
            <w:tcW w:w="140" w:type="dxa"/>
            <w:vAlign w:val="bottom"/>
            <w:tcBorders>
              <w:top w:val="single" w:sz="8" w:color="auto"/>
              <w:bottom w:val="single" w:sz="8" w:color="E6EEFF"/>
            </w:tcBorders>
            <w:shd w:val="clear" w:color="auto" w:fill="E6EEFF"/>
          </w:tcPr>
          <w:p>
            <w:pPr>
              <w:spacing w:after="0"/>
              <w:rPr>
                <w:sz w:val="17"/>
                <w:szCs w:val="17"/>
                <w:color w:val="auto"/>
              </w:rPr>
            </w:pPr>
          </w:p>
        </w:tc>
        <w:tc>
          <w:tcPr>
            <w:tcW w:w="1300" w:type="dxa"/>
            <w:vAlign w:val="bottom"/>
            <w:tcBorders>
              <w:top w:val="single" w:sz="8" w:color="auto"/>
              <w:bottom w:val="single" w:sz="8" w:color="E6EEFF"/>
            </w:tcBorders>
            <w:shd w:val="clear" w:color="auto" w:fill="E6EEFF"/>
          </w:tcPr>
          <w:p>
            <w:pPr>
              <w:spacing w:after="0"/>
              <w:rPr>
                <w:sz w:val="17"/>
                <w:szCs w:val="17"/>
                <w:color w:val="auto"/>
              </w:rPr>
            </w:pPr>
          </w:p>
        </w:tc>
        <w:tc>
          <w:tcPr>
            <w:tcW w:w="100" w:type="dxa"/>
            <w:vAlign w:val="bottom"/>
            <w:tcBorders>
              <w:top w:val="single" w:sz="8" w:color="E6EEFF"/>
              <w:bottom w:val="single" w:sz="8" w:color="E6EEFF"/>
            </w:tcBorders>
            <w:shd w:val="clear" w:color="auto" w:fill="E6EEFF"/>
          </w:tcPr>
          <w:p>
            <w:pPr>
              <w:spacing w:after="0"/>
              <w:rPr>
                <w:sz w:val="17"/>
                <w:szCs w:val="17"/>
                <w:color w:val="auto"/>
              </w:rPr>
            </w:pPr>
          </w:p>
        </w:tc>
        <w:tc>
          <w:tcPr>
            <w:tcW w:w="1340" w:type="dxa"/>
            <w:vAlign w:val="bottom"/>
            <w:tcBorders>
              <w:top w:val="single" w:sz="8" w:color="E6EEFF"/>
              <w:bottom w:val="single" w:sz="8" w:color="auto"/>
            </w:tcBorders>
            <w:shd w:val="clear" w:color="auto" w:fill="E6EEFF"/>
          </w:tcPr>
          <w:p>
            <w:pPr>
              <w:jc w:val="right"/>
              <w:spacing w:after="0" w:line="178" w:lineRule="exact"/>
              <w:rPr>
                <w:sz w:val="20"/>
                <w:szCs w:val="20"/>
                <w:color w:val="auto"/>
              </w:rPr>
            </w:pPr>
            <w:r>
              <w:rPr>
                <w:rFonts w:ascii="Calibri" w:cs="Calibri" w:eastAsia="Calibri" w:hAnsi="Calibri"/>
                <w:sz w:val="17"/>
                <w:szCs w:val="17"/>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top w:val="single" w:sz="8" w:color="E6EEFF"/>
              <w:bottom w:val="single" w:sz="8" w:color="E6EEFF"/>
            </w:tcBorders>
            <w:vMerge w:val="restart"/>
          </w:tcPr>
          <w:p>
            <w:pPr>
              <w:ind w:left="20"/>
              <w:spacing w:after="0"/>
              <w:rPr>
                <w:sz w:val="20"/>
                <w:szCs w:val="20"/>
                <w:color w:val="auto"/>
              </w:rPr>
            </w:pPr>
            <w:r>
              <w:rPr>
                <w:rFonts w:ascii="Calibri" w:cs="Calibri" w:eastAsia="Calibri" w:hAnsi="Calibri"/>
                <w:sz w:val="17"/>
                <w:szCs w:val="17"/>
                <w:color w:val="auto"/>
              </w:rPr>
              <w:t>Net Yield on Interest Earning Assets</w:t>
            </w:r>
          </w:p>
        </w:tc>
        <w:tc>
          <w:tcPr>
            <w:tcW w:w="140" w:type="dxa"/>
            <w:vAlign w:val="bottom"/>
            <w:tcBorders>
              <w:top w:val="single" w:sz="8" w:color="E6EEFF"/>
              <w:bottom w:val="single" w:sz="8" w:color="auto"/>
            </w:tcBorders>
          </w:tcPr>
          <w:p>
            <w:pPr>
              <w:spacing w:after="0" w:line="20" w:lineRule="exact"/>
              <w:rPr>
                <w:sz w:val="1"/>
                <w:szCs w:val="1"/>
                <w:color w:val="auto"/>
              </w:rPr>
            </w:pPr>
          </w:p>
        </w:tc>
        <w:tc>
          <w:tcPr>
            <w:tcW w:w="1300" w:type="dxa"/>
            <w:vAlign w:val="bottom"/>
            <w:tcBorders>
              <w:top w:val="single" w:sz="8" w:color="E6EEFF"/>
              <w:bottom w:val="single" w:sz="8" w:color="auto"/>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140" w:type="dxa"/>
            <w:vAlign w:val="bottom"/>
            <w:tcBorders>
              <w:top w:val="single" w:sz="8" w:color="E6EEFF"/>
            </w:tcBorders>
          </w:tcPr>
          <w:p>
            <w:pPr>
              <w:spacing w:after="0" w:line="20" w:lineRule="exact"/>
              <w:rPr>
                <w:sz w:val="1"/>
                <w:szCs w:val="1"/>
                <w:color w:val="auto"/>
              </w:rPr>
            </w:pPr>
          </w:p>
        </w:tc>
        <w:tc>
          <w:tcPr>
            <w:tcW w:w="1300" w:type="dxa"/>
            <w:vAlign w:val="bottom"/>
            <w:tcBorders>
              <w:top w:val="single" w:sz="8" w:color="E6EEFF"/>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340" w:type="dxa"/>
            <w:vAlign w:val="bottom"/>
            <w:tcBorders>
              <w:top w:val="single" w:sz="8" w:color="E6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line="177" w:lineRule="exact"/>
              <w:rPr>
                <w:sz w:val="20"/>
                <w:szCs w:val="20"/>
                <w:color w:val="auto"/>
              </w:rPr>
            </w:pPr>
            <w:r>
              <w:rPr>
                <w:rFonts w:ascii="Calibri" w:cs="Calibri" w:eastAsia="Calibri" w:hAnsi="Calibri"/>
                <w:sz w:val="17"/>
                <w:szCs w:val="17"/>
                <w:color w:val="auto"/>
              </w:rPr>
              <w:t>0.23 %</w:t>
            </w:r>
          </w:p>
        </w:tc>
        <w:tc>
          <w:tcPr>
            <w:tcW w:w="0" w:type="dxa"/>
            <w:vAlign w:val="bottom"/>
          </w:tcPr>
          <w:p>
            <w:pPr>
              <w:spacing w:after="0"/>
              <w:rPr>
                <w:sz w:val="1"/>
                <w:szCs w:val="1"/>
                <w:color w:val="auto"/>
              </w:rPr>
            </w:pPr>
          </w:p>
        </w:tc>
      </w:tr>
      <w:tr>
        <w:trPr>
          <w:trHeight w:val="1864"/>
        </w:trPr>
        <w:tc>
          <w:tcPr>
            <w:tcW w:w="2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-752475</wp:posOffset>
            </wp:positionV>
            <wp:extent cx="458470" cy="5073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1" w:name="page52"/>
    <w:bookmarkEnd w:id="51"/>
    <w:p>
      <w:pPr>
        <w:jc w:val="center"/>
        <w:ind w:left="1420"/>
        <w:spacing w:after="0"/>
        <w:rPr>
          <w:sz w:val="20"/>
          <w:szCs w:val="20"/>
          <w:color w:val="auto"/>
        </w:rPr>
      </w:pPr>
      <w:r>
        <w:rPr>
          <w:rFonts w:ascii="Calibri" w:cs="Calibri" w:eastAsia="Calibri" w:hAnsi="Calibri"/>
          <w:sz w:val="19"/>
          <w:szCs w:val="19"/>
          <w:b w:val="1"/>
          <w:bCs w:val="1"/>
          <w:color w:val="1C4787"/>
        </w:rPr>
        <w:t>ARMOUR Residental REIT, Inc.</w:t>
      </w:r>
    </w:p>
    <w:p>
      <w:pPr>
        <w:jc w:val="center"/>
        <w:ind w:left="1420"/>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ind w:left="1420"/>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The following table details the factors impactng our net interest income for the year ended December 31, 2022.</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Calibri" w:cs="Calibri" w:eastAsia="Calibri" w:hAnsi="Calibri"/>
                <w:sz w:val="17"/>
                <w:szCs w:val="17"/>
                <w:b w:val="1"/>
                <w:bCs w:val="1"/>
                <w:color w:val="1C4787"/>
                <w:w w:val="98"/>
              </w:rPr>
              <w:t>Interest Income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820" w:type="dxa"/>
            <w:vAlign w:val="bottom"/>
          </w:tcPr>
          <w:p>
            <w:pPr>
              <w:spacing w:after="0" w:line="205" w:lineRule="exact"/>
              <w:rPr>
                <w:sz w:val="20"/>
                <w:szCs w:val="20"/>
                <w:color w:val="auto"/>
              </w:rPr>
            </w:pPr>
            <w:r>
              <w:rPr>
                <w:rFonts w:ascii="Calibri" w:cs="Calibri" w:eastAsia="Calibri" w:hAnsi="Calibri"/>
                <w:sz w:val="17"/>
                <w:szCs w:val="17"/>
                <w:b w:val="1"/>
                <w:bCs w:val="1"/>
                <w:color w:val="1C4787"/>
              </w:rPr>
              <w:t>For the Year Ended December 31, 2022:</w:t>
            </w:r>
          </w:p>
        </w:tc>
        <w:tc>
          <w:tcPr>
            <w:tcW w:w="140" w:type="dxa"/>
            <w:vAlign w:val="bottom"/>
          </w:tcPr>
          <w:p>
            <w:pPr>
              <w:spacing w:after="0"/>
              <w:rPr>
                <w:sz w:val="17"/>
                <w:szCs w:val="17"/>
                <w:color w:val="auto"/>
              </w:rPr>
            </w:pPr>
          </w:p>
        </w:tc>
        <w:tc>
          <w:tcPr>
            <w:tcW w:w="1380" w:type="dxa"/>
            <w:vAlign w:val="bottom"/>
            <w:gridSpan w:val="2"/>
          </w:tcPr>
          <w:p>
            <w:pPr>
              <w:jc w:val="center"/>
              <w:ind w:right="220"/>
              <w:spacing w:after="0" w:line="205" w:lineRule="exact"/>
              <w:rPr>
                <w:sz w:val="20"/>
                <w:szCs w:val="20"/>
                <w:color w:val="auto"/>
              </w:rPr>
            </w:pPr>
            <w:r>
              <w:rPr>
                <w:rFonts w:ascii="Calibri" w:cs="Calibri" w:eastAsia="Calibri" w:hAnsi="Calibri"/>
                <w:sz w:val="17"/>
                <w:szCs w:val="17"/>
                <w:b w:val="1"/>
                <w:bCs w:val="1"/>
                <w:color w:val="1C4787"/>
                <w:w w:val="98"/>
              </w:rPr>
              <w:t>(Expense)</w:t>
            </w:r>
          </w:p>
        </w:tc>
        <w:tc>
          <w:tcPr>
            <w:tcW w:w="120" w:type="dxa"/>
            <w:vAlign w:val="bottom"/>
          </w:tcPr>
          <w:p>
            <w:pPr>
              <w:spacing w:after="0"/>
              <w:rPr>
                <w:sz w:val="17"/>
                <w:szCs w:val="17"/>
                <w:color w:val="auto"/>
              </w:rPr>
            </w:pPr>
          </w:p>
        </w:tc>
        <w:tc>
          <w:tcPr>
            <w:tcW w:w="1320" w:type="dxa"/>
            <w:vAlign w:val="bottom"/>
          </w:tcPr>
          <w:p>
            <w:pPr>
              <w:jc w:val="right"/>
              <w:ind w:right="74"/>
              <w:spacing w:after="0" w:line="205" w:lineRule="exact"/>
              <w:rPr>
                <w:sz w:val="20"/>
                <w:szCs w:val="20"/>
                <w:color w:val="auto"/>
              </w:rPr>
            </w:pPr>
            <w:r>
              <w:rPr>
                <w:rFonts w:ascii="Calibri" w:cs="Calibri" w:eastAsia="Calibri" w:hAnsi="Calibri"/>
                <w:sz w:val="17"/>
                <w:szCs w:val="17"/>
                <w:b w:val="1"/>
                <w:bCs w:val="1"/>
                <w:color w:val="1C4787"/>
                <w:w w:val="97"/>
              </w:rPr>
              <w:t>Average Balance</w:t>
            </w:r>
          </w:p>
        </w:tc>
        <w:tc>
          <w:tcPr>
            <w:tcW w:w="0" w:type="dxa"/>
            <w:vAlign w:val="bottom"/>
          </w:tcPr>
          <w:p>
            <w:pPr>
              <w:spacing w:after="0"/>
              <w:rPr>
                <w:sz w:val="1"/>
                <w:szCs w:val="1"/>
                <w:color w:val="auto"/>
              </w:rPr>
            </w:pPr>
          </w:p>
        </w:tc>
      </w:tr>
      <w:tr>
        <w:trPr>
          <w:trHeight w:val="22"/>
        </w:trPr>
        <w:tc>
          <w:tcPr>
            <w:tcW w:w="6820" w:type="dxa"/>
            <w:vAlign w:val="bottom"/>
            <w:vMerge w:val="restart"/>
          </w:tcPr>
          <w:p>
            <w:pPr>
              <w:spacing w:after="0"/>
              <w:rPr>
                <w:sz w:val="20"/>
                <w:szCs w:val="20"/>
                <w:color w:val="auto"/>
              </w:rPr>
            </w:pPr>
            <w:r>
              <w:rPr>
                <w:rFonts w:ascii="Calibri" w:cs="Calibri" w:eastAsia="Calibri" w:hAnsi="Calibri"/>
                <w:sz w:val="17"/>
                <w:szCs w:val="17"/>
                <w:color w:val="auto"/>
              </w:rPr>
              <w:t>Agency Securites, Net of Amortzaton</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6820" w:type="dxa"/>
            <w:vAlign w:val="bottom"/>
            <w:vMerge w:val="continue"/>
          </w:tcPr>
          <w:p>
            <w:pPr>
              <w:spacing w:after="0"/>
              <w:rPr>
                <w:sz w:val="17"/>
                <w:szCs w:val="17"/>
                <w:color w:val="auto"/>
              </w:rPr>
            </w:pPr>
          </w:p>
        </w:tc>
        <w:tc>
          <w:tcPr>
            <w:tcW w:w="140" w:type="dxa"/>
            <w:vAlign w:val="bottom"/>
          </w:tcPr>
          <w:p>
            <w:pPr>
              <w:jc w:val="right"/>
              <w:spacing w:after="0" w:line="198" w:lineRule="exact"/>
              <w:rPr>
                <w:sz w:val="20"/>
                <w:szCs w:val="20"/>
                <w:color w:val="auto"/>
              </w:rPr>
            </w:pPr>
            <w:r>
              <w:rPr>
                <w:rFonts w:ascii="Calibri" w:cs="Calibri" w:eastAsia="Calibri" w:hAnsi="Calibri"/>
                <w:sz w:val="17"/>
                <w:szCs w:val="17"/>
                <w:color w:val="auto"/>
                <w:w w:val="92"/>
              </w:rPr>
              <w:t>$</w:t>
            </w:r>
          </w:p>
        </w:tc>
        <w:tc>
          <w:tcPr>
            <w:tcW w:w="1300" w:type="dxa"/>
            <w:vAlign w:val="bottom"/>
          </w:tcPr>
          <w:p>
            <w:pPr>
              <w:jc w:val="right"/>
              <w:spacing w:after="0" w:line="198" w:lineRule="exact"/>
              <w:rPr>
                <w:sz w:val="20"/>
                <w:szCs w:val="20"/>
                <w:color w:val="auto"/>
              </w:rPr>
            </w:pPr>
            <w:r>
              <w:rPr>
                <w:rFonts w:ascii="Calibri" w:cs="Calibri" w:eastAsia="Calibri" w:hAnsi="Calibri"/>
                <w:sz w:val="17"/>
                <w:szCs w:val="17"/>
                <w:color w:val="auto"/>
              </w:rPr>
              <w:t>211,378</w:t>
            </w:r>
          </w:p>
        </w:tc>
        <w:tc>
          <w:tcPr>
            <w:tcW w:w="8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Calibri" w:cs="Calibri" w:eastAsia="Calibri" w:hAnsi="Calibri"/>
                <w:sz w:val="17"/>
                <w:szCs w:val="17"/>
                <w:color w:val="auto"/>
                <w:w w:val="92"/>
              </w:rPr>
              <w:t>$</w:t>
            </w:r>
          </w:p>
        </w:tc>
        <w:tc>
          <w:tcPr>
            <w:tcW w:w="1320" w:type="dxa"/>
            <w:vAlign w:val="bottom"/>
          </w:tcPr>
          <w:p>
            <w:pPr>
              <w:jc w:val="right"/>
              <w:spacing w:after="0" w:line="198" w:lineRule="exact"/>
              <w:rPr>
                <w:sz w:val="20"/>
                <w:szCs w:val="20"/>
                <w:color w:val="auto"/>
              </w:rPr>
            </w:pPr>
            <w:r>
              <w:rPr>
                <w:rFonts w:ascii="Calibri" w:cs="Calibri" w:eastAsia="Calibri" w:hAnsi="Calibri"/>
                <w:sz w:val="17"/>
                <w:szCs w:val="17"/>
                <w:color w:val="auto"/>
              </w:rPr>
              <w:t>7,245,174</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Calibri" w:cs="Calibri" w:eastAsia="Calibri" w:hAnsi="Calibri"/>
                <w:sz w:val="17"/>
                <w:szCs w:val="17"/>
                <w:color w:val="auto"/>
              </w:rPr>
              <w:t>Cash Equivalents &amp; Treasury Securites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Calibri" w:cs="Calibri" w:eastAsia="Calibri" w:hAnsi="Calibri"/>
                <w:sz w:val="17"/>
                <w:szCs w:val="17"/>
                <w:color w:val="auto"/>
              </w:rPr>
              <w:t>15,456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Calibri" w:cs="Calibri" w:eastAsia="Calibri" w:hAnsi="Calibri"/>
                <w:sz w:val="17"/>
                <w:szCs w:val="17"/>
                <w:color w:val="auto"/>
              </w:rPr>
              <w:t>940,545</w:t>
            </w:r>
          </w:p>
        </w:tc>
        <w:tc>
          <w:tcPr>
            <w:tcW w:w="0" w:type="dxa"/>
            <w:vAlign w:val="bottom"/>
          </w:tcPr>
          <w:p>
            <w:pPr>
              <w:spacing w:after="0"/>
              <w:rPr>
                <w:sz w:val="1"/>
                <w:szCs w:val="1"/>
                <w:color w:val="auto"/>
              </w:rPr>
            </w:pPr>
          </w:p>
        </w:tc>
      </w:tr>
      <w:tr>
        <w:trPr>
          <w:trHeight w:val="219"/>
        </w:trPr>
        <w:tc>
          <w:tcPr>
            <w:tcW w:w="6820" w:type="dxa"/>
            <w:vAlign w:val="bottom"/>
          </w:tcPr>
          <w:p>
            <w:pPr>
              <w:spacing w:after="0"/>
              <w:rPr>
                <w:sz w:val="20"/>
                <w:szCs w:val="20"/>
                <w:color w:val="auto"/>
              </w:rPr>
            </w:pPr>
            <w:r>
              <w:rPr>
                <w:rFonts w:ascii="Calibri" w:cs="Calibri" w:eastAsia="Calibri" w:hAnsi="Calibri"/>
                <w:sz w:val="17"/>
                <w:szCs w:val="17"/>
                <w:color w:val="auto"/>
              </w:rPr>
              <w:t>Subordinated Loan to BUCKLER</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Calibri" w:cs="Calibri" w:eastAsia="Calibri" w:hAnsi="Calibri"/>
                <w:sz w:val="17"/>
                <w:szCs w:val="17"/>
                <w:color w:val="auto"/>
              </w:rPr>
              <w:t>1,598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Calibri" w:cs="Calibri" w:eastAsia="Calibri" w:hAnsi="Calibri"/>
                <w:sz w:val="17"/>
                <w:szCs w:val="17"/>
                <w:color w:val="auto"/>
              </w:rPr>
              <w:t>105,000</w:t>
            </w:r>
          </w:p>
        </w:tc>
        <w:tc>
          <w:tcPr>
            <w:tcW w:w="0" w:type="dxa"/>
            <w:vAlign w:val="bottom"/>
          </w:tcPr>
          <w:p>
            <w:pPr>
              <w:spacing w:after="0"/>
              <w:rPr>
                <w:sz w:val="1"/>
                <w:szCs w:val="1"/>
                <w:color w:val="auto"/>
              </w:rPr>
            </w:pPr>
          </w:p>
        </w:tc>
      </w:tr>
      <w:tr>
        <w:trPr>
          <w:trHeight w:val="22"/>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820" w:type="dxa"/>
            <w:vAlign w:val="bottom"/>
          </w:tcPr>
          <w:p>
            <w:pPr>
              <w:spacing w:after="0"/>
              <w:rPr>
                <w:sz w:val="20"/>
                <w:szCs w:val="20"/>
                <w:color w:val="auto"/>
              </w:rPr>
            </w:pPr>
            <w:r>
              <w:rPr>
                <w:rFonts w:ascii="Calibri" w:cs="Calibri" w:eastAsia="Calibri" w:hAnsi="Calibri"/>
                <w:sz w:val="17"/>
                <w:szCs w:val="17"/>
                <w:color w:val="auto"/>
              </w:rPr>
              <w:t>Total Interest Income/Average Interest Earning Assets</w:t>
            </w:r>
          </w:p>
        </w:tc>
        <w:tc>
          <w:tcPr>
            <w:tcW w:w="140" w:type="dxa"/>
            <w:vAlign w:val="bottom"/>
          </w:tcPr>
          <w:p>
            <w:pPr>
              <w:jc w:val="right"/>
              <w:spacing w:after="0"/>
              <w:rPr>
                <w:sz w:val="20"/>
                <w:szCs w:val="20"/>
                <w:color w:val="auto"/>
              </w:rPr>
            </w:pPr>
            <w:r>
              <w:rPr>
                <w:rFonts w:ascii="Calibri" w:cs="Calibri" w:eastAsia="Calibri" w:hAnsi="Calibri"/>
                <w:sz w:val="17"/>
                <w:szCs w:val="17"/>
                <w:color w:val="auto"/>
                <w:w w:val="92"/>
              </w:rPr>
              <w:t>$</w:t>
            </w:r>
          </w:p>
        </w:tc>
        <w:tc>
          <w:tcPr>
            <w:tcW w:w="1300" w:type="dxa"/>
            <w:vAlign w:val="bottom"/>
          </w:tcPr>
          <w:p>
            <w:pPr>
              <w:jc w:val="right"/>
              <w:spacing w:after="0"/>
              <w:rPr>
                <w:sz w:val="20"/>
                <w:szCs w:val="20"/>
                <w:color w:val="auto"/>
              </w:rPr>
            </w:pPr>
            <w:r>
              <w:rPr>
                <w:rFonts w:ascii="Calibri" w:cs="Calibri" w:eastAsia="Calibri" w:hAnsi="Calibri"/>
                <w:sz w:val="17"/>
                <w:szCs w:val="17"/>
                <w:color w:val="auto"/>
              </w:rPr>
              <w:t>228,432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8,290,719</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Calibri" w:cs="Calibri" w:eastAsia="Calibri" w:hAnsi="Calibri"/>
                <w:sz w:val="17"/>
                <w:szCs w:val="17"/>
                <w:color w:val="auto"/>
              </w:rPr>
              <w:t>Interest-bearing Liabilites:</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820" w:type="dxa"/>
            <w:vAlign w:val="bottom"/>
          </w:tcPr>
          <w:p>
            <w:pPr>
              <w:spacing w:after="0"/>
              <w:rPr>
                <w:sz w:val="20"/>
                <w:szCs w:val="20"/>
                <w:color w:val="auto"/>
              </w:rPr>
            </w:pPr>
            <w:r>
              <w:rPr>
                <w:rFonts w:ascii="Calibri" w:cs="Calibri" w:eastAsia="Calibri" w:hAnsi="Calibri"/>
                <w:sz w:val="17"/>
                <w:szCs w:val="17"/>
                <w:color w:val="auto"/>
              </w:rPr>
              <w:t>Repurchase Agreements</w:t>
            </w:r>
          </w:p>
        </w:tc>
        <w:tc>
          <w:tcPr>
            <w:tcW w:w="140" w:type="dxa"/>
            <w:vAlign w:val="bottom"/>
          </w:tcPr>
          <w:p>
            <w:pPr>
              <w:jc w:val="right"/>
              <w:spacing w:after="0"/>
              <w:rPr>
                <w:sz w:val="20"/>
                <w:szCs w:val="20"/>
                <w:color w:val="auto"/>
              </w:rPr>
            </w:pPr>
            <w:r>
              <w:rPr>
                <w:rFonts w:ascii="Calibri" w:cs="Calibri" w:eastAsia="Calibri" w:hAnsi="Calibri"/>
                <w:sz w:val="17"/>
                <w:szCs w:val="17"/>
                <w:color w:val="auto"/>
                <w:w w:val="92"/>
              </w:rPr>
              <w:t>$</w:t>
            </w:r>
          </w:p>
        </w:tc>
        <w:tc>
          <w:tcPr>
            <w:tcW w:w="1300" w:type="dxa"/>
            <w:vAlign w:val="bottom"/>
          </w:tcPr>
          <w:p>
            <w:pPr>
              <w:jc w:val="right"/>
              <w:spacing w:after="0"/>
              <w:rPr>
                <w:sz w:val="20"/>
                <w:szCs w:val="20"/>
                <w:color w:val="auto"/>
              </w:rPr>
            </w:pPr>
            <w:r>
              <w:rPr>
                <w:rFonts w:ascii="Calibri" w:cs="Calibri" w:eastAsia="Calibri" w:hAnsi="Calibri"/>
                <w:sz w:val="17"/>
                <w:szCs w:val="17"/>
                <w:color w:val="auto"/>
              </w:rPr>
              <w:t>(117,577)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Calibri" w:cs="Calibri" w:eastAsia="Calibri" w:hAnsi="Calibri"/>
                <w:sz w:val="17"/>
                <w:szCs w:val="17"/>
                <w:color w:val="auto"/>
                <w:w w:val="92"/>
              </w:rPr>
              <w:t>$</w:t>
            </w:r>
          </w:p>
        </w:tc>
        <w:tc>
          <w:tcPr>
            <w:tcW w:w="1320" w:type="dxa"/>
            <w:vAlign w:val="bottom"/>
          </w:tcPr>
          <w:p>
            <w:pPr>
              <w:jc w:val="right"/>
              <w:spacing w:after="0"/>
              <w:rPr>
                <w:sz w:val="20"/>
                <w:szCs w:val="20"/>
                <w:color w:val="auto"/>
              </w:rPr>
            </w:pPr>
            <w:r>
              <w:rPr>
                <w:rFonts w:ascii="Calibri" w:cs="Calibri" w:eastAsia="Calibri" w:hAnsi="Calibri"/>
                <w:sz w:val="17"/>
                <w:szCs w:val="17"/>
                <w:color w:val="auto"/>
              </w:rPr>
              <w:t>6,463,109</w:t>
            </w:r>
          </w:p>
        </w:tc>
        <w:tc>
          <w:tcPr>
            <w:tcW w:w="0" w:type="dxa"/>
            <w:vAlign w:val="bottom"/>
          </w:tcPr>
          <w:p>
            <w:pPr>
              <w:spacing w:after="0"/>
              <w:rPr>
                <w:sz w:val="1"/>
                <w:szCs w:val="1"/>
                <w:color w:val="auto"/>
              </w:rPr>
            </w:pPr>
          </w:p>
        </w:tc>
      </w:tr>
      <w:tr>
        <w:trPr>
          <w:trHeight w:val="219"/>
        </w:trPr>
        <w:tc>
          <w:tcPr>
            <w:tcW w:w="6820" w:type="dxa"/>
            <w:vAlign w:val="bottom"/>
          </w:tcPr>
          <w:p>
            <w:pPr>
              <w:spacing w:after="0"/>
              <w:rPr>
                <w:sz w:val="20"/>
                <w:szCs w:val="20"/>
                <w:color w:val="auto"/>
              </w:rPr>
            </w:pPr>
            <w:r>
              <w:rPr>
                <w:rFonts w:ascii="Calibri" w:cs="Calibri" w:eastAsia="Calibri" w:hAnsi="Calibri"/>
                <w:sz w:val="17"/>
                <w:szCs w:val="17"/>
                <w:color w:val="auto"/>
              </w:rPr>
              <w:t>Treasury Securites Sold Short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Calibri" w:cs="Calibri" w:eastAsia="Calibri" w:hAnsi="Calibri"/>
                <w:sz w:val="17"/>
                <w:szCs w:val="17"/>
                <w:color w:val="auto"/>
              </w:rPr>
              <w:t>(3,191)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Calibri" w:cs="Calibri" w:eastAsia="Calibri" w:hAnsi="Calibri"/>
                <w:sz w:val="17"/>
                <w:szCs w:val="17"/>
                <w:color w:val="auto"/>
              </w:rPr>
              <w:t>84,020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-1344295</wp:posOffset>
            </wp:positionV>
            <wp:extent cx="7113905" cy="2540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3905" cy="2540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-942975</wp:posOffset>
            </wp:positionV>
            <wp:extent cx="7113905" cy="1390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-402590</wp:posOffset>
            </wp:positionV>
            <wp:extent cx="7113905" cy="1390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-124460</wp:posOffset>
            </wp:positionV>
            <wp:extent cx="7113905" cy="147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3905" cy="14732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-664845</wp:posOffset>
            </wp:positionV>
            <wp:extent cx="7113905" cy="163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3905"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Yield/Rate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13970</wp:posOffset>
            </wp:positionV>
            <wp:extent cx="8432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pacing w:after="0" w:line="5" w:lineRule="exact"/>
        <w:rPr>
          <w:sz w:val="20"/>
          <w:szCs w:val="20"/>
          <w:color w:val="auto"/>
        </w:rPr>
      </w:pPr>
    </w:p>
    <w:p>
      <w:pPr>
        <w:ind w:left="540"/>
        <w:spacing w:after="0"/>
        <w:rPr>
          <w:sz w:val="20"/>
          <w:szCs w:val="20"/>
          <w:color w:val="auto"/>
        </w:rPr>
      </w:pPr>
      <w:r>
        <w:rPr>
          <w:rFonts w:ascii="Calibri" w:cs="Calibri" w:eastAsia="Calibri" w:hAnsi="Calibri"/>
          <w:sz w:val="17"/>
          <w:szCs w:val="17"/>
          <w:color w:val="auto"/>
        </w:rPr>
        <w:t>2.92 %</w:t>
      </w:r>
    </w:p>
    <w:p>
      <w:pPr>
        <w:spacing w:after="0" w:line="12" w:lineRule="exact"/>
        <w:rPr>
          <w:sz w:val="20"/>
          <w:szCs w:val="20"/>
          <w:color w:val="auto"/>
        </w:rPr>
      </w:pPr>
    </w:p>
    <w:p>
      <w:pPr>
        <w:ind w:left="540"/>
        <w:spacing w:after="0"/>
        <w:rPr>
          <w:sz w:val="20"/>
          <w:szCs w:val="20"/>
          <w:color w:val="auto"/>
        </w:rPr>
      </w:pPr>
      <w:r>
        <w:rPr>
          <w:rFonts w:ascii="Calibri" w:cs="Calibri" w:eastAsia="Calibri" w:hAnsi="Calibri"/>
          <w:sz w:val="17"/>
          <w:szCs w:val="17"/>
          <w:color w:val="auto"/>
        </w:rPr>
        <w:t>1.64 %</w:t>
      </w:r>
    </w:p>
    <w:p>
      <w:pPr>
        <w:spacing w:after="0" w:line="12" w:lineRule="exact"/>
        <w:rPr>
          <w:sz w:val="20"/>
          <w:szCs w:val="20"/>
          <w:color w:val="auto"/>
        </w:rPr>
      </w:pPr>
    </w:p>
    <w:p>
      <w:pPr>
        <w:ind w:left="540"/>
        <w:spacing w:after="0"/>
        <w:rPr>
          <w:sz w:val="20"/>
          <w:szCs w:val="20"/>
          <w:color w:val="auto"/>
        </w:rPr>
      </w:pPr>
      <w:r>
        <w:rPr>
          <w:rFonts w:ascii="Calibri" w:cs="Calibri" w:eastAsia="Calibri" w:hAnsi="Calibri"/>
          <w:sz w:val="17"/>
          <w:szCs w:val="17"/>
          <w:color w:val="auto"/>
        </w:rPr>
        <w:t>1.52 %</w:t>
      </w:r>
    </w:p>
    <w:p>
      <w:pPr>
        <w:spacing w:after="0" w:line="50" w:lineRule="exact"/>
        <w:rPr>
          <w:sz w:val="20"/>
          <w:szCs w:val="20"/>
          <w:color w:val="auto"/>
        </w:rPr>
      </w:pPr>
    </w:p>
    <w:p>
      <w:pPr>
        <w:ind w:left="540"/>
        <w:spacing w:after="0"/>
        <w:rPr>
          <w:sz w:val="20"/>
          <w:szCs w:val="20"/>
          <w:color w:val="auto"/>
        </w:rPr>
      </w:pPr>
      <w:r>
        <w:rPr>
          <w:rFonts w:ascii="Calibri" w:cs="Calibri" w:eastAsia="Calibri" w:hAnsi="Calibri"/>
          <w:sz w:val="17"/>
          <w:szCs w:val="17"/>
          <w:color w:val="auto"/>
        </w:rPr>
        <w:t>2.76 %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13970</wp:posOffset>
            </wp:positionV>
            <wp:extent cx="8432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pacing w:after="0" w:line="366" w:lineRule="exact"/>
        <w:rPr>
          <w:sz w:val="20"/>
          <w:szCs w:val="20"/>
          <w:color w:val="auto"/>
        </w:rPr>
      </w:pPr>
    </w:p>
    <w:p>
      <w:pPr>
        <w:ind w:left="480"/>
        <w:spacing w:after="0"/>
        <w:rPr>
          <w:sz w:val="20"/>
          <w:szCs w:val="20"/>
          <w:color w:val="auto"/>
        </w:rPr>
      </w:pPr>
      <w:r>
        <w:rPr>
          <w:rFonts w:ascii="Calibri" w:cs="Calibri" w:eastAsia="Calibri" w:hAnsi="Calibri"/>
          <w:sz w:val="17"/>
          <w:szCs w:val="17"/>
          <w:color w:val="auto"/>
        </w:rPr>
        <w:t>(1.82)%</w:t>
      </w:r>
    </w:p>
    <w:p>
      <w:pPr>
        <w:spacing w:after="0" w:line="12" w:lineRule="exact"/>
        <w:rPr>
          <w:sz w:val="20"/>
          <w:szCs w:val="20"/>
          <w:color w:val="auto"/>
        </w:rPr>
      </w:pPr>
    </w:p>
    <w:p>
      <w:pPr>
        <w:ind w:left="480"/>
        <w:spacing w:after="0"/>
        <w:rPr>
          <w:sz w:val="20"/>
          <w:szCs w:val="20"/>
          <w:color w:val="auto"/>
        </w:rPr>
      </w:pPr>
      <w:r>
        <w:rPr>
          <w:rFonts w:ascii="Calibri" w:cs="Calibri" w:eastAsia="Calibri" w:hAnsi="Calibri"/>
          <w:sz w:val="17"/>
          <w:szCs w:val="17"/>
          <w:color w:val="auto"/>
        </w:rPr>
        <w:t>(3.80)%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13970</wp:posOffset>
            </wp:positionV>
            <wp:extent cx="8432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9820" w:space="380"/>
            <w:col w:w="1040"/>
          </w:cols>
          <w:pgMar w:left="320" w:top="740" w:right="33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Calibri" w:cs="Calibri" w:eastAsia="Calibri" w:hAnsi="Calibri"/>
                <w:sz w:val="17"/>
                <w:szCs w:val="17"/>
                <w:color w:val="auto"/>
              </w:rPr>
              <w:t>Total Interest Expense/Average Interest Bearing Liabilites</w:t>
            </w:r>
          </w:p>
        </w:tc>
        <w:tc>
          <w:tcPr>
            <w:tcW w:w="160" w:type="dxa"/>
            <w:vAlign w:val="bottom"/>
            <w:gridSpan w:val="2"/>
          </w:tcPr>
          <w:p>
            <w:pPr>
              <w:jc w:val="right"/>
              <w:spacing w:after="0"/>
              <w:rPr>
                <w:sz w:val="20"/>
                <w:szCs w:val="20"/>
                <w:color w:val="auto"/>
              </w:rPr>
            </w:pPr>
            <w:r>
              <w:rPr>
                <w:rFonts w:ascii="Calibri" w:cs="Calibri" w:eastAsia="Calibri" w:hAnsi="Calibri"/>
                <w:sz w:val="17"/>
                <w:szCs w:val="17"/>
                <w:color w:val="auto"/>
                <w:w w:val="92"/>
              </w:rPr>
              <w:t>$</w:t>
            </w:r>
          </w:p>
        </w:tc>
        <w:tc>
          <w:tcPr>
            <w:tcW w:w="1280" w:type="dxa"/>
            <w:vAlign w:val="bottom"/>
          </w:tcPr>
          <w:p>
            <w:pPr>
              <w:jc w:val="right"/>
              <w:spacing w:after="0"/>
              <w:rPr>
                <w:sz w:val="20"/>
                <w:szCs w:val="20"/>
                <w:color w:val="auto"/>
              </w:rPr>
            </w:pPr>
            <w:r>
              <w:rPr>
                <w:rFonts w:ascii="Calibri" w:cs="Calibri" w:eastAsia="Calibri" w:hAnsi="Calibri"/>
                <w:sz w:val="17"/>
                <w:szCs w:val="17"/>
                <w:color w:val="auto"/>
              </w:rPr>
              <w:t>(120,768)</w:t>
            </w:r>
          </w:p>
        </w:tc>
        <w:tc>
          <w:tcPr>
            <w:tcW w:w="220" w:type="dxa"/>
            <w:vAlign w:val="bottom"/>
            <w:gridSpan w:val="3"/>
          </w:tcPr>
          <w:p>
            <w:pPr>
              <w:jc w:val="right"/>
              <w:spacing w:after="0"/>
              <w:rPr>
                <w:sz w:val="20"/>
                <w:szCs w:val="20"/>
                <w:color w:val="auto"/>
              </w:rPr>
            </w:pPr>
            <w:r>
              <w:rPr>
                <w:rFonts w:ascii="Calibri" w:cs="Calibri" w:eastAsia="Calibri" w:hAnsi="Calibri"/>
                <w:sz w:val="17"/>
                <w:szCs w:val="17"/>
                <w:color w:val="auto"/>
              </w:rPr>
              <w:t>$</w:t>
            </w:r>
          </w:p>
        </w:tc>
        <w:tc>
          <w:tcPr>
            <w:tcW w:w="1300" w:type="dxa"/>
            <w:vAlign w:val="bottom"/>
          </w:tcPr>
          <w:p>
            <w:pPr>
              <w:jc w:val="right"/>
              <w:spacing w:after="0"/>
              <w:rPr>
                <w:sz w:val="20"/>
                <w:szCs w:val="20"/>
                <w:color w:val="auto"/>
              </w:rPr>
            </w:pPr>
            <w:r>
              <w:rPr>
                <w:rFonts w:ascii="Calibri" w:cs="Calibri" w:eastAsia="Calibri" w:hAnsi="Calibri"/>
                <w:sz w:val="17"/>
                <w:szCs w:val="17"/>
                <w:color w:val="auto"/>
              </w:rPr>
              <w:t>6,547,129</w:t>
            </w:r>
          </w:p>
        </w:tc>
        <w:tc>
          <w:tcPr>
            <w:tcW w:w="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Calibri" w:cs="Calibri" w:eastAsia="Calibri" w:hAnsi="Calibri"/>
                <w:sz w:val="17"/>
                <w:szCs w:val="17"/>
                <w:color w:val="auto"/>
              </w:rPr>
              <w:t>(1.84)%</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40" w:type="dxa"/>
            <w:vAlign w:val="bottom"/>
            <w:tcBorders>
              <w:bottom w:val="single" w:sz="8" w:color="E6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E6EEFF"/>
            </w:tcBorders>
          </w:tcPr>
          <w:p>
            <w:pPr>
              <w:spacing w:after="0"/>
              <w:rPr>
                <w:sz w:val="3"/>
                <w:szCs w:val="3"/>
                <w:color w:val="auto"/>
              </w:rPr>
            </w:pPr>
          </w:p>
        </w:tc>
        <w:tc>
          <w:tcPr>
            <w:tcW w:w="20" w:type="dxa"/>
            <w:vAlign w:val="bottom"/>
            <w:tcBorders>
              <w:top w:val="single" w:sz="8" w:color="auto"/>
              <w:bottom w:val="single" w:sz="8" w:color="E6EEFF"/>
            </w:tcBorders>
          </w:tcPr>
          <w:p>
            <w:pPr>
              <w:spacing w:after="0"/>
              <w:rPr>
                <w:sz w:val="3"/>
                <w:szCs w:val="3"/>
                <w:color w:val="auto"/>
              </w:rPr>
            </w:pPr>
          </w:p>
        </w:tc>
        <w:tc>
          <w:tcPr>
            <w:tcW w:w="120" w:type="dxa"/>
            <w:vAlign w:val="bottom"/>
            <w:tcBorders>
              <w:top w:val="single" w:sz="8" w:color="auto"/>
              <w:bottom w:val="single" w:sz="8" w:color="E6EEFF"/>
            </w:tcBorders>
          </w:tcPr>
          <w:p>
            <w:pPr>
              <w:spacing w:after="0"/>
              <w:rPr>
                <w:sz w:val="3"/>
                <w:szCs w:val="3"/>
                <w:color w:val="auto"/>
              </w:rPr>
            </w:pPr>
          </w:p>
        </w:tc>
        <w:tc>
          <w:tcPr>
            <w:tcW w:w="1300" w:type="dxa"/>
            <w:vAlign w:val="bottom"/>
            <w:tcBorders>
              <w:top w:val="single" w:sz="8" w:color="auto"/>
              <w:bottom w:val="single" w:sz="8" w:color="E6EEFF"/>
            </w:tcBorders>
          </w:tcPr>
          <w:p>
            <w:pPr>
              <w:spacing w:after="0"/>
              <w:rPr>
                <w:sz w:val="3"/>
                <w:szCs w:val="3"/>
                <w:color w:val="auto"/>
              </w:rPr>
            </w:pPr>
          </w:p>
        </w:tc>
        <w:tc>
          <w:tcPr>
            <w:tcW w:w="80" w:type="dxa"/>
            <w:vAlign w:val="bottom"/>
            <w:tcBorders>
              <w:bottom w:val="single" w:sz="8" w:color="E6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Borders>
              <w:top w:val="single" w:sz="8" w:color="E6EEFF"/>
              <w:bottom w:val="single" w:sz="8" w:color="E6EEFF"/>
            </w:tcBorders>
            <w:shd w:val="clear" w:color="auto" w:fill="E6EEFF"/>
          </w:tcPr>
          <w:p>
            <w:pPr>
              <w:ind w:left="20"/>
              <w:spacing w:after="0" w:line="178" w:lineRule="exact"/>
              <w:rPr>
                <w:sz w:val="20"/>
                <w:szCs w:val="20"/>
                <w:color w:val="auto"/>
              </w:rPr>
            </w:pPr>
            <w:r>
              <w:rPr>
                <w:rFonts w:ascii="Calibri" w:cs="Calibri" w:eastAsia="Calibri" w:hAnsi="Calibri"/>
                <w:sz w:val="17"/>
                <w:szCs w:val="17"/>
                <w:color w:val="auto"/>
              </w:rPr>
              <w:t>Net Interest Income/Net Interest Spread</w:t>
            </w:r>
          </w:p>
        </w:tc>
        <w:tc>
          <w:tcPr>
            <w:tcW w:w="160" w:type="dxa"/>
            <w:vAlign w:val="bottom"/>
            <w:tcBorders>
              <w:top w:val="single" w:sz="8" w:color="E6EEFF"/>
              <w:bottom w:val="single" w:sz="8" w:color="auto"/>
            </w:tcBorders>
            <w:gridSpan w:val="2"/>
            <w:shd w:val="clear" w:color="auto" w:fill="E6EEFF"/>
          </w:tcPr>
          <w:p>
            <w:pPr>
              <w:jc w:val="right"/>
              <w:spacing w:after="0" w:line="178" w:lineRule="exact"/>
              <w:rPr>
                <w:sz w:val="20"/>
                <w:szCs w:val="20"/>
                <w:color w:val="auto"/>
              </w:rPr>
            </w:pPr>
            <w:r>
              <w:rPr>
                <w:rFonts w:ascii="Calibri" w:cs="Calibri" w:eastAsia="Calibri" w:hAnsi="Calibri"/>
                <w:sz w:val="17"/>
                <w:szCs w:val="17"/>
                <w:color w:val="auto"/>
                <w:w w:val="92"/>
              </w:rPr>
              <w:t>$</w:t>
            </w:r>
          </w:p>
        </w:tc>
        <w:tc>
          <w:tcPr>
            <w:tcW w:w="1280" w:type="dxa"/>
            <w:vAlign w:val="bottom"/>
            <w:tcBorders>
              <w:top w:val="single" w:sz="8" w:color="E6EEFF"/>
              <w:bottom w:val="single" w:sz="8" w:color="auto"/>
            </w:tcBorders>
            <w:shd w:val="clear" w:color="auto" w:fill="E6EEFF"/>
          </w:tcPr>
          <w:p>
            <w:pPr>
              <w:jc w:val="right"/>
              <w:spacing w:after="0" w:line="178" w:lineRule="exact"/>
              <w:rPr>
                <w:sz w:val="20"/>
                <w:szCs w:val="20"/>
                <w:color w:val="auto"/>
              </w:rPr>
            </w:pPr>
            <w:r>
              <w:rPr>
                <w:rFonts w:ascii="Calibri" w:cs="Calibri" w:eastAsia="Calibri" w:hAnsi="Calibri"/>
                <w:sz w:val="17"/>
                <w:szCs w:val="17"/>
                <w:color w:val="auto"/>
              </w:rPr>
              <w:t>107,664</w:t>
            </w:r>
          </w:p>
        </w:tc>
        <w:tc>
          <w:tcPr>
            <w:tcW w:w="80" w:type="dxa"/>
            <w:vAlign w:val="bottom"/>
            <w:tcBorders>
              <w:top w:val="single" w:sz="8" w:color="E6EEFF"/>
              <w:bottom w:val="single" w:sz="8" w:color="E6EEFF"/>
            </w:tcBorders>
            <w:shd w:val="clear" w:color="auto" w:fill="E6EEFF"/>
          </w:tcPr>
          <w:p>
            <w:pPr>
              <w:spacing w:after="0"/>
              <w:rPr>
                <w:sz w:val="17"/>
                <w:szCs w:val="17"/>
                <w:color w:val="auto"/>
              </w:rPr>
            </w:pPr>
          </w:p>
        </w:tc>
        <w:tc>
          <w:tcPr>
            <w:tcW w:w="20" w:type="dxa"/>
            <w:vAlign w:val="bottom"/>
            <w:tcBorders>
              <w:top w:val="single" w:sz="8" w:color="auto"/>
              <w:bottom w:val="single" w:sz="8" w:color="E6EEFF"/>
            </w:tcBorders>
            <w:shd w:val="clear" w:color="auto" w:fill="E6EEFF"/>
          </w:tcPr>
          <w:p>
            <w:pPr>
              <w:spacing w:after="0"/>
              <w:rPr>
                <w:sz w:val="17"/>
                <w:szCs w:val="17"/>
                <w:color w:val="auto"/>
              </w:rPr>
            </w:pPr>
          </w:p>
        </w:tc>
        <w:tc>
          <w:tcPr>
            <w:tcW w:w="120" w:type="dxa"/>
            <w:vAlign w:val="bottom"/>
            <w:tcBorders>
              <w:top w:val="single" w:sz="8" w:color="auto"/>
              <w:bottom w:val="single" w:sz="8" w:color="E6EEFF"/>
            </w:tcBorders>
            <w:shd w:val="clear" w:color="auto" w:fill="E6EEFF"/>
          </w:tcPr>
          <w:p>
            <w:pPr>
              <w:spacing w:after="0"/>
              <w:rPr>
                <w:sz w:val="17"/>
                <w:szCs w:val="17"/>
                <w:color w:val="auto"/>
              </w:rPr>
            </w:pPr>
          </w:p>
        </w:tc>
        <w:tc>
          <w:tcPr>
            <w:tcW w:w="1300" w:type="dxa"/>
            <w:vAlign w:val="bottom"/>
            <w:tcBorders>
              <w:top w:val="single" w:sz="8" w:color="auto"/>
              <w:bottom w:val="single" w:sz="8" w:color="E6EEFF"/>
            </w:tcBorders>
            <w:shd w:val="clear" w:color="auto" w:fill="E6EEFF"/>
          </w:tcPr>
          <w:p>
            <w:pPr>
              <w:spacing w:after="0"/>
              <w:rPr>
                <w:sz w:val="17"/>
                <w:szCs w:val="17"/>
                <w:color w:val="auto"/>
              </w:rPr>
            </w:pPr>
          </w:p>
        </w:tc>
        <w:tc>
          <w:tcPr>
            <w:tcW w:w="80" w:type="dxa"/>
            <w:vAlign w:val="bottom"/>
            <w:tcBorders>
              <w:top w:val="single" w:sz="8" w:color="E6EEFF"/>
              <w:bottom w:val="single" w:sz="8" w:color="E6EEFF"/>
            </w:tcBorders>
            <w:shd w:val="clear" w:color="auto" w:fill="E6EEFF"/>
          </w:tcPr>
          <w:p>
            <w:pPr>
              <w:spacing w:after="0"/>
              <w:rPr>
                <w:sz w:val="17"/>
                <w:szCs w:val="17"/>
                <w:color w:val="auto"/>
              </w:rPr>
            </w:pPr>
          </w:p>
        </w:tc>
        <w:tc>
          <w:tcPr>
            <w:tcW w:w="1340" w:type="dxa"/>
            <w:vAlign w:val="bottom"/>
            <w:tcBorders>
              <w:top w:val="single" w:sz="8" w:color="E6EEFF"/>
              <w:bottom w:val="single" w:sz="8" w:color="auto"/>
            </w:tcBorders>
            <w:gridSpan w:val="2"/>
            <w:shd w:val="clear" w:color="auto" w:fill="E6EEFF"/>
          </w:tcPr>
          <w:p>
            <w:pPr>
              <w:jc w:val="right"/>
              <w:spacing w:after="0" w:line="178" w:lineRule="exact"/>
              <w:rPr>
                <w:sz w:val="20"/>
                <w:szCs w:val="20"/>
                <w:color w:val="auto"/>
              </w:rPr>
            </w:pPr>
            <w:r>
              <w:rPr>
                <w:rFonts w:ascii="Calibri" w:cs="Calibri" w:eastAsia="Calibri" w:hAnsi="Calibri"/>
                <w:sz w:val="17"/>
                <w:szCs w:val="17"/>
                <w:color w:val="auto"/>
              </w:rPr>
              <w:t>0.91 %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E6EEFF"/>
              <w:bottom w:val="single" w:sz="8" w:color="E6EEFF"/>
            </w:tcBorders>
            <w:vMerge w:val="restart"/>
          </w:tcPr>
          <w:p>
            <w:pPr>
              <w:ind w:left="20"/>
              <w:spacing w:after="0"/>
              <w:rPr>
                <w:sz w:val="20"/>
                <w:szCs w:val="20"/>
                <w:color w:val="auto"/>
              </w:rPr>
            </w:pPr>
            <w:r>
              <w:rPr>
                <w:rFonts w:ascii="Calibri" w:cs="Calibri" w:eastAsia="Calibri" w:hAnsi="Calibri"/>
                <w:sz w:val="17"/>
                <w:szCs w:val="17"/>
                <w:color w:val="auto"/>
              </w:rPr>
              <w:t>Net Yield on Interest Earning Assets</w:t>
            </w:r>
          </w:p>
        </w:tc>
        <w:tc>
          <w:tcPr>
            <w:tcW w:w="20" w:type="dxa"/>
            <w:vAlign w:val="bottom"/>
            <w:tcBorders>
              <w:top w:val="single" w:sz="8" w:color="E6EEFF"/>
              <w:bottom w:val="single" w:sz="8" w:color="auto"/>
            </w:tcBorders>
          </w:tcPr>
          <w:p>
            <w:pPr>
              <w:spacing w:after="0" w:line="20" w:lineRule="exact"/>
              <w:rPr>
                <w:sz w:val="1"/>
                <w:szCs w:val="1"/>
                <w:color w:val="auto"/>
              </w:rPr>
            </w:pPr>
          </w:p>
        </w:tc>
        <w:tc>
          <w:tcPr>
            <w:tcW w:w="140" w:type="dxa"/>
            <w:vAlign w:val="bottom"/>
            <w:tcBorders>
              <w:top w:val="single" w:sz="8" w:color="E6EEFF"/>
              <w:bottom w:val="single" w:sz="8" w:color="auto"/>
            </w:tcBorders>
          </w:tcPr>
          <w:p>
            <w:pPr>
              <w:spacing w:after="0" w:line="20" w:lineRule="exact"/>
              <w:rPr>
                <w:sz w:val="1"/>
                <w:szCs w:val="1"/>
                <w:color w:val="auto"/>
              </w:rPr>
            </w:pPr>
          </w:p>
        </w:tc>
        <w:tc>
          <w:tcPr>
            <w:tcW w:w="1280" w:type="dxa"/>
            <w:vAlign w:val="bottom"/>
            <w:tcBorders>
              <w:top w:val="single" w:sz="8" w:color="E6EEFF"/>
              <w:bottom w:val="single" w:sz="8" w:color="auto"/>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2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300" w:type="dxa"/>
            <w:vAlign w:val="bottom"/>
            <w:tcBorders>
              <w:top w:val="single" w:sz="8" w:color="E6EEFF"/>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20" w:type="dxa"/>
            <w:vAlign w:val="bottom"/>
            <w:tcBorders>
              <w:top w:val="single" w:sz="8" w:color="E6EEFF"/>
              <w:bottom w:val="single" w:sz="8" w:color="auto"/>
            </w:tcBorders>
          </w:tcPr>
          <w:p>
            <w:pPr>
              <w:spacing w:after="0" w:line="20" w:lineRule="exact"/>
              <w:rPr>
                <w:sz w:val="1"/>
                <w:szCs w:val="1"/>
                <w:color w:val="auto"/>
              </w:rPr>
            </w:pPr>
          </w:p>
        </w:tc>
        <w:tc>
          <w:tcPr>
            <w:tcW w:w="1320" w:type="dxa"/>
            <w:vAlign w:val="bottom"/>
            <w:tcBorders>
              <w:top w:val="single" w:sz="8" w:color="E6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spacing w:after="0" w:line="177" w:lineRule="exact"/>
              <w:rPr>
                <w:sz w:val="20"/>
                <w:szCs w:val="20"/>
                <w:color w:val="auto"/>
              </w:rPr>
            </w:pPr>
            <w:r>
              <w:rPr>
                <w:rFonts w:ascii="Calibri" w:cs="Calibri" w:eastAsia="Calibri" w:hAnsi="Calibri"/>
                <w:sz w:val="17"/>
                <w:szCs w:val="17"/>
                <w:color w:val="auto"/>
              </w:rPr>
              <w:t>1.30 %</w:t>
            </w: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8280" w:type="dxa"/>
            <w:vAlign w:val="bottom"/>
            <w:gridSpan w:val="4"/>
          </w:tcPr>
          <w:p>
            <w:pPr>
              <w:ind w:left="600"/>
              <w:spacing w:after="0"/>
              <w:rPr>
                <w:sz w:val="20"/>
                <w:szCs w:val="20"/>
                <w:color w:val="auto"/>
              </w:rPr>
            </w:pPr>
            <w:r>
              <w:rPr>
                <w:rFonts w:ascii="Calibri" w:cs="Calibri" w:eastAsia="Calibri" w:hAnsi="Calibri"/>
                <w:sz w:val="17"/>
                <w:szCs w:val="17"/>
                <w:color w:val="auto"/>
                <w:w w:val="99"/>
              </w:rPr>
              <w:t>The following table details the factors impactng our net interest income for the year ended December 31, 2021.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40" w:type="dxa"/>
            <w:vAlign w:val="bottom"/>
            <w:shd w:val="clear" w:color="auto" w:fill="E6EEFF"/>
          </w:tcPr>
          <w:p>
            <w:pPr>
              <w:spacing w:after="0"/>
              <w:rPr>
                <w:sz w:val="13"/>
                <w:szCs w:val="13"/>
                <w:color w:val="auto"/>
              </w:rPr>
            </w:pPr>
          </w:p>
        </w:tc>
        <w:tc>
          <w:tcPr>
            <w:tcW w:w="20" w:type="dxa"/>
            <w:vAlign w:val="bottom"/>
            <w:shd w:val="clear" w:color="auto" w:fill="E6EEFF"/>
          </w:tcPr>
          <w:p>
            <w:pPr>
              <w:spacing w:after="0"/>
              <w:rPr>
                <w:sz w:val="13"/>
                <w:szCs w:val="13"/>
                <w:color w:val="auto"/>
              </w:rPr>
            </w:pPr>
          </w:p>
        </w:tc>
        <w:tc>
          <w:tcPr>
            <w:tcW w:w="140" w:type="dxa"/>
            <w:vAlign w:val="bottom"/>
            <w:shd w:val="clear" w:color="auto" w:fill="E6EEFF"/>
          </w:tcPr>
          <w:p>
            <w:pPr>
              <w:spacing w:after="0"/>
              <w:rPr>
                <w:sz w:val="13"/>
                <w:szCs w:val="13"/>
                <w:color w:val="auto"/>
              </w:rPr>
            </w:pPr>
          </w:p>
        </w:tc>
        <w:tc>
          <w:tcPr>
            <w:tcW w:w="1280" w:type="dxa"/>
            <w:vAlign w:val="bottom"/>
            <w:shd w:val="clear" w:color="auto" w:fill="E6EEFF"/>
          </w:tcPr>
          <w:p>
            <w:pPr>
              <w:jc w:val="right"/>
              <w:ind w:right="74"/>
              <w:spacing w:after="0" w:line="160" w:lineRule="exact"/>
              <w:rPr>
                <w:sz w:val="20"/>
                <w:szCs w:val="20"/>
                <w:color w:val="auto"/>
              </w:rPr>
            </w:pPr>
            <w:r>
              <w:rPr>
                <w:rFonts w:ascii="Calibri" w:cs="Calibri" w:eastAsia="Calibri" w:hAnsi="Calibri"/>
                <w:sz w:val="17"/>
                <w:szCs w:val="17"/>
                <w:b w:val="1"/>
                <w:bCs w:val="1"/>
                <w:color w:val="1C4787"/>
                <w:w w:val="98"/>
              </w:rPr>
              <w:t>Interest Income</w:t>
            </w:r>
          </w:p>
        </w:tc>
        <w:tc>
          <w:tcPr>
            <w:tcW w:w="80" w:type="dxa"/>
            <w:vAlign w:val="bottom"/>
            <w:shd w:val="clear" w:color="auto" w:fill="E6EEFF"/>
          </w:tcPr>
          <w:p>
            <w:pPr>
              <w:spacing w:after="0"/>
              <w:rPr>
                <w:sz w:val="13"/>
                <w:szCs w:val="13"/>
                <w:color w:val="auto"/>
              </w:rPr>
            </w:pPr>
          </w:p>
        </w:tc>
        <w:tc>
          <w:tcPr>
            <w:tcW w:w="20" w:type="dxa"/>
            <w:vAlign w:val="bottom"/>
            <w:shd w:val="clear" w:color="auto" w:fill="E6EEFF"/>
          </w:tcPr>
          <w:p>
            <w:pPr>
              <w:spacing w:after="0"/>
              <w:rPr>
                <w:sz w:val="13"/>
                <w:szCs w:val="13"/>
                <w:color w:val="auto"/>
              </w:rPr>
            </w:pPr>
          </w:p>
        </w:tc>
        <w:tc>
          <w:tcPr>
            <w:tcW w:w="120" w:type="dxa"/>
            <w:vAlign w:val="bottom"/>
            <w:shd w:val="clear" w:color="auto" w:fill="E6EEFF"/>
          </w:tcPr>
          <w:p>
            <w:pPr>
              <w:spacing w:after="0"/>
              <w:rPr>
                <w:sz w:val="13"/>
                <w:szCs w:val="13"/>
                <w:color w:val="auto"/>
              </w:rPr>
            </w:pPr>
          </w:p>
        </w:tc>
        <w:tc>
          <w:tcPr>
            <w:tcW w:w="1300" w:type="dxa"/>
            <w:vAlign w:val="bottom"/>
            <w:shd w:val="clear" w:color="auto" w:fill="E6EEFF"/>
          </w:tcPr>
          <w:p>
            <w:pPr>
              <w:spacing w:after="0"/>
              <w:rPr>
                <w:sz w:val="13"/>
                <w:szCs w:val="13"/>
                <w:color w:val="auto"/>
              </w:rPr>
            </w:pPr>
          </w:p>
        </w:tc>
        <w:tc>
          <w:tcPr>
            <w:tcW w:w="80" w:type="dxa"/>
            <w:vAlign w:val="bottom"/>
            <w:shd w:val="clear" w:color="auto" w:fill="E6EEFF"/>
          </w:tcPr>
          <w:p>
            <w:pPr>
              <w:spacing w:after="0"/>
              <w:rPr>
                <w:sz w:val="13"/>
                <w:szCs w:val="13"/>
                <w:color w:val="auto"/>
              </w:rPr>
            </w:pPr>
          </w:p>
        </w:tc>
        <w:tc>
          <w:tcPr>
            <w:tcW w:w="20" w:type="dxa"/>
            <w:vAlign w:val="bottom"/>
            <w:shd w:val="clear" w:color="auto" w:fill="E6EEFF"/>
          </w:tcPr>
          <w:p>
            <w:pPr>
              <w:spacing w:after="0"/>
              <w:rPr>
                <w:sz w:val="13"/>
                <w:szCs w:val="13"/>
                <w:color w:val="auto"/>
              </w:rPr>
            </w:pPr>
          </w:p>
        </w:tc>
        <w:tc>
          <w:tcPr>
            <w:tcW w:w="1320" w:type="dxa"/>
            <w:vAlign w:val="bottom"/>
            <w:shd w:val="clear" w:color="auto" w:fill="E6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40" w:type="dxa"/>
            <w:vAlign w:val="bottom"/>
            <w:tcBorders>
              <w:bottom w:val="single" w:sz="8" w:color="E6EEFF"/>
            </w:tcBorders>
            <w:shd w:val="clear" w:color="auto" w:fill="E6EEFF"/>
          </w:tcPr>
          <w:p>
            <w:pPr>
              <w:ind w:left="20"/>
              <w:spacing w:after="0"/>
              <w:rPr>
                <w:sz w:val="20"/>
                <w:szCs w:val="20"/>
                <w:color w:val="auto"/>
              </w:rPr>
            </w:pPr>
            <w:r>
              <w:rPr>
                <w:rFonts w:ascii="Calibri" w:cs="Calibri" w:eastAsia="Calibri" w:hAnsi="Calibri"/>
                <w:sz w:val="17"/>
                <w:szCs w:val="17"/>
                <w:b w:val="1"/>
                <w:bCs w:val="1"/>
                <w:color w:val="1C4787"/>
              </w:rPr>
              <w:t>For the Year Ended December 31, 2021:</w:t>
            </w:r>
          </w:p>
        </w:tc>
        <w:tc>
          <w:tcPr>
            <w:tcW w:w="20" w:type="dxa"/>
            <w:vAlign w:val="bottom"/>
            <w:tcBorders>
              <w:bottom w:val="single" w:sz="8" w:color="E6EEFF"/>
            </w:tcBorders>
            <w:shd w:val="clear" w:color="auto" w:fill="E6EEFF"/>
          </w:tcPr>
          <w:p>
            <w:pPr>
              <w:spacing w:after="0"/>
              <w:rPr>
                <w:sz w:val="20"/>
                <w:szCs w:val="20"/>
                <w:color w:val="auto"/>
              </w:rPr>
            </w:pPr>
          </w:p>
        </w:tc>
        <w:tc>
          <w:tcPr>
            <w:tcW w:w="140" w:type="dxa"/>
            <w:vAlign w:val="bottom"/>
            <w:tcBorders>
              <w:bottom w:val="single" w:sz="8" w:color="E6EEFF"/>
            </w:tcBorders>
            <w:shd w:val="clear" w:color="auto" w:fill="E6EEFF"/>
          </w:tcPr>
          <w:p>
            <w:pPr>
              <w:spacing w:after="0"/>
              <w:rPr>
                <w:sz w:val="20"/>
                <w:szCs w:val="20"/>
                <w:color w:val="auto"/>
              </w:rPr>
            </w:pPr>
          </w:p>
        </w:tc>
        <w:tc>
          <w:tcPr>
            <w:tcW w:w="1280" w:type="dxa"/>
            <w:vAlign w:val="bottom"/>
            <w:tcBorders>
              <w:bottom w:val="single" w:sz="8" w:color="E6EEFF"/>
            </w:tcBorders>
            <w:shd w:val="clear" w:color="auto" w:fill="E6EEFF"/>
          </w:tcPr>
          <w:p>
            <w:pPr>
              <w:jc w:val="right"/>
              <w:ind w:right="274"/>
              <w:spacing w:after="0" w:line="205" w:lineRule="exact"/>
              <w:rPr>
                <w:sz w:val="20"/>
                <w:szCs w:val="20"/>
                <w:color w:val="auto"/>
              </w:rPr>
            </w:pPr>
            <w:r>
              <w:rPr>
                <w:rFonts w:ascii="Calibri" w:cs="Calibri" w:eastAsia="Calibri" w:hAnsi="Calibri"/>
                <w:sz w:val="17"/>
                <w:szCs w:val="17"/>
                <w:b w:val="1"/>
                <w:bCs w:val="1"/>
                <w:color w:val="1C4787"/>
              </w:rPr>
              <w:t>(Expense)</w:t>
            </w:r>
          </w:p>
        </w:tc>
        <w:tc>
          <w:tcPr>
            <w:tcW w:w="80" w:type="dxa"/>
            <w:vAlign w:val="bottom"/>
            <w:tcBorders>
              <w:bottom w:val="single" w:sz="8" w:color="E6EEFF"/>
            </w:tcBorders>
            <w:shd w:val="clear" w:color="auto" w:fill="E6EEFF"/>
          </w:tcPr>
          <w:p>
            <w:pPr>
              <w:spacing w:after="0"/>
              <w:rPr>
                <w:sz w:val="20"/>
                <w:szCs w:val="20"/>
                <w:color w:val="auto"/>
              </w:rPr>
            </w:pPr>
          </w:p>
        </w:tc>
        <w:tc>
          <w:tcPr>
            <w:tcW w:w="20" w:type="dxa"/>
            <w:vAlign w:val="bottom"/>
            <w:tcBorders>
              <w:bottom w:val="single" w:sz="8" w:color="E6EEFF"/>
            </w:tcBorders>
            <w:shd w:val="clear" w:color="auto" w:fill="E6EEFF"/>
          </w:tcPr>
          <w:p>
            <w:pPr>
              <w:spacing w:after="0"/>
              <w:rPr>
                <w:sz w:val="20"/>
                <w:szCs w:val="20"/>
                <w:color w:val="auto"/>
              </w:rPr>
            </w:pPr>
          </w:p>
        </w:tc>
        <w:tc>
          <w:tcPr>
            <w:tcW w:w="120" w:type="dxa"/>
            <w:vAlign w:val="bottom"/>
            <w:tcBorders>
              <w:bottom w:val="single" w:sz="8" w:color="E6EEFF"/>
            </w:tcBorders>
            <w:shd w:val="clear" w:color="auto" w:fill="E6EEFF"/>
          </w:tcPr>
          <w:p>
            <w:pPr>
              <w:spacing w:after="0"/>
              <w:rPr>
                <w:sz w:val="20"/>
                <w:szCs w:val="20"/>
                <w:color w:val="auto"/>
              </w:rPr>
            </w:pPr>
          </w:p>
        </w:tc>
        <w:tc>
          <w:tcPr>
            <w:tcW w:w="1380" w:type="dxa"/>
            <w:vAlign w:val="bottom"/>
            <w:tcBorders>
              <w:bottom w:val="single" w:sz="8" w:color="E6EEFF"/>
            </w:tcBorders>
            <w:gridSpan w:val="2"/>
            <w:shd w:val="clear" w:color="auto" w:fill="E6EEFF"/>
          </w:tcPr>
          <w:p>
            <w:pPr>
              <w:ind w:left="20"/>
              <w:spacing w:after="0"/>
              <w:rPr>
                <w:sz w:val="20"/>
                <w:szCs w:val="20"/>
                <w:color w:val="auto"/>
              </w:rPr>
            </w:pPr>
            <w:r>
              <w:rPr>
                <w:rFonts w:ascii="Calibri" w:cs="Calibri" w:eastAsia="Calibri" w:hAnsi="Calibri"/>
                <w:sz w:val="17"/>
                <w:szCs w:val="17"/>
                <w:b w:val="1"/>
                <w:bCs w:val="1"/>
                <w:color w:val="1C4787"/>
              </w:rPr>
              <w:t>Average Balance</w:t>
            </w:r>
          </w:p>
        </w:tc>
        <w:tc>
          <w:tcPr>
            <w:tcW w:w="20" w:type="dxa"/>
            <w:vAlign w:val="bottom"/>
            <w:tcBorders>
              <w:bottom w:val="single" w:sz="8" w:color="E6EEFF"/>
            </w:tcBorders>
            <w:shd w:val="clear" w:color="auto" w:fill="E6EEFF"/>
          </w:tcPr>
          <w:p>
            <w:pPr>
              <w:spacing w:after="0"/>
              <w:rPr>
                <w:sz w:val="20"/>
                <w:szCs w:val="20"/>
                <w:color w:val="auto"/>
              </w:rPr>
            </w:pPr>
          </w:p>
        </w:tc>
        <w:tc>
          <w:tcPr>
            <w:tcW w:w="1320" w:type="dxa"/>
            <w:vAlign w:val="bottom"/>
            <w:tcBorders>
              <w:bottom w:val="single" w:sz="8" w:color="E6EEFF"/>
            </w:tcBorders>
            <w:shd w:val="clear" w:color="auto" w:fill="E6EEFF"/>
          </w:tcPr>
          <w:p>
            <w:pPr>
              <w:jc w:val="right"/>
              <w:ind w:right="214"/>
              <w:spacing w:after="0"/>
              <w:rPr>
                <w:sz w:val="20"/>
                <w:szCs w:val="20"/>
                <w:color w:val="auto"/>
              </w:rPr>
            </w:pPr>
            <w:r>
              <w:rPr>
                <w:rFonts w:ascii="Calibri" w:cs="Calibri" w:eastAsia="Calibri" w:hAnsi="Calibri"/>
                <w:sz w:val="17"/>
                <w:szCs w:val="17"/>
                <w:b w:val="1"/>
                <w:bCs w:val="1"/>
                <w:color w:val="1C4787"/>
              </w:rPr>
              <w:t>Yield/Rate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40" w:type="dxa"/>
            <w:vAlign w:val="bottom"/>
          </w:tcPr>
          <w:p>
            <w:pPr>
              <w:ind w:left="20"/>
              <w:spacing w:after="0" w:line="190" w:lineRule="exact"/>
              <w:rPr>
                <w:sz w:val="20"/>
                <w:szCs w:val="20"/>
                <w:color w:val="auto"/>
              </w:rPr>
            </w:pPr>
            <w:r>
              <w:rPr>
                <w:rFonts w:ascii="Calibri" w:cs="Calibri" w:eastAsia="Calibri" w:hAnsi="Calibri"/>
                <w:sz w:val="17"/>
                <w:szCs w:val="17"/>
                <w:color w:val="auto"/>
              </w:rPr>
              <w:t>Agency Securites, Net of Amortzaton</w:t>
            </w: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28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79,806</w:t>
            </w:r>
          </w:p>
        </w:tc>
        <w:tc>
          <w:tcPr>
            <w:tcW w:w="100" w:type="dxa"/>
            <w:vAlign w:val="bottom"/>
            <w:gridSpan w:val="2"/>
          </w:tcPr>
          <w:p>
            <w:pPr>
              <w:spacing w:after="0"/>
              <w:rPr>
                <w:sz w:val="17"/>
                <w:szCs w:val="17"/>
                <w:color w:val="auto"/>
              </w:rPr>
            </w:pPr>
          </w:p>
        </w:tc>
        <w:tc>
          <w:tcPr>
            <w:tcW w:w="12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0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4,041,888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1.97 %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84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Cash Equivalents &amp; Treasury Securites</w:t>
            </w:r>
          </w:p>
        </w:tc>
        <w:tc>
          <w:tcPr>
            <w:tcW w:w="20" w:type="dxa"/>
            <w:vAlign w:val="bottom"/>
            <w:shd w:val="clear" w:color="auto" w:fill="E6EEFF"/>
          </w:tcPr>
          <w:p>
            <w:pPr>
              <w:spacing w:after="0"/>
              <w:rPr>
                <w:sz w:val="19"/>
                <w:szCs w:val="19"/>
                <w:color w:val="auto"/>
              </w:rPr>
            </w:pPr>
          </w:p>
        </w:tc>
        <w:tc>
          <w:tcPr>
            <w:tcW w:w="140" w:type="dxa"/>
            <w:vAlign w:val="bottom"/>
            <w:shd w:val="clear" w:color="auto" w:fill="E6EEFF"/>
          </w:tcPr>
          <w:p>
            <w:pPr>
              <w:spacing w:after="0"/>
              <w:rPr>
                <w:sz w:val="19"/>
                <w:szCs w:val="19"/>
                <w:color w:val="auto"/>
              </w:rPr>
            </w:pPr>
          </w:p>
        </w:tc>
        <w:tc>
          <w:tcPr>
            <w:tcW w:w="12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602</w:t>
            </w:r>
          </w:p>
        </w:tc>
        <w:tc>
          <w:tcPr>
            <w:tcW w:w="80" w:type="dxa"/>
            <w:vAlign w:val="bottom"/>
            <w:shd w:val="clear" w:color="auto" w:fill="E6EEFF"/>
          </w:tcPr>
          <w:p>
            <w:pPr>
              <w:spacing w:after="0"/>
              <w:rPr>
                <w:sz w:val="19"/>
                <w:szCs w:val="19"/>
                <w:color w:val="auto"/>
              </w:rPr>
            </w:pPr>
          </w:p>
        </w:tc>
        <w:tc>
          <w:tcPr>
            <w:tcW w:w="2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3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398,740</w:t>
            </w:r>
          </w:p>
        </w:tc>
        <w:tc>
          <w:tcPr>
            <w:tcW w:w="80" w:type="dxa"/>
            <w:vAlign w:val="bottom"/>
            <w:shd w:val="clear" w:color="auto" w:fill="E6EEFF"/>
          </w:tcPr>
          <w:p>
            <w:pPr>
              <w:spacing w:after="0"/>
              <w:rPr>
                <w:sz w:val="19"/>
                <w:szCs w:val="19"/>
                <w:color w:val="auto"/>
              </w:rPr>
            </w:pPr>
          </w:p>
        </w:tc>
        <w:tc>
          <w:tcPr>
            <w:tcW w:w="134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0.15 %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tcBorders>
              <w:bottom w:val="single" w:sz="8" w:color="E6EEFF"/>
            </w:tcBorders>
          </w:tcPr>
          <w:p>
            <w:pPr>
              <w:ind w:left="20"/>
              <w:spacing w:after="0" w:line="205" w:lineRule="exact"/>
              <w:rPr>
                <w:sz w:val="20"/>
                <w:szCs w:val="20"/>
                <w:color w:val="auto"/>
              </w:rPr>
            </w:pPr>
            <w:r>
              <w:rPr>
                <w:rFonts w:ascii="Calibri" w:cs="Calibri" w:eastAsia="Calibri" w:hAnsi="Calibri"/>
                <w:sz w:val="17"/>
                <w:szCs w:val="17"/>
                <w:color w:val="auto"/>
              </w:rPr>
              <w:t>Subordinated Loan to BUCKLER</w:t>
            </w:r>
          </w:p>
        </w:tc>
        <w:tc>
          <w:tcPr>
            <w:tcW w:w="20" w:type="dxa"/>
            <w:vAlign w:val="bottom"/>
            <w:tcBorders>
              <w:bottom w:val="single" w:sz="8" w:color="E6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70</w:t>
            </w:r>
          </w:p>
        </w:tc>
        <w:tc>
          <w:tcPr>
            <w:tcW w:w="80" w:type="dxa"/>
            <w:vAlign w:val="bottom"/>
            <w:tcBorders>
              <w:bottom w:val="single" w:sz="8" w:color="E6EEFF"/>
            </w:tcBorders>
          </w:tcPr>
          <w:p>
            <w:pPr>
              <w:spacing w:after="0"/>
              <w:rPr>
                <w:sz w:val="18"/>
                <w:szCs w:val="18"/>
                <w:color w:val="auto"/>
              </w:rPr>
            </w:pPr>
          </w:p>
        </w:tc>
        <w:tc>
          <w:tcPr>
            <w:tcW w:w="20" w:type="dxa"/>
            <w:vAlign w:val="bottom"/>
            <w:tcBorders>
              <w:bottom w:val="single" w:sz="8" w:color="E6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105,000</w:t>
            </w:r>
          </w:p>
        </w:tc>
        <w:tc>
          <w:tcPr>
            <w:tcW w:w="80" w:type="dxa"/>
            <w:vAlign w:val="bottom"/>
            <w:tcBorders>
              <w:bottom w:val="single" w:sz="8" w:color="E6EEFF"/>
            </w:tcBorders>
          </w:tcPr>
          <w:p>
            <w:pPr>
              <w:spacing w:after="0"/>
              <w:rPr>
                <w:sz w:val="18"/>
                <w:szCs w:val="18"/>
                <w:color w:val="auto"/>
              </w:rPr>
            </w:pPr>
          </w:p>
        </w:tc>
        <w:tc>
          <w:tcPr>
            <w:tcW w:w="20" w:type="dxa"/>
            <w:vAlign w:val="bottom"/>
            <w:tcBorders>
              <w:bottom w:val="single" w:sz="8" w:color="E6EEFF"/>
            </w:tcBorders>
          </w:tcPr>
          <w:p>
            <w:pPr>
              <w:spacing w:after="0"/>
              <w:rPr>
                <w:sz w:val="18"/>
                <w:szCs w:val="18"/>
                <w:color w:val="auto"/>
              </w:rPr>
            </w:pPr>
          </w:p>
        </w:tc>
        <w:tc>
          <w:tcPr>
            <w:tcW w:w="13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0.07 %</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840" w:type="dxa"/>
            <w:vAlign w:val="bottom"/>
            <w:tcBorders>
              <w:bottom w:val="single" w:sz="8" w:color="E6EEFF"/>
            </w:tcBorders>
            <w:shd w:val="clear" w:color="auto" w:fill="E6EEFF"/>
          </w:tcPr>
          <w:p>
            <w:pPr>
              <w:ind w:left="20"/>
              <w:spacing w:after="0"/>
              <w:rPr>
                <w:sz w:val="20"/>
                <w:szCs w:val="20"/>
                <w:color w:val="auto"/>
              </w:rPr>
            </w:pPr>
            <w:r>
              <w:rPr>
                <w:rFonts w:ascii="Calibri" w:cs="Calibri" w:eastAsia="Calibri" w:hAnsi="Calibri"/>
                <w:sz w:val="17"/>
                <w:szCs w:val="17"/>
                <w:color w:val="auto"/>
              </w:rPr>
              <w:t>Total Interest Income/Average Interest Earning Assets</w:t>
            </w:r>
          </w:p>
        </w:tc>
        <w:tc>
          <w:tcPr>
            <w:tcW w:w="160" w:type="dxa"/>
            <w:vAlign w:val="bottom"/>
            <w:tcBorders>
              <w:bottom w:val="single" w:sz="8" w:color="E6EEFF"/>
            </w:tcBorders>
            <w:gridSpan w:val="2"/>
            <w:shd w:val="clear" w:color="auto" w:fill="E6EEFF"/>
          </w:tcPr>
          <w:p>
            <w:pPr>
              <w:jc w:val="right"/>
              <w:spacing w:after="0"/>
              <w:rPr>
                <w:sz w:val="20"/>
                <w:szCs w:val="20"/>
                <w:color w:val="auto"/>
              </w:rPr>
            </w:pPr>
            <w:r>
              <w:rPr>
                <w:rFonts w:ascii="Calibri" w:cs="Calibri" w:eastAsia="Calibri" w:hAnsi="Calibri"/>
                <w:sz w:val="17"/>
                <w:szCs w:val="17"/>
                <w:color w:val="auto"/>
              </w:rPr>
              <w:t>$</w:t>
            </w:r>
          </w:p>
        </w:tc>
        <w:tc>
          <w:tcPr>
            <w:tcW w:w="128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80,478</w:t>
            </w:r>
          </w:p>
        </w:tc>
        <w:tc>
          <w:tcPr>
            <w:tcW w:w="100" w:type="dxa"/>
            <w:vAlign w:val="bottom"/>
            <w:tcBorders>
              <w:bottom w:val="single" w:sz="8" w:color="E6EEFF"/>
            </w:tcBorders>
            <w:gridSpan w:val="2"/>
            <w:shd w:val="clear" w:color="auto" w:fill="E6EEFF"/>
          </w:tcPr>
          <w:p>
            <w:pPr>
              <w:spacing w:after="0"/>
              <w:rPr>
                <w:sz w:val="24"/>
                <w:szCs w:val="24"/>
                <w:color w:val="auto"/>
              </w:rPr>
            </w:pPr>
          </w:p>
        </w:tc>
        <w:tc>
          <w:tcPr>
            <w:tcW w:w="1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0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4,545,628</w:t>
            </w:r>
          </w:p>
        </w:tc>
        <w:tc>
          <w:tcPr>
            <w:tcW w:w="80" w:type="dxa"/>
            <w:vAlign w:val="bottom"/>
            <w:tcBorders>
              <w:bottom w:val="single" w:sz="8" w:color="E6EEFF"/>
            </w:tcBorders>
            <w:shd w:val="clear" w:color="auto" w:fill="E6EEFF"/>
          </w:tcPr>
          <w:p>
            <w:pPr>
              <w:spacing w:after="0"/>
              <w:rPr>
                <w:sz w:val="24"/>
                <w:szCs w:val="24"/>
                <w:color w:val="auto"/>
              </w:rPr>
            </w:pPr>
          </w:p>
        </w:tc>
        <w:tc>
          <w:tcPr>
            <w:tcW w:w="1340" w:type="dxa"/>
            <w:vAlign w:val="bottom"/>
            <w:tcBorders>
              <w:bottom w:val="single" w:sz="8" w:color="E6EEFF"/>
            </w:tcBorders>
            <w:gridSpan w:val="2"/>
            <w:shd w:val="clear" w:color="auto" w:fill="E6EEFF"/>
          </w:tcPr>
          <w:p>
            <w:pPr>
              <w:jc w:val="right"/>
              <w:spacing w:after="0"/>
              <w:rPr>
                <w:sz w:val="20"/>
                <w:szCs w:val="20"/>
                <w:color w:val="auto"/>
              </w:rPr>
            </w:pPr>
            <w:r>
              <w:rPr>
                <w:rFonts w:ascii="Calibri" w:cs="Calibri" w:eastAsia="Calibri" w:hAnsi="Calibri"/>
                <w:sz w:val="17"/>
                <w:szCs w:val="17"/>
                <w:color w:val="auto"/>
              </w:rPr>
              <w:t>1.77 %</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840" w:type="dxa"/>
            <w:vAlign w:val="bottom"/>
            <w:tcBorders>
              <w:top w:val="single" w:sz="8" w:color="E6EEFF"/>
            </w:tcBorders>
          </w:tcPr>
          <w:p>
            <w:pPr>
              <w:spacing w:after="0"/>
              <w:rPr>
                <w:sz w:val="8"/>
                <w:szCs w:val="8"/>
                <w:color w:val="auto"/>
              </w:rPr>
            </w:pPr>
          </w:p>
        </w:tc>
        <w:tc>
          <w:tcPr>
            <w:tcW w:w="20" w:type="dxa"/>
            <w:vAlign w:val="bottom"/>
            <w:tcBorders>
              <w:top w:val="single" w:sz="8" w:color="E6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80" w:type="dxa"/>
            <w:vAlign w:val="bottom"/>
            <w:tcBorders>
              <w:top w:val="single" w:sz="8" w:color="E6EEFF"/>
            </w:tcBorders>
          </w:tcPr>
          <w:p>
            <w:pPr>
              <w:spacing w:after="0"/>
              <w:rPr>
                <w:sz w:val="8"/>
                <w:szCs w:val="8"/>
                <w:color w:val="auto"/>
              </w:rPr>
            </w:pPr>
          </w:p>
        </w:tc>
        <w:tc>
          <w:tcPr>
            <w:tcW w:w="20" w:type="dxa"/>
            <w:vAlign w:val="bottom"/>
            <w:tcBorders>
              <w:top w:val="single" w:sz="8" w:color="E6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80" w:type="dxa"/>
            <w:vAlign w:val="bottom"/>
            <w:tcBorders>
              <w:top w:val="single" w:sz="8" w:color="E6EEFF"/>
            </w:tcBorders>
          </w:tcPr>
          <w:p>
            <w:pPr>
              <w:spacing w:after="0"/>
              <w:rPr>
                <w:sz w:val="8"/>
                <w:szCs w:val="8"/>
                <w:color w:val="auto"/>
              </w:rPr>
            </w:pPr>
          </w:p>
        </w:tc>
        <w:tc>
          <w:tcPr>
            <w:tcW w:w="20" w:type="dxa"/>
            <w:vAlign w:val="bottom"/>
            <w:tcBorders>
              <w:top w:val="single" w:sz="8" w:color="E6EEFF"/>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40" w:type="dxa"/>
            <w:vAlign w:val="bottom"/>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Interest-bearing Liabilites:</w:t>
            </w:r>
          </w:p>
        </w:tc>
        <w:tc>
          <w:tcPr>
            <w:tcW w:w="20" w:type="dxa"/>
            <w:vAlign w:val="bottom"/>
            <w:shd w:val="clear" w:color="auto" w:fill="E6EEFF"/>
          </w:tcPr>
          <w:p>
            <w:pPr>
              <w:spacing w:after="0"/>
              <w:rPr>
                <w:sz w:val="19"/>
                <w:szCs w:val="19"/>
                <w:color w:val="auto"/>
              </w:rPr>
            </w:pPr>
          </w:p>
        </w:tc>
        <w:tc>
          <w:tcPr>
            <w:tcW w:w="140" w:type="dxa"/>
            <w:vAlign w:val="bottom"/>
            <w:shd w:val="clear" w:color="auto" w:fill="E6EEFF"/>
          </w:tcPr>
          <w:p>
            <w:pPr>
              <w:spacing w:after="0"/>
              <w:rPr>
                <w:sz w:val="19"/>
                <w:szCs w:val="19"/>
                <w:color w:val="auto"/>
              </w:rPr>
            </w:pPr>
          </w:p>
        </w:tc>
        <w:tc>
          <w:tcPr>
            <w:tcW w:w="1280" w:type="dxa"/>
            <w:vAlign w:val="bottom"/>
            <w:shd w:val="clear" w:color="auto" w:fill="E6EEFF"/>
          </w:tcPr>
          <w:p>
            <w:pPr>
              <w:spacing w:after="0"/>
              <w:rPr>
                <w:sz w:val="19"/>
                <w:szCs w:val="19"/>
                <w:color w:val="auto"/>
              </w:rPr>
            </w:pPr>
          </w:p>
        </w:tc>
        <w:tc>
          <w:tcPr>
            <w:tcW w:w="80" w:type="dxa"/>
            <w:vAlign w:val="bottom"/>
            <w:shd w:val="clear" w:color="auto" w:fill="E6EEFF"/>
          </w:tcPr>
          <w:p>
            <w:pPr>
              <w:spacing w:after="0"/>
              <w:rPr>
                <w:sz w:val="19"/>
                <w:szCs w:val="19"/>
                <w:color w:val="auto"/>
              </w:rPr>
            </w:pPr>
          </w:p>
        </w:tc>
        <w:tc>
          <w:tcPr>
            <w:tcW w:w="2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300" w:type="dxa"/>
            <w:vAlign w:val="bottom"/>
            <w:shd w:val="clear" w:color="auto" w:fill="E6EEFF"/>
          </w:tcPr>
          <w:p>
            <w:pPr>
              <w:spacing w:after="0"/>
              <w:rPr>
                <w:sz w:val="19"/>
                <w:szCs w:val="19"/>
                <w:color w:val="auto"/>
              </w:rPr>
            </w:pPr>
          </w:p>
        </w:tc>
        <w:tc>
          <w:tcPr>
            <w:tcW w:w="80" w:type="dxa"/>
            <w:vAlign w:val="bottom"/>
            <w:shd w:val="clear" w:color="auto" w:fill="E6EEFF"/>
          </w:tcPr>
          <w:p>
            <w:pPr>
              <w:spacing w:after="0"/>
              <w:rPr>
                <w:sz w:val="19"/>
                <w:szCs w:val="19"/>
                <w:color w:val="auto"/>
              </w:rPr>
            </w:pPr>
          </w:p>
        </w:tc>
        <w:tc>
          <w:tcPr>
            <w:tcW w:w="20" w:type="dxa"/>
            <w:vAlign w:val="bottom"/>
            <w:shd w:val="clear" w:color="auto" w:fill="E6EEFF"/>
          </w:tcPr>
          <w:p>
            <w:pPr>
              <w:spacing w:after="0"/>
              <w:rPr>
                <w:sz w:val="19"/>
                <w:szCs w:val="19"/>
                <w:color w:val="auto"/>
              </w:rPr>
            </w:pPr>
          </w:p>
        </w:tc>
        <w:tc>
          <w:tcPr>
            <w:tcW w:w="1320" w:type="dxa"/>
            <w:vAlign w:val="bottom"/>
            <w:shd w:val="clear" w:color="auto" w:fill="E6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tcPr>
          <w:p>
            <w:pPr>
              <w:ind w:left="20"/>
              <w:spacing w:after="0" w:line="205" w:lineRule="exact"/>
              <w:rPr>
                <w:sz w:val="20"/>
                <w:szCs w:val="20"/>
                <w:color w:val="auto"/>
              </w:rPr>
            </w:pPr>
            <w:r>
              <w:rPr>
                <w:rFonts w:ascii="Calibri" w:cs="Calibri" w:eastAsia="Calibri" w:hAnsi="Calibri"/>
                <w:sz w:val="17"/>
                <w:szCs w:val="17"/>
                <w:color w:val="auto"/>
              </w:rPr>
              <w:t>Repurchase Agreements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line="205" w:lineRule="exact"/>
              <w:rPr>
                <w:sz w:val="20"/>
                <w:szCs w:val="20"/>
                <w:color w:val="auto"/>
              </w:rPr>
            </w:pPr>
            <w:r>
              <w:rPr>
                <w:rFonts w:ascii="Calibri" w:cs="Calibri" w:eastAsia="Calibri" w:hAnsi="Calibri"/>
                <w:sz w:val="17"/>
                <w:szCs w:val="17"/>
                <w:color w:val="auto"/>
              </w:rPr>
              <w:t>(7,022)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line="205" w:lineRule="exact"/>
              <w:rPr>
                <w:sz w:val="20"/>
                <w:szCs w:val="20"/>
                <w:color w:val="auto"/>
              </w:rPr>
            </w:pPr>
            <w:r>
              <w:rPr>
                <w:rFonts w:ascii="Calibri" w:cs="Calibri" w:eastAsia="Calibri" w:hAnsi="Calibri"/>
                <w:sz w:val="17"/>
                <w:szCs w:val="17"/>
                <w:color w:val="auto"/>
              </w:rPr>
              <w:t>3,816,450</w:t>
            </w:r>
          </w:p>
        </w:tc>
        <w:tc>
          <w:tcPr>
            <w:tcW w:w="80" w:type="dxa"/>
            <w:vAlign w:val="bottom"/>
          </w:tcPr>
          <w:p>
            <w:pPr>
              <w:spacing w:after="0"/>
              <w:rPr>
                <w:sz w:val="18"/>
                <w:szCs w:val="18"/>
                <w:color w:val="auto"/>
              </w:rPr>
            </w:pPr>
          </w:p>
        </w:tc>
        <w:tc>
          <w:tcPr>
            <w:tcW w:w="1340" w:type="dxa"/>
            <w:vAlign w:val="bottom"/>
            <w:gridSpan w:val="2"/>
          </w:tcPr>
          <w:p>
            <w:pPr>
              <w:jc w:val="right"/>
              <w:spacing w:after="0" w:line="205" w:lineRule="exact"/>
              <w:rPr>
                <w:sz w:val="20"/>
                <w:szCs w:val="20"/>
                <w:color w:val="auto"/>
              </w:rPr>
            </w:pPr>
            <w:r>
              <w:rPr>
                <w:rFonts w:ascii="Calibri" w:cs="Calibri" w:eastAsia="Calibri" w:hAnsi="Calibri"/>
                <w:sz w:val="17"/>
                <w:szCs w:val="17"/>
                <w:color w:val="auto"/>
              </w:rPr>
              <w:t>(0.18)%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84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Treasury Securites Sold Short</w:t>
            </w:r>
          </w:p>
        </w:tc>
        <w:tc>
          <w:tcPr>
            <w:tcW w:w="20" w:type="dxa"/>
            <w:vAlign w:val="bottom"/>
            <w:shd w:val="clear" w:color="auto" w:fill="E6EEFF"/>
          </w:tcPr>
          <w:p>
            <w:pPr>
              <w:spacing w:after="0"/>
              <w:rPr>
                <w:sz w:val="19"/>
                <w:szCs w:val="19"/>
                <w:color w:val="auto"/>
              </w:rPr>
            </w:pPr>
          </w:p>
        </w:tc>
        <w:tc>
          <w:tcPr>
            <w:tcW w:w="140" w:type="dxa"/>
            <w:vAlign w:val="bottom"/>
            <w:tcBorders>
              <w:bottom w:val="single" w:sz="8" w:color="auto"/>
            </w:tcBorders>
            <w:shd w:val="clear" w:color="auto" w:fill="E6EEFF"/>
          </w:tcPr>
          <w:p>
            <w:pPr>
              <w:spacing w:after="0"/>
              <w:rPr>
                <w:sz w:val="19"/>
                <w:szCs w:val="19"/>
                <w:color w:val="auto"/>
              </w:rPr>
            </w:pPr>
          </w:p>
        </w:tc>
        <w:tc>
          <w:tcPr>
            <w:tcW w:w="128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(87)</w:t>
            </w:r>
          </w:p>
        </w:tc>
        <w:tc>
          <w:tcPr>
            <w:tcW w:w="80" w:type="dxa"/>
            <w:vAlign w:val="bottom"/>
            <w:shd w:val="clear" w:color="auto" w:fill="E6EEFF"/>
          </w:tcPr>
          <w:p>
            <w:pPr>
              <w:spacing w:after="0"/>
              <w:rPr>
                <w:sz w:val="19"/>
                <w:szCs w:val="19"/>
                <w:color w:val="auto"/>
              </w:rPr>
            </w:pPr>
          </w:p>
        </w:tc>
        <w:tc>
          <w:tcPr>
            <w:tcW w:w="20" w:type="dxa"/>
            <w:vAlign w:val="bottom"/>
            <w:shd w:val="clear" w:color="auto" w:fill="E6EEFF"/>
          </w:tcPr>
          <w:p>
            <w:pPr>
              <w:spacing w:after="0"/>
              <w:rPr>
                <w:sz w:val="19"/>
                <w:szCs w:val="19"/>
                <w:color w:val="auto"/>
              </w:rPr>
            </w:pPr>
          </w:p>
        </w:tc>
        <w:tc>
          <w:tcPr>
            <w:tcW w:w="120" w:type="dxa"/>
            <w:vAlign w:val="bottom"/>
            <w:tcBorders>
              <w:bottom w:val="single" w:sz="8" w:color="auto"/>
            </w:tcBorders>
            <w:shd w:val="clear" w:color="auto" w:fill="E6EEFF"/>
          </w:tcPr>
          <w:p>
            <w:pPr>
              <w:spacing w:after="0"/>
              <w:rPr>
                <w:sz w:val="19"/>
                <w:szCs w:val="19"/>
                <w:color w:val="auto"/>
              </w:rPr>
            </w:pPr>
          </w:p>
        </w:tc>
        <w:tc>
          <w:tcPr>
            <w:tcW w:w="130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32,484</w:t>
            </w:r>
          </w:p>
        </w:tc>
        <w:tc>
          <w:tcPr>
            <w:tcW w:w="80" w:type="dxa"/>
            <w:vAlign w:val="bottom"/>
            <w:shd w:val="clear" w:color="auto" w:fill="E6EEFF"/>
          </w:tcPr>
          <w:p>
            <w:pPr>
              <w:spacing w:after="0"/>
              <w:rPr>
                <w:sz w:val="19"/>
                <w:szCs w:val="19"/>
                <w:color w:val="auto"/>
              </w:rPr>
            </w:pPr>
          </w:p>
        </w:tc>
        <w:tc>
          <w:tcPr>
            <w:tcW w:w="20" w:type="dxa"/>
            <w:vAlign w:val="bottom"/>
            <w:shd w:val="clear" w:color="auto" w:fill="E6EEFF"/>
          </w:tcPr>
          <w:p>
            <w:pPr>
              <w:spacing w:after="0"/>
              <w:rPr>
                <w:sz w:val="19"/>
                <w:szCs w:val="19"/>
                <w:color w:val="auto"/>
              </w:rPr>
            </w:pPr>
          </w:p>
        </w:tc>
        <w:tc>
          <w:tcPr>
            <w:tcW w:w="132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(0.27)%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Calibri" w:cs="Calibri" w:eastAsia="Calibri" w:hAnsi="Calibri"/>
                <w:sz w:val="17"/>
                <w:szCs w:val="17"/>
                <w:color w:val="auto"/>
              </w:rPr>
              <w:t>Total Interest Expense/Average Interest Bearing Liabilites</w:t>
            </w:r>
          </w:p>
        </w:tc>
        <w:tc>
          <w:tcPr>
            <w:tcW w:w="160" w:type="dxa"/>
            <w:vAlign w:val="bottom"/>
            <w:gridSpan w:val="2"/>
          </w:tcPr>
          <w:p>
            <w:pPr>
              <w:jc w:val="right"/>
              <w:spacing w:after="0"/>
              <w:rPr>
                <w:sz w:val="20"/>
                <w:szCs w:val="20"/>
                <w:color w:val="auto"/>
              </w:rPr>
            </w:pPr>
            <w:r>
              <w:rPr>
                <w:rFonts w:ascii="Calibri" w:cs="Calibri" w:eastAsia="Calibri" w:hAnsi="Calibri"/>
                <w:sz w:val="17"/>
                <w:szCs w:val="17"/>
                <w:color w:val="auto"/>
              </w:rPr>
              <w:t>$</w:t>
            </w:r>
          </w:p>
        </w:tc>
        <w:tc>
          <w:tcPr>
            <w:tcW w:w="1280" w:type="dxa"/>
            <w:vAlign w:val="bottom"/>
          </w:tcPr>
          <w:p>
            <w:pPr>
              <w:jc w:val="right"/>
              <w:spacing w:after="0"/>
              <w:rPr>
                <w:sz w:val="20"/>
                <w:szCs w:val="20"/>
                <w:color w:val="auto"/>
              </w:rPr>
            </w:pPr>
            <w:r>
              <w:rPr>
                <w:rFonts w:ascii="Calibri" w:cs="Calibri" w:eastAsia="Calibri" w:hAnsi="Calibri"/>
                <w:sz w:val="17"/>
                <w:szCs w:val="17"/>
                <w:color w:val="auto"/>
              </w:rPr>
              <w:t>(7,109)</w:t>
            </w:r>
          </w:p>
        </w:tc>
        <w:tc>
          <w:tcPr>
            <w:tcW w:w="10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3,848,934</w:t>
            </w:r>
          </w:p>
        </w:tc>
        <w:tc>
          <w:tcPr>
            <w:tcW w:w="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Calibri" w:cs="Calibri" w:eastAsia="Calibri" w:hAnsi="Calibri"/>
                <w:sz w:val="17"/>
                <w:szCs w:val="17"/>
                <w:color w:val="auto"/>
              </w:rPr>
              <w:t>(0.18)%</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40" w:type="dxa"/>
            <w:vAlign w:val="bottom"/>
            <w:tcBorders>
              <w:bottom w:val="single" w:sz="8" w:color="E6EEFF"/>
            </w:tcBorders>
          </w:tcPr>
          <w:p>
            <w:pPr>
              <w:spacing w:after="0"/>
              <w:rPr>
                <w:sz w:val="3"/>
                <w:szCs w:val="3"/>
                <w:color w:val="auto"/>
              </w:rPr>
            </w:pPr>
          </w:p>
        </w:tc>
        <w:tc>
          <w:tcPr>
            <w:tcW w:w="20" w:type="dxa"/>
            <w:vAlign w:val="bottom"/>
            <w:tcBorders>
              <w:bottom w:val="single" w:sz="8" w:color="E6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E6EEFF"/>
            </w:tcBorders>
          </w:tcPr>
          <w:p>
            <w:pPr>
              <w:spacing w:after="0"/>
              <w:rPr>
                <w:sz w:val="3"/>
                <w:szCs w:val="3"/>
                <w:color w:val="auto"/>
              </w:rPr>
            </w:pPr>
          </w:p>
        </w:tc>
        <w:tc>
          <w:tcPr>
            <w:tcW w:w="20" w:type="dxa"/>
            <w:vAlign w:val="bottom"/>
            <w:tcBorders>
              <w:bottom w:val="single" w:sz="8" w:color="E6EEFF"/>
            </w:tcBorders>
          </w:tcPr>
          <w:p>
            <w:pPr>
              <w:spacing w:after="0"/>
              <w:rPr>
                <w:sz w:val="3"/>
                <w:szCs w:val="3"/>
                <w:color w:val="auto"/>
              </w:rPr>
            </w:pPr>
          </w:p>
        </w:tc>
        <w:tc>
          <w:tcPr>
            <w:tcW w:w="120" w:type="dxa"/>
            <w:vAlign w:val="bottom"/>
            <w:tcBorders>
              <w:bottom w:val="single" w:sz="8" w:color="E6EEFF"/>
            </w:tcBorders>
          </w:tcPr>
          <w:p>
            <w:pPr>
              <w:spacing w:after="0"/>
              <w:rPr>
                <w:sz w:val="3"/>
                <w:szCs w:val="3"/>
                <w:color w:val="auto"/>
              </w:rPr>
            </w:pPr>
          </w:p>
        </w:tc>
        <w:tc>
          <w:tcPr>
            <w:tcW w:w="1300" w:type="dxa"/>
            <w:vAlign w:val="bottom"/>
            <w:tcBorders>
              <w:bottom w:val="single" w:sz="8" w:color="E6EEFF"/>
            </w:tcBorders>
          </w:tcPr>
          <w:p>
            <w:pPr>
              <w:spacing w:after="0"/>
              <w:rPr>
                <w:sz w:val="3"/>
                <w:szCs w:val="3"/>
                <w:color w:val="auto"/>
              </w:rPr>
            </w:pPr>
          </w:p>
        </w:tc>
        <w:tc>
          <w:tcPr>
            <w:tcW w:w="80" w:type="dxa"/>
            <w:vAlign w:val="bottom"/>
            <w:tcBorders>
              <w:bottom w:val="single" w:sz="8" w:color="E6EEFF"/>
            </w:tcBorders>
          </w:tcPr>
          <w:p>
            <w:pPr>
              <w:spacing w:after="0"/>
              <w:rPr>
                <w:sz w:val="3"/>
                <w:szCs w:val="3"/>
                <w:color w:val="auto"/>
              </w:rPr>
            </w:pPr>
          </w:p>
        </w:tc>
        <w:tc>
          <w:tcPr>
            <w:tcW w:w="20" w:type="dxa"/>
            <w:vAlign w:val="bottom"/>
            <w:tcBorders>
              <w:bottom w:val="single" w:sz="8" w:color="E6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Borders>
              <w:top w:val="single" w:sz="8" w:color="E6EEFF"/>
              <w:bottom w:val="single" w:sz="8" w:color="E6EEFF"/>
            </w:tcBorders>
            <w:shd w:val="clear" w:color="auto" w:fill="E6EEFF"/>
          </w:tcPr>
          <w:p>
            <w:pPr>
              <w:ind w:left="20"/>
              <w:spacing w:after="0" w:line="178" w:lineRule="exact"/>
              <w:rPr>
                <w:sz w:val="20"/>
                <w:szCs w:val="20"/>
                <w:color w:val="auto"/>
              </w:rPr>
            </w:pPr>
            <w:r>
              <w:rPr>
                <w:rFonts w:ascii="Calibri" w:cs="Calibri" w:eastAsia="Calibri" w:hAnsi="Calibri"/>
                <w:sz w:val="17"/>
                <w:szCs w:val="17"/>
                <w:color w:val="auto"/>
              </w:rPr>
              <w:t>Net Interest Income/Net Interest Spread</w:t>
            </w:r>
          </w:p>
        </w:tc>
        <w:tc>
          <w:tcPr>
            <w:tcW w:w="20" w:type="dxa"/>
            <w:vAlign w:val="bottom"/>
            <w:tcBorders>
              <w:top w:val="single" w:sz="8" w:color="E6EEFF"/>
              <w:bottom w:val="single" w:sz="8" w:color="E6EEFF"/>
            </w:tcBorders>
            <w:shd w:val="clear" w:color="auto" w:fill="E6EEFF"/>
          </w:tcPr>
          <w:p>
            <w:pPr>
              <w:spacing w:after="0"/>
              <w:rPr>
                <w:sz w:val="17"/>
                <w:szCs w:val="17"/>
                <w:color w:val="auto"/>
              </w:rPr>
            </w:pPr>
          </w:p>
        </w:tc>
        <w:tc>
          <w:tcPr>
            <w:tcW w:w="140" w:type="dxa"/>
            <w:vAlign w:val="bottom"/>
            <w:tcBorders>
              <w:top w:val="single" w:sz="8" w:color="E6EEFF"/>
              <w:bottom w:val="single" w:sz="8" w:color="auto"/>
            </w:tcBorders>
            <w:shd w:val="clear" w:color="auto" w:fill="E6EEFF"/>
          </w:tcPr>
          <w:p>
            <w:pPr>
              <w:jc w:val="right"/>
              <w:spacing w:after="0" w:line="178" w:lineRule="exact"/>
              <w:rPr>
                <w:sz w:val="20"/>
                <w:szCs w:val="20"/>
                <w:color w:val="auto"/>
              </w:rPr>
            </w:pPr>
            <w:r>
              <w:rPr>
                <w:rFonts w:ascii="Calibri" w:cs="Calibri" w:eastAsia="Calibri" w:hAnsi="Calibri"/>
                <w:sz w:val="17"/>
                <w:szCs w:val="17"/>
                <w:color w:val="auto"/>
                <w:w w:val="92"/>
              </w:rPr>
              <w:t>$</w:t>
            </w:r>
          </w:p>
        </w:tc>
        <w:tc>
          <w:tcPr>
            <w:tcW w:w="1280" w:type="dxa"/>
            <w:vAlign w:val="bottom"/>
            <w:tcBorders>
              <w:top w:val="single" w:sz="8" w:color="E6EEFF"/>
              <w:bottom w:val="single" w:sz="8" w:color="auto"/>
            </w:tcBorders>
            <w:shd w:val="clear" w:color="auto" w:fill="E6EEFF"/>
          </w:tcPr>
          <w:p>
            <w:pPr>
              <w:jc w:val="right"/>
              <w:spacing w:after="0" w:line="178" w:lineRule="exact"/>
              <w:rPr>
                <w:sz w:val="20"/>
                <w:szCs w:val="20"/>
                <w:color w:val="auto"/>
              </w:rPr>
            </w:pPr>
            <w:r>
              <w:rPr>
                <w:rFonts w:ascii="Calibri" w:cs="Calibri" w:eastAsia="Calibri" w:hAnsi="Calibri"/>
                <w:sz w:val="17"/>
                <w:szCs w:val="17"/>
                <w:color w:val="auto"/>
              </w:rPr>
              <w:t>73,369</w:t>
            </w:r>
          </w:p>
        </w:tc>
        <w:tc>
          <w:tcPr>
            <w:tcW w:w="80" w:type="dxa"/>
            <w:vAlign w:val="bottom"/>
            <w:tcBorders>
              <w:top w:val="single" w:sz="8" w:color="E6EEFF"/>
              <w:bottom w:val="single" w:sz="8" w:color="E6EEFF"/>
            </w:tcBorders>
            <w:shd w:val="clear" w:color="auto" w:fill="E6EEFF"/>
          </w:tcPr>
          <w:p>
            <w:pPr>
              <w:spacing w:after="0"/>
              <w:rPr>
                <w:sz w:val="17"/>
                <w:szCs w:val="17"/>
                <w:color w:val="auto"/>
              </w:rPr>
            </w:pPr>
          </w:p>
        </w:tc>
        <w:tc>
          <w:tcPr>
            <w:tcW w:w="20" w:type="dxa"/>
            <w:vAlign w:val="bottom"/>
            <w:tcBorders>
              <w:top w:val="single" w:sz="8" w:color="E6EEFF"/>
              <w:bottom w:val="single" w:sz="8" w:color="E6EEFF"/>
            </w:tcBorders>
            <w:shd w:val="clear" w:color="auto" w:fill="E6EEFF"/>
          </w:tcPr>
          <w:p>
            <w:pPr>
              <w:spacing w:after="0"/>
              <w:rPr>
                <w:sz w:val="17"/>
                <w:szCs w:val="17"/>
                <w:color w:val="auto"/>
              </w:rPr>
            </w:pPr>
          </w:p>
        </w:tc>
        <w:tc>
          <w:tcPr>
            <w:tcW w:w="120" w:type="dxa"/>
            <w:vAlign w:val="bottom"/>
            <w:tcBorders>
              <w:top w:val="single" w:sz="8" w:color="auto"/>
              <w:bottom w:val="single" w:sz="8" w:color="E6EEFF"/>
            </w:tcBorders>
            <w:shd w:val="clear" w:color="auto" w:fill="E6EEFF"/>
          </w:tcPr>
          <w:p>
            <w:pPr>
              <w:spacing w:after="0"/>
              <w:rPr>
                <w:sz w:val="17"/>
                <w:szCs w:val="17"/>
                <w:color w:val="auto"/>
              </w:rPr>
            </w:pPr>
          </w:p>
        </w:tc>
        <w:tc>
          <w:tcPr>
            <w:tcW w:w="1300" w:type="dxa"/>
            <w:vAlign w:val="bottom"/>
            <w:tcBorders>
              <w:top w:val="single" w:sz="8" w:color="auto"/>
              <w:bottom w:val="single" w:sz="8" w:color="E6EEFF"/>
            </w:tcBorders>
            <w:shd w:val="clear" w:color="auto" w:fill="E6EEFF"/>
          </w:tcPr>
          <w:p>
            <w:pPr>
              <w:spacing w:after="0"/>
              <w:rPr>
                <w:sz w:val="17"/>
                <w:szCs w:val="17"/>
                <w:color w:val="auto"/>
              </w:rPr>
            </w:pPr>
          </w:p>
        </w:tc>
        <w:tc>
          <w:tcPr>
            <w:tcW w:w="80" w:type="dxa"/>
            <w:vAlign w:val="bottom"/>
            <w:tcBorders>
              <w:top w:val="single" w:sz="8" w:color="E6EEFF"/>
              <w:bottom w:val="single" w:sz="8" w:color="E6EEFF"/>
            </w:tcBorders>
            <w:shd w:val="clear" w:color="auto" w:fill="E6EEFF"/>
          </w:tcPr>
          <w:p>
            <w:pPr>
              <w:spacing w:after="0"/>
              <w:rPr>
                <w:sz w:val="17"/>
                <w:szCs w:val="17"/>
                <w:color w:val="auto"/>
              </w:rPr>
            </w:pPr>
          </w:p>
        </w:tc>
        <w:tc>
          <w:tcPr>
            <w:tcW w:w="20" w:type="dxa"/>
            <w:vAlign w:val="bottom"/>
            <w:tcBorders>
              <w:top w:val="single" w:sz="8" w:color="E6EEFF"/>
              <w:bottom w:val="single" w:sz="8" w:color="E6EEFF"/>
            </w:tcBorders>
            <w:shd w:val="clear" w:color="auto" w:fill="E6EEFF"/>
          </w:tcPr>
          <w:p>
            <w:pPr>
              <w:spacing w:after="0"/>
              <w:rPr>
                <w:sz w:val="17"/>
                <w:szCs w:val="17"/>
                <w:color w:val="auto"/>
              </w:rPr>
            </w:pPr>
          </w:p>
        </w:tc>
        <w:tc>
          <w:tcPr>
            <w:tcW w:w="1320" w:type="dxa"/>
            <w:vAlign w:val="bottom"/>
            <w:tcBorders>
              <w:top w:val="single" w:sz="8" w:color="E6EEFF"/>
              <w:bottom w:val="single" w:sz="8" w:color="auto"/>
            </w:tcBorders>
            <w:shd w:val="clear" w:color="auto" w:fill="E6EEFF"/>
          </w:tcPr>
          <w:p>
            <w:pPr>
              <w:jc w:val="right"/>
              <w:spacing w:after="0" w:line="178" w:lineRule="exact"/>
              <w:rPr>
                <w:sz w:val="20"/>
                <w:szCs w:val="20"/>
                <w:color w:val="auto"/>
              </w:rPr>
            </w:pPr>
            <w:r>
              <w:rPr>
                <w:rFonts w:ascii="Calibri" w:cs="Calibri" w:eastAsia="Calibri" w:hAnsi="Calibri"/>
                <w:sz w:val="17"/>
                <w:szCs w:val="17"/>
                <w:color w:val="auto"/>
              </w:rPr>
              <w:t>1.59 %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E6EEFF"/>
            </w:tcBorders>
            <w:vMerge w:val="restart"/>
          </w:tcPr>
          <w:p>
            <w:pPr>
              <w:ind w:left="20"/>
              <w:spacing w:after="0"/>
              <w:rPr>
                <w:sz w:val="20"/>
                <w:szCs w:val="20"/>
                <w:color w:val="auto"/>
              </w:rPr>
            </w:pPr>
            <w:r>
              <w:rPr>
                <w:rFonts w:ascii="Calibri" w:cs="Calibri" w:eastAsia="Calibri" w:hAnsi="Calibri"/>
                <w:sz w:val="17"/>
                <w:szCs w:val="17"/>
                <w:color w:val="auto"/>
              </w:rPr>
              <w:t>Net Yield on Interest Earning Assets</w:t>
            </w:r>
          </w:p>
        </w:tc>
        <w:tc>
          <w:tcPr>
            <w:tcW w:w="20" w:type="dxa"/>
            <w:vAlign w:val="bottom"/>
            <w:tcBorders>
              <w:top w:val="single" w:sz="8" w:color="E6EEFF"/>
            </w:tcBorders>
          </w:tcPr>
          <w:p>
            <w:pPr>
              <w:spacing w:after="0" w:line="20" w:lineRule="exact"/>
              <w:rPr>
                <w:sz w:val="1"/>
                <w:szCs w:val="1"/>
                <w:color w:val="auto"/>
              </w:rPr>
            </w:pPr>
          </w:p>
        </w:tc>
        <w:tc>
          <w:tcPr>
            <w:tcW w:w="140" w:type="dxa"/>
            <w:vAlign w:val="bottom"/>
            <w:tcBorders>
              <w:top w:val="single" w:sz="8" w:color="E6EEFF"/>
            </w:tcBorders>
          </w:tcPr>
          <w:p>
            <w:pPr>
              <w:spacing w:after="0" w:line="20" w:lineRule="exact"/>
              <w:rPr>
                <w:sz w:val="1"/>
                <w:szCs w:val="1"/>
                <w:color w:val="auto"/>
              </w:rPr>
            </w:pPr>
          </w:p>
        </w:tc>
        <w:tc>
          <w:tcPr>
            <w:tcW w:w="1280" w:type="dxa"/>
            <w:vAlign w:val="bottom"/>
            <w:tcBorders>
              <w:top w:val="single" w:sz="8" w:color="E6EEFF"/>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2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300" w:type="dxa"/>
            <w:vAlign w:val="bottom"/>
            <w:tcBorders>
              <w:top w:val="single" w:sz="8" w:color="E6EEFF"/>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1340" w:type="dxa"/>
            <w:vAlign w:val="bottom"/>
            <w:tcBorders>
              <w:top w:val="single" w:sz="8" w:color="E6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40" w:type="dxa"/>
            <w:vAlign w:val="bottom"/>
            <w:tcBorders>
              <w:top w:val="single" w:sz="8" w:color="E6EEFF"/>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7"/>
                <w:szCs w:val="17"/>
                <w:color w:val="auto"/>
              </w:rPr>
              <w:t>1.61 %</w:t>
            </w:r>
          </w:p>
        </w:tc>
        <w:tc>
          <w:tcPr>
            <w:tcW w:w="0" w:type="dxa"/>
            <w:vAlign w:val="bottom"/>
          </w:tcPr>
          <w:p>
            <w:pPr>
              <w:spacing w:after="0"/>
              <w:rPr>
                <w:sz w:val="1"/>
                <w:szCs w:val="1"/>
                <w:color w:val="auto"/>
              </w:rPr>
            </w:pPr>
          </w:p>
        </w:tc>
      </w:tr>
      <w:tr>
        <w:trPr>
          <w:trHeight w:val="1928"/>
        </w:trPr>
        <w:tc>
          <w:tcPr>
            <w:tcW w:w="2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-752475</wp:posOffset>
            </wp:positionV>
            <wp:extent cx="458470" cy="5073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52" w:name="page53"/>
    <w:bookmarkEnd w:id="52"/>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51</w:t>
      </w:r>
    </w:p>
    <w:p>
      <w:pPr>
        <w:spacing w:after="0" w:line="200" w:lineRule="exact"/>
        <w:rPr>
          <w:sz w:val="20"/>
          <w:szCs w:val="20"/>
          <w:color w:val="auto"/>
        </w:rPr>
      </w:pPr>
    </w:p>
    <w:p>
      <w:pPr>
        <w:spacing w:after="0" w:line="3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yield on our assets is most signifcantly afected by the rate of repayments on our Agency Securites. The following graph shows the annualized CPR on a monthly basis for the quarterly periods ended on the dates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129540</wp:posOffset>
            </wp:positionV>
            <wp:extent cx="5108575" cy="32746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08575"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Calibri" w:cs="Calibri" w:eastAsia="Calibri" w:hAnsi="Calibri"/>
                <w:sz w:val="17"/>
                <w:szCs w:val="17"/>
                <w:i w:val="1"/>
                <w:iCs w:val="1"/>
                <w:color w:val="1C4787"/>
              </w:rPr>
              <w:t>Other Income (Loss)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60"/>
        </w:trPr>
        <w:tc>
          <w:tcPr>
            <w:tcW w:w="620" w:type="dxa"/>
            <w:vAlign w:val="bottom"/>
          </w:tcPr>
          <w:p>
            <w:pPr>
              <w:spacing w:after="0"/>
              <w:rPr>
                <w:sz w:val="13"/>
                <w:szCs w:val="13"/>
                <w:color w:val="auto"/>
              </w:rPr>
            </w:pPr>
          </w:p>
        </w:tc>
        <w:tc>
          <w:tcPr>
            <w:tcW w:w="1360" w:type="dxa"/>
            <w:vAlign w:val="bottom"/>
            <w:tcBorders>
              <w:top w:val="single" w:sz="8" w:color="1C4787"/>
            </w:tcBorders>
          </w:tcPr>
          <w:p>
            <w:pPr>
              <w:spacing w:after="0"/>
              <w:rPr>
                <w:sz w:val="13"/>
                <w:szCs w:val="13"/>
                <w:color w:val="auto"/>
              </w:rPr>
            </w:pPr>
          </w:p>
        </w:tc>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2"/>
        </w:trPr>
        <w:tc>
          <w:tcPr>
            <w:tcW w:w="620" w:type="dxa"/>
            <w:vAlign w:val="bottom"/>
            <w:shd w:val="clear" w:color="auto" w:fill="E6EEFF"/>
          </w:tcPr>
          <w:p>
            <w:pPr>
              <w:spacing w:after="0"/>
              <w:rPr>
                <w:sz w:val="18"/>
                <w:szCs w:val="18"/>
                <w:color w:val="auto"/>
              </w:rPr>
            </w:pPr>
          </w:p>
        </w:tc>
        <w:tc>
          <w:tcPr>
            <w:tcW w:w="1360" w:type="dxa"/>
            <w:vAlign w:val="bottom"/>
            <w:shd w:val="clear" w:color="auto" w:fill="E6EEFF"/>
          </w:tcPr>
          <w:p>
            <w:pPr>
              <w:spacing w:after="0"/>
              <w:rPr>
                <w:sz w:val="18"/>
                <w:szCs w:val="18"/>
                <w:color w:val="auto"/>
              </w:rPr>
            </w:pPr>
          </w:p>
        </w:tc>
        <w:tc>
          <w:tcPr>
            <w:tcW w:w="5420" w:type="dxa"/>
            <w:vAlign w:val="bottom"/>
            <w:shd w:val="clear" w:color="auto" w:fill="E6EEFF"/>
          </w:tcPr>
          <w:p>
            <w:pPr>
              <w:spacing w:after="0"/>
              <w:rPr>
                <w:sz w:val="18"/>
                <w:szCs w:val="18"/>
                <w:color w:val="auto"/>
              </w:rPr>
            </w:pPr>
          </w:p>
        </w:tc>
        <w:tc>
          <w:tcPr>
            <w:tcW w:w="100" w:type="dxa"/>
            <w:vAlign w:val="bottom"/>
            <w:tcBorders>
              <w:bottom w:val="single" w:sz="8" w:color="auto"/>
            </w:tcBorders>
            <w:shd w:val="clear" w:color="auto" w:fill="E6EEFF"/>
          </w:tcPr>
          <w:p>
            <w:pPr>
              <w:spacing w:after="0"/>
              <w:rPr>
                <w:sz w:val="18"/>
                <w:szCs w:val="18"/>
                <w:color w:val="auto"/>
              </w:rPr>
            </w:pPr>
          </w:p>
        </w:tc>
        <w:tc>
          <w:tcPr>
            <w:tcW w:w="1120" w:type="dxa"/>
            <w:vAlign w:val="bottom"/>
            <w:tcBorders>
              <w:bottom w:val="single" w:sz="8" w:color="auto"/>
            </w:tcBorders>
            <w:shd w:val="clear" w:color="auto" w:fill="E6EEFF"/>
          </w:tcPr>
          <w:p>
            <w:pPr>
              <w:spacing w:after="0"/>
              <w:rPr>
                <w:sz w:val="18"/>
                <w:szCs w:val="18"/>
                <w:color w:val="auto"/>
              </w:rPr>
            </w:pPr>
          </w:p>
        </w:tc>
        <w:tc>
          <w:tcPr>
            <w:tcW w:w="1400" w:type="dxa"/>
            <w:vAlign w:val="bottom"/>
            <w:tcBorders>
              <w:bottom w:val="single" w:sz="8" w:color="auto"/>
            </w:tcBorders>
            <w:gridSpan w:val="4"/>
            <w:shd w:val="clear" w:color="auto" w:fill="E6EEFF"/>
          </w:tcPr>
          <w:p>
            <w:pPr>
              <w:jc w:val="center"/>
              <w:spacing w:after="0" w:line="205" w:lineRule="exact"/>
              <w:rPr>
                <w:sz w:val="20"/>
                <w:szCs w:val="20"/>
                <w:color w:val="auto"/>
              </w:rPr>
            </w:pPr>
            <w:r>
              <w:rPr>
                <w:rFonts w:ascii="Calibri" w:cs="Calibri" w:eastAsia="Calibri" w:hAnsi="Calibri"/>
                <w:sz w:val="17"/>
                <w:szCs w:val="17"/>
                <w:b w:val="1"/>
                <w:bCs w:val="1"/>
                <w:color w:val="1C4787"/>
                <w:w w:val="96"/>
              </w:rPr>
              <w:t>For the Years Ended</w:t>
            </w:r>
          </w:p>
        </w:tc>
        <w:tc>
          <w:tcPr>
            <w:tcW w:w="120" w:type="dxa"/>
            <w:vAlign w:val="bottom"/>
            <w:tcBorders>
              <w:bottom w:val="single" w:sz="8" w:color="auto"/>
            </w:tcBorders>
            <w:shd w:val="clear" w:color="auto" w:fill="E6EEFF"/>
          </w:tcPr>
          <w:p>
            <w:pPr>
              <w:spacing w:after="0"/>
              <w:rPr>
                <w:sz w:val="18"/>
                <w:szCs w:val="18"/>
                <w:color w:val="auto"/>
              </w:rPr>
            </w:pPr>
          </w:p>
        </w:tc>
        <w:tc>
          <w:tcPr>
            <w:tcW w:w="1100" w:type="dxa"/>
            <w:vAlign w:val="bottom"/>
            <w:tcBorders>
              <w:bottom w:val="single" w:sz="8" w:color="auto"/>
            </w:tcBorders>
            <w:shd w:val="clear" w:color="auto" w:fill="E6EEFF"/>
          </w:tcPr>
          <w:p>
            <w:pPr>
              <w:spacing w:after="0"/>
              <w:rPr>
                <w:sz w:val="18"/>
                <w:szCs w:val="18"/>
                <w:color w:val="auto"/>
              </w:rPr>
            </w:pPr>
          </w:p>
        </w:tc>
      </w:tr>
      <w:tr>
        <w:trPr>
          <w:trHeight w:val="159"/>
        </w:trPr>
        <w:tc>
          <w:tcPr>
            <w:tcW w:w="6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54"/>
              <w:spacing w:after="0" w:line="160" w:lineRule="exact"/>
              <w:rPr>
                <w:sz w:val="20"/>
                <w:szCs w:val="20"/>
                <w:color w:val="auto"/>
              </w:rPr>
            </w:pPr>
            <w:r>
              <w:rPr>
                <w:rFonts w:ascii="Calibri" w:cs="Calibri" w:eastAsia="Calibri" w:hAnsi="Calibri"/>
                <w:sz w:val="17"/>
                <w:szCs w:val="17"/>
                <w:b w:val="1"/>
                <w:bCs w:val="1"/>
                <w:color w:val="1C4787"/>
                <w:w w:val="97"/>
              </w:rPr>
              <w:t>December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60" w:lineRule="exact"/>
              <w:rPr>
                <w:sz w:val="20"/>
                <w:szCs w:val="20"/>
                <w:color w:val="auto"/>
              </w:rPr>
            </w:pPr>
            <w:r>
              <w:rPr>
                <w:rFonts w:ascii="Calibri" w:cs="Calibri" w:eastAsia="Calibri" w:hAnsi="Calibri"/>
                <w:sz w:val="17"/>
                <w:szCs w:val="17"/>
                <w:b w:val="1"/>
                <w:bCs w:val="1"/>
                <w:color w:val="1C4787"/>
                <w:w w:val="97"/>
              </w:rPr>
              <w:t>December 31,</w:t>
            </w:r>
          </w:p>
        </w:tc>
        <w:tc>
          <w:tcPr>
            <w:tcW w:w="120" w:type="dxa"/>
            <w:vAlign w:val="bottom"/>
          </w:tcPr>
          <w:p>
            <w:pPr>
              <w:spacing w:after="0"/>
              <w:rPr>
                <w:sz w:val="13"/>
                <w:szCs w:val="13"/>
                <w:color w:val="auto"/>
              </w:rPr>
            </w:pPr>
          </w:p>
        </w:tc>
        <w:tc>
          <w:tcPr>
            <w:tcW w:w="1100" w:type="dxa"/>
            <w:vAlign w:val="bottom"/>
          </w:tcPr>
          <w:p>
            <w:pPr>
              <w:jc w:val="right"/>
              <w:ind w:right="34"/>
              <w:spacing w:after="0" w:line="160" w:lineRule="exact"/>
              <w:rPr>
                <w:sz w:val="20"/>
                <w:szCs w:val="20"/>
                <w:color w:val="auto"/>
              </w:rPr>
            </w:pPr>
            <w:r>
              <w:rPr>
                <w:rFonts w:ascii="Calibri" w:cs="Calibri" w:eastAsia="Calibri" w:hAnsi="Calibri"/>
                <w:sz w:val="17"/>
                <w:szCs w:val="17"/>
                <w:b w:val="1"/>
                <w:bCs w:val="1"/>
                <w:color w:val="1C4787"/>
                <w:w w:val="97"/>
              </w:rPr>
              <w:t>December 31,</w:t>
            </w:r>
          </w:p>
        </w:tc>
      </w:tr>
      <w:tr>
        <w:trPr>
          <w:trHeight w:val="205"/>
        </w:trPr>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54"/>
              <w:spacing w:after="0" w:line="205" w:lineRule="exact"/>
              <w:rPr>
                <w:sz w:val="20"/>
                <w:szCs w:val="20"/>
                <w:color w:val="auto"/>
              </w:rPr>
            </w:pPr>
            <w:r>
              <w:rPr>
                <w:rFonts w:ascii="Calibri" w:cs="Calibri" w:eastAsia="Calibri" w:hAnsi="Calibri"/>
                <w:sz w:val="17"/>
                <w:szCs w:val="17"/>
                <w:b w:val="1"/>
                <w:bCs w:val="1"/>
                <w:color w:val="1C4787"/>
              </w:rPr>
              <w:t>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34"/>
              <w:spacing w:after="0" w:line="205" w:lineRule="exact"/>
              <w:rPr>
                <w:sz w:val="20"/>
                <w:szCs w:val="20"/>
                <w:color w:val="auto"/>
              </w:rPr>
            </w:pPr>
            <w:r>
              <w:rPr>
                <w:rFonts w:ascii="Calibri" w:cs="Calibri" w:eastAsia="Calibri" w:hAnsi="Calibri"/>
                <w:sz w:val="17"/>
                <w:szCs w:val="17"/>
                <w:b w:val="1"/>
                <w:bCs w:val="1"/>
                <w:color w:val="1C4787"/>
                <w:w w:val="98"/>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54"/>
              <w:spacing w:after="0" w:line="205" w:lineRule="exact"/>
              <w:rPr>
                <w:sz w:val="20"/>
                <w:szCs w:val="20"/>
                <w:color w:val="auto"/>
              </w:rPr>
            </w:pPr>
            <w:r>
              <w:rPr>
                <w:rFonts w:ascii="Calibri" w:cs="Calibri" w:eastAsia="Calibri" w:hAnsi="Calibri"/>
                <w:sz w:val="17"/>
                <w:szCs w:val="17"/>
                <w:b w:val="1"/>
                <w:bCs w:val="1"/>
                <w:color w:val="1C4787"/>
              </w:rPr>
              <w:t>2021</w:t>
            </w:r>
          </w:p>
        </w:tc>
      </w:tr>
      <w:tr>
        <w:trPr>
          <w:trHeight w:val="35"/>
        </w:trPr>
        <w:tc>
          <w:tcPr>
            <w:tcW w:w="7400" w:type="dxa"/>
            <w:vAlign w:val="bottom"/>
            <w:tcBorders>
              <w:bottom w:val="single" w:sz="8" w:color="E6EEFF"/>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E6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E6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9"/>
        </w:trPr>
        <w:tc>
          <w:tcPr>
            <w:tcW w:w="7400" w:type="dxa"/>
            <w:vAlign w:val="bottom"/>
            <w:gridSpan w:val="3"/>
            <w:shd w:val="clear" w:color="auto" w:fill="E6EEFF"/>
          </w:tcPr>
          <w:p>
            <w:pPr>
              <w:ind w:left="20"/>
              <w:spacing w:after="0" w:line="185" w:lineRule="exact"/>
              <w:rPr>
                <w:sz w:val="20"/>
                <w:szCs w:val="20"/>
                <w:color w:val="auto"/>
              </w:rPr>
            </w:pPr>
            <w:r>
              <w:rPr>
                <w:rFonts w:ascii="Calibri" w:cs="Calibri" w:eastAsia="Calibri" w:hAnsi="Calibri"/>
                <w:sz w:val="17"/>
                <w:szCs w:val="17"/>
                <w:b w:val="1"/>
                <w:bCs w:val="1"/>
                <w:color w:val="1C4787"/>
              </w:rPr>
              <w:t>Other Income (Loss):</w:t>
            </w:r>
          </w:p>
        </w:tc>
        <w:tc>
          <w:tcPr>
            <w:tcW w:w="100" w:type="dxa"/>
            <w:vAlign w:val="bottom"/>
            <w:shd w:val="clear" w:color="auto" w:fill="E6EEFF"/>
          </w:tcPr>
          <w:p>
            <w:pPr>
              <w:spacing w:after="0"/>
              <w:rPr>
                <w:sz w:val="17"/>
                <w:szCs w:val="17"/>
                <w:color w:val="auto"/>
              </w:rPr>
            </w:pPr>
          </w:p>
        </w:tc>
        <w:tc>
          <w:tcPr>
            <w:tcW w:w="1120" w:type="dxa"/>
            <w:vAlign w:val="bottom"/>
            <w:shd w:val="clear" w:color="auto" w:fill="E6EEFF"/>
          </w:tcPr>
          <w:p>
            <w:pPr>
              <w:spacing w:after="0"/>
              <w:rPr>
                <w:sz w:val="17"/>
                <w:szCs w:val="17"/>
                <w:color w:val="auto"/>
              </w:rPr>
            </w:pPr>
          </w:p>
        </w:tc>
        <w:tc>
          <w:tcPr>
            <w:tcW w:w="80" w:type="dxa"/>
            <w:vAlign w:val="bottom"/>
            <w:shd w:val="clear" w:color="auto" w:fill="E6EEFF"/>
          </w:tcPr>
          <w:p>
            <w:pPr>
              <w:spacing w:after="0"/>
              <w:rPr>
                <w:sz w:val="17"/>
                <w:szCs w:val="17"/>
                <w:color w:val="auto"/>
              </w:rPr>
            </w:pPr>
          </w:p>
        </w:tc>
        <w:tc>
          <w:tcPr>
            <w:tcW w:w="120" w:type="dxa"/>
            <w:vAlign w:val="bottom"/>
            <w:shd w:val="clear" w:color="auto" w:fill="E6EEFF"/>
          </w:tcPr>
          <w:p>
            <w:pPr>
              <w:spacing w:after="0"/>
              <w:rPr>
                <w:sz w:val="17"/>
                <w:szCs w:val="17"/>
                <w:color w:val="auto"/>
              </w:rPr>
            </w:pPr>
          </w:p>
        </w:tc>
        <w:tc>
          <w:tcPr>
            <w:tcW w:w="1100" w:type="dxa"/>
            <w:vAlign w:val="bottom"/>
            <w:shd w:val="clear" w:color="auto" w:fill="E6EEFF"/>
          </w:tcPr>
          <w:p>
            <w:pPr>
              <w:spacing w:after="0"/>
              <w:rPr>
                <w:sz w:val="17"/>
                <w:szCs w:val="17"/>
                <w:color w:val="auto"/>
              </w:rPr>
            </w:pPr>
          </w:p>
        </w:tc>
        <w:tc>
          <w:tcPr>
            <w:tcW w:w="100" w:type="dxa"/>
            <w:vAlign w:val="bottom"/>
            <w:shd w:val="clear" w:color="auto" w:fill="E6EEFF"/>
          </w:tcPr>
          <w:p>
            <w:pPr>
              <w:spacing w:after="0"/>
              <w:rPr>
                <w:sz w:val="17"/>
                <w:szCs w:val="17"/>
                <w:color w:val="auto"/>
              </w:rPr>
            </w:pPr>
          </w:p>
        </w:tc>
        <w:tc>
          <w:tcPr>
            <w:tcW w:w="120" w:type="dxa"/>
            <w:vAlign w:val="bottom"/>
            <w:shd w:val="clear" w:color="auto" w:fill="E6EEFF"/>
          </w:tcPr>
          <w:p>
            <w:pPr>
              <w:spacing w:after="0"/>
              <w:rPr>
                <w:sz w:val="17"/>
                <w:szCs w:val="17"/>
                <w:color w:val="auto"/>
              </w:rPr>
            </w:pPr>
          </w:p>
        </w:tc>
        <w:tc>
          <w:tcPr>
            <w:tcW w:w="1100" w:type="dxa"/>
            <w:vAlign w:val="bottom"/>
            <w:shd w:val="clear" w:color="auto" w:fill="E6EEFF"/>
          </w:tcPr>
          <w:p>
            <w:pPr>
              <w:spacing w:after="0"/>
              <w:rPr>
                <w:sz w:val="17"/>
                <w:szCs w:val="17"/>
                <w:color w:val="auto"/>
              </w:rPr>
            </w:pPr>
          </w:p>
        </w:tc>
      </w:tr>
      <w:tr>
        <w:trPr>
          <w:trHeight w:val="159"/>
        </w:trPr>
        <w:tc>
          <w:tcPr>
            <w:tcW w:w="7400" w:type="dxa"/>
            <w:vAlign w:val="bottom"/>
            <w:gridSpan w:val="3"/>
          </w:tcPr>
          <w:p>
            <w:pPr>
              <w:ind w:left="140"/>
              <w:spacing w:after="0" w:line="160" w:lineRule="exact"/>
              <w:rPr>
                <w:sz w:val="20"/>
                <w:szCs w:val="20"/>
                <w:color w:val="auto"/>
              </w:rPr>
            </w:pPr>
            <w:r>
              <w:rPr>
                <w:rFonts w:ascii="Calibri" w:cs="Calibri" w:eastAsia="Calibri" w:hAnsi="Calibri"/>
                <w:sz w:val="17"/>
                <w:szCs w:val="17"/>
                <w:color w:val="auto"/>
              </w:rPr>
              <w:t>Realized gain (loss) on sale of available for sale Agency Securites (reclassifed from Other comprehensive</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8"/>
        </w:trPr>
        <w:tc>
          <w:tcPr>
            <w:tcW w:w="7400" w:type="dxa"/>
            <w:vAlign w:val="bottom"/>
            <w:gridSpan w:val="3"/>
          </w:tcPr>
          <w:p>
            <w:pPr>
              <w:ind w:left="140"/>
              <w:spacing w:after="0" w:line="205" w:lineRule="exact"/>
              <w:rPr>
                <w:sz w:val="20"/>
                <w:szCs w:val="20"/>
                <w:color w:val="auto"/>
              </w:rPr>
            </w:pPr>
            <w:r>
              <w:rPr>
                <w:rFonts w:ascii="Calibri" w:cs="Calibri" w:eastAsia="Calibri" w:hAnsi="Calibri"/>
                <w:sz w:val="17"/>
                <w:szCs w:val="17"/>
                <w:color w:val="auto"/>
              </w:rPr>
              <w:t>loss)</w:t>
            </w:r>
          </w:p>
        </w:tc>
        <w:tc>
          <w:tcPr>
            <w:tcW w:w="100" w:type="dxa"/>
            <w:vAlign w:val="bottom"/>
          </w:tcPr>
          <w:p>
            <w:pPr>
              <w:jc w:val="right"/>
              <w:spacing w:after="0"/>
              <w:rPr>
                <w:sz w:val="20"/>
                <w:szCs w:val="20"/>
                <w:color w:val="auto"/>
              </w:rPr>
            </w:pPr>
            <w:r>
              <w:rPr>
                <w:rFonts w:ascii="Calibri" w:cs="Calibri" w:eastAsia="Calibri" w:hAnsi="Calibri"/>
                <w:sz w:val="17"/>
                <w:szCs w:val="17"/>
                <w:color w:val="auto"/>
                <w:w w:val="92"/>
              </w:rPr>
              <w:t>$</w:t>
            </w:r>
          </w:p>
        </w:tc>
        <w:tc>
          <w:tcPr>
            <w:tcW w:w="1120" w:type="dxa"/>
            <w:vAlign w:val="bottom"/>
          </w:tcPr>
          <w:p>
            <w:pPr>
              <w:jc w:val="right"/>
              <w:spacing w:after="0"/>
              <w:rPr>
                <w:sz w:val="20"/>
                <w:szCs w:val="20"/>
                <w:color w:val="auto"/>
              </w:rPr>
            </w:pPr>
            <w:r>
              <w:rPr>
                <w:rFonts w:ascii="Calibri" w:cs="Calibri" w:eastAsia="Calibri" w:hAnsi="Calibri"/>
                <w:sz w:val="17"/>
                <w:szCs w:val="17"/>
                <w:color w:val="auto"/>
              </w:rPr>
              <w:t>(7,471)</w:t>
            </w:r>
          </w:p>
        </w:tc>
        <w:tc>
          <w:tcPr>
            <w:tcW w:w="200" w:type="dxa"/>
            <w:vAlign w:val="bottom"/>
            <w:gridSpan w:val="2"/>
          </w:tcPr>
          <w:p>
            <w:pPr>
              <w:jc w:val="right"/>
              <w:spacing w:after="0"/>
              <w:rPr>
                <w:sz w:val="20"/>
                <w:szCs w:val="20"/>
                <w:color w:val="auto"/>
              </w:rPr>
            </w:pPr>
            <w:r>
              <w:rPr>
                <w:rFonts w:ascii="Calibri" w:cs="Calibri" w:eastAsia="Calibri" w:hAnsi="Calibri"/>
                <w:sz w:val="17"/>
                <w:szCs w:val="17"/>
                <w:color w:val="auto"/>
              </w:rPr>
              <w:t>$</w:t>
            </w:r>
          </w:p>
        </w:tc>
        <w:tc>
          <w:tcPr>
            <w:tcW w:w="1100" w:type="dxa"/>
            <w:vAlign w:val="bottom"/>
          </w:tcPr>
          <w:p>
            <w:pPr>
              <w:jc w:val="right"/>
              <w:spacing w:after="0"/>
              <w:rPr>
                <w:sz w:val="20"/>
                <w:szCs w:val="20"/>
                <w:color w:val="auto"/>
              </w:rPr>
            </w:pPr>
            <w:r>
              <w:rPr>
                <w:rFonts w:ascii="Calibri" w:cs="Calibri" w:eastAsia="Calibri" w:hAnsi="Calibri"/>
                <w:sz w:val="17"/>
                <w:szCs w:val="17"/>
                <w:color w:val="auto"/>
              </w:rPr>
              <w:t>(7,452)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Calibri" w:cs="Calibri" w:eastAsia="Calibri" w:hAnsi="Calibri"/>
                <w:sz w:val="17"/>
                <w:szCs w:val="17"/>
                <w:color w:val="auto"/>
                <w:w w:val="92"/>
              </w:rPr>
              <w:t>$</w:t>
            </w:r>
          </w:p>
        </w:tc>
        <w:tc>
          <w:tcPr>
            <w:tcW w:w="1100" w:type="dxa"/>
            <w:vAlign w:val="bottom"/>
          </w:tcPr>
          <w:p>
            <w:pPr>
              <w:jc w:val="right"/>
              <w:spacing w:after="0"/>
              <w:rPr>
                <w:sz w:val="20"/>
                <w:szCs w:val="20"/>
                <w:color w:val="auto"/>
              </w:rPr>
            </w:pPr>
            <w:r>
              <w:rPr>
                <w:rFonts w:ascii="Calibri" w:cs="Calibri" w:eastAsia="Calibri" w:hAnsi="Calibri"/>
                <w:sz w:val="17"/>
                <w:szCs w:val="17"/>
                <w:color w:val="auto"/>
              </w:rPr>
              <w:t>10,952</w:t>
            </w:r>
          </w:p>
        </w:tc>
      </w:tr>
      <w:tr>
        <w:trPr>
          <w:trHeight w:val="22"/>
        </w:trPr>
        <w:tc>
          <w:tcPr>
            <w:tcW w:w="7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9"/>
        </w:trPr>
        <w:tc>
          <w:tcPr>
            <w:tcW w:w="7400" w:type="dxa"/>
            <w:vAlign w:val="bottom"/>
            <w:gridSpan w:val="3"/>
            <w:shd w:val="clear" w:color="auto" w:fill="E6EEFF"/>
          </w:tcPr>
          <w:p>
            <w:pPr>
              <w:ind w:left="140"/>
              <w:spacing w:after="0" w:line="205" w:lineRule="exact"/>
              <w:rPr>
                <w:sz w:val="20"/>
                <w:szCs w:val="20"/>
                <w:color w:val="auto"/>
              </w:rPr>
            </w:pPr>
            <w:r>
              <w:rPr>
                <w:rFonts w:ascii="Calibri" w:cs="Calibri" w:eastAsia="Calibri" w:hAnsi="Calibri"/>
                <w:sz w:val="17"/>
                <w:szCs w:val="17"/>
                <w:color w:val="auto"/>
              </w:rPr>
              <w:t>Impairment losses on available for sale Agency Securites</w:t>
            </w:r>
          </w:p>
        </w:tc>
        <w:tc>
          <w:tcPr>
            <w:tcW w:w="100" w:type="dxa"/>
            <w:vAlign w:val="bottom"/>
            <w:shd w:val="clear" w:color="auto" w:fill="E6EEFF"/>
          </w:tcPr>
          <w:p>
            <w:pPr>
              <w:spacing w:after="0"/>
              <w:rPr>
                <w:sz w:val="19"/>
                <w:szCs w:val="19"/>
                <w:color w:val="auto"/>
              </w:rPr>
            </w:pPr>
          </w:p>
        </w:tc>
        <w:tc>
          <w:tcPr>
            <w:tcW w:w="112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8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10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(4,183)</w:t>
            </w:r>
          </w:p>
        </w:tc>
        <w:tc>
          <w:tcPr>
            <w:tcW w:w="10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10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r>
      <w:tr>
        <w:trPr>
          <w:trHeight w:val="212"/>
        </w:trPr>
        <w:tc>
          <w:tcPr>
            <w:tcW w:w="7400" w:type="dxa"/>
            <w:vAlign w:val="bottom"/>
            <w:gridSpan w:val="3"/>
          </w:tcPr>
          <w:p>
            <w:pPr>
              <w:ind w:left="140"/>
              <w:spacing w:after="0" w:line="205" w:lineRule="exact"/>
              <w:rPr>
                <w:sz w:val="20"/>
                <w:szCs w:val="20"/>
                <w:color w:val="auto"/>
              </w:rPr>
            </w:pPr>
            <w:r>
              <w:rPr>
                <w:rFonts w:ascii="Calibri" w:cs="Calibri" w:eastAsia="Calibri" w:hAnsi="Calibri"/>
                <w:sz w:val="17"/>
                <w:szCs w:val="17"/>
                <w:color w:val="auto"/>
              </w:rPr>
              <w:t>Loss on Agency Securites, trading</w:t>
            </w:r>
          </w:p>
        </w:tc>
        <w:tc>
          <w:tcPr>
            <w:tcW w:w="100" w:type="dxa"/>
            <w:vAlign w:val="bottom"/>
          </w:tcPr>
          <w:p>
            <w:pPr>
              <w:spacing w:after="0"/>
              <w:rPr>
                <w:sz w:val="18"/>
                <w:szCs w:val="18"/>
                <w:color w:val="auto"/>
              </w:rPr>
            </w:pP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(52,665)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(946,666)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(77,145)</w:t>
            </w:r>
          </w:p>
        </w:tc>
      </w:tr>
      <w:tr>
        <w:trPr>
          <w:trHeight w:val="226"/>
        </w:trPr>
        <w:tc>
          <w:tcPr>
            <w:tcW w:w="7400" w:type="dxa"/>
            <w:vAlign w:val="bottom"/>
            <w:gridSpan w:val="3"/>
            <w:shd w:val="clear" w:color="auto" w:fill="E6EEFF"/>
          </w:tcPr>
          <w:p>
            <w:pPr>
              <w:ind w:left="140"/>
              <w:spacing w:after="0"/>
              <w:rPr>
                <w:sz w:val="20"/>
                <w:szCs w:val="20"/>
                <w:color w:val="auto"/>
              </w:rPr>
            </w:pPr>
            <w:r>
              <w:rPr>
                <w:rFonts w:ascii="Calibri" w:cs="Calibri" w:eastAsia="Calibri" w:hAnsi="Calibri"/>
                <w:sz w:val="17"/>
                <w:szCs w:val="17"/>
                <w:color w:val="auto"/>
              </w:rPr>
              <w:t>Loss on U.S. Treasury Securites</w:t>
            </w:r>
          </w:p>
        </w:tc>
        <w:tc>
          <w:tcPr>
            <w:tcW w:w="100" w:type="dxa"/>
            <w:vAlign w:val="bottom"/>
            <w:shd w:val="clear" w:color="auto" w:fill="E6EEFF"/>
          </w:tcPr>
          <w:p>
            <w:pPr>
              <w:spacing w:after="0"/>
              <w:rPr>
                <w:sz w:val="19"/>
                <w:szCs w:val="19"/>
                <w:color w:val="auto"/>
              </w:rPr>
            </w:pPr>
          </w:p>
        </w:tc>
        <w:tc>
          <w:tcPr>
            <w:tcW w:w="1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(43,093)</w:t>
            </w:r>
          </w:p>
        </w:tc>
        <w:tc>
          <w:tcPr>
            <w:tcW w:w="8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1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(152,268)</w:t>
            </w:r>
          </w:p>
        </w:tc>
        <w:tc>
          <w:tcPr>
            <w:tcW w:w="10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1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(9,391)</w:t>
            </w:r>
          </w:p>
        </w:tc>
      </w:tr>
      <w:tr>
        <w:trPr>
          <w:trHeight w:val="212"/>
        </w:trPr>
        <w:tc>
          <w:tcPr>
            <w:tcW w:w="7400" w:type="dxa"/>
            <w:vAlign w:val="bottom"/>
            <w:tcBorders>
              <w:bottom w:val="single" w:sz="8" w:color="E6EEFF"/>
            </w:tcBorders>
            <w:gridSpan w:val="3"/>
          </w:tcPr>
          <w:p>
            <w:pPr>
              <w:ind w:left="140"/>
              <w:spacing w:after="0" w:line="205" w:lineRule="exact"/>
              <w:rPr>
                <w:sz w:val="20"/>
                <w:szCs w:val="20"/>
                <w:color w:val="auto"/>
              </w:rPr>
            </w:pPr>
            <w:r>
              <w:rPr>
                <w:rFonts w:ascii="Calibri" w:cs="Calibri" w:eastAsia="Calibri" w:hAnsi="Calibri"/>
                <w:sz w:val="17"/>
                <w:szCs w:val="17"/>
                <w:color w:val="auto"/>
              </w:rPr>
              <w:t>Gain on derivatves, net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51,748</w:t>
            </w:r>
          </w:p>
        </w:tc>
        <w:tc>
          <w:tcPr>
            <w:tcW w:w="80" w:type="dxa"/>
            <w:vAlign w:val="bottom"/>
            <w:tcBorders>
              <w:bottom w:val="single" w:sz="8" w:color="E6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810,808</w:t>
            </w:r>
          </w:p>
        </w:tc>
        <w:tc>
          <w:tcPr>
            <w:tcW w:w="100" w:type="dxa"/>
            <w:vAlign w:val="bottom"/>
            <w:tcBorders>
              <w:bottom w:val="single" w:sz="8" w:color="E6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52,493</w:t>
            </w:r>
          </w:p>
        </w:tc>
      </w:tr>
      <w:tr>
        <w:trPr>
          <w:trHeight w:val="244"/>
        </w:trPr>
        <w:tc>
          <w:tcPr>
            <w:tcW w:w="7400" w:type="dxa"/>
            <w:vAlign w:val="bottom"/>
            <w:tcBorders>
              <w:bottom w:val="single" w:sz="8" w:color="E6EEFF"/>
            </w:tcBorders>
            <w:gridSpan w:val="3"/>
            <w:shd w:val="clear" w:color="auto" w:fill="E6EEFF"/>
          </w:tcPr>
          <w:p>
            <w:pPr>
              <w:ind w:left="20"/>
              <w:spacing w:after="0"/>
              <w:rPr>
                <w:sz w:val="20"/>
                <w:szCs w:val="20"/>
                <w:color w:val="auto"/>
              </w:rPr>
            </w:pPr>
            <w:r>
              <w:rPr>
                <w:rFonts w:ascii="Calibri" w:cs="Calibri" w:eastAsia="Calibri" w:hAnsi="Calibri"/>
                <w:sz w:val="17"/>
                <w:szCs w:val="17"/>
                <w:b w:val="1"/>
                <w:bCs w:val="1"/>
                <w:color w:val="1C4787"/>
              </w:rPr>
              <w:t>Total Other Loss</w:t>
            </w:r>
          </w:p>
        </w:tc>
        <w:tc>
          <w:tcPr>
            <w:tcW w:w="10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(51,481)</w:t>
            </w:r>
          </w:p>
        </w:tc>
        <w:tc>
          <w:tcPr>
            <w:tcW w:w="80" w:type="dxa"/>
            <w:vAlign w:val="bottom"/>
            <w:tcBorders>
              <w:bottom w:val="single" w:sz="8" w:color="E6EEFF"/>
            </w:tcBorders>
            <w:shd w:val="clear" w:color="auto" w:fill="E6EEFF"/>
          </w:tcPr>
          <w:p>
            <w:pPr>
              <w:spacing w:after="0"/>
              <w:rPr>
                <w:sz w:val="20"/>
                <w:szCs w:val="20"/>
                <w:color w:val="auto"/>
              </w:rPr>
            </w:pPr>
          </w:p>
        </w:tc>
        <w:tc>
          <w:tcPr>
            <w:tcW w:w="1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(299,761)</w:t>
            </w:r>
          </w:p>
        </w:tc>
        <w:tc>
          <w:tcPr>
            <w:tcW w:w="100" w:type="dxa"/>
            <w:vAlign w:val="bottom"/>
            <w:tcBorders>
              <w:bottom w:val="single" w:sz="8" w:color="E6EEFF"/>
            </w:tcBorders>
            <w:shd w:val="clear" w:color="auto" w:fill="E6EEFF"/>
          </w:tcPr>
          <w:p>
            <w:pPr>
              <w:spacing w:after="0"/>
              <w:rPr>
                <w:sz w:val="20"/>
                <w:szCs w:val="20"/>
                <w:color w:val="auto"/>
              </w:rPr>
            </w:pPr>
          </w:p>
        </w:tc>
        <w:tc>
          <w:tcPr>
            <w:tcW w:w="1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(23,091)</w:t>
            </w:r>
          </w:p>
        </w:tc>
      </w:tr>
      <w:tr>
        <w:trPr>
          <w:trHeight w:val="20"/>
        </w:trPr>
        <w:tc>
          <w:tcPr>
            <w:tcW w:w="620" w:type="dxa"/>
            <w:vAlign w:val="bottom"/>
            <w:tcBorders>
              <w:top w:val="single" w:sz="8" w:color="E6EEFF"/>
            </w:tcBorders>
          </w:tcPr>
          <w:p>
            <w:pPr>
              <w:spacing w:after="0" w:line="20" w:lineRule="exact"/>
              <w:rPr>
                <w:sz w:val="1"/>
                <w:szCs w:val="1"/>
                <w:color w:val="auto"/>
              </w:rPr>
            </w:pPr>
          </w:p>
        </w:tc>
        <w:tc>
          <w:tcPr>
            <w:tcW w:w="1360" w:type="dxa"/>
            <w:vAlign w:val="bottom"/>
            <w:tcBorders>
              <w:top w:val="single" w:sz="8" w:color="E6EEFF"/>
            </w:tcBorders>
          </w:tcPr>
          <w:p>
            <w:pPr>
              <w:spacing w:after="0" w:line="20" w:lineRule="exact"/>
              <w:rPr>
                <w:sz w:val="1"/>
                <w:szCs w:val="1"/>
                <w:color w:val="auto"/>
              </w:rPr>
            </w:pPr>
          </w:p>
        </w:tc>
        <w:tc>
          <w:tcPr>
            <w:tcW w:w="5420" w:type="dxa"/>
            <w:vAlign w:val="bottom"/>
            <w:tcBorders>
              <w:top w:val="single" w:sz="8" w:color="E6EEFF"/>
            </w:tcBorders>
          </w:tcPr>
          <w:p>
            <w:pPr>
              <w:spacing w:after="0" w:line="20" w:lineRule="exact"/>
              <w:rPr>
                <w:sz w:val="1"/>
                <w:szCs w:val="1"/>
                <w:color w:val="auto"/>
              </w:rPr>
            </w:pPr>
          </w:p>
        </w:tc>
        <w:tc>
          <w:tcPr>
            <w:tcW w:w="100" w:type="dxa"/>
            <w:vAlign w:val="bottom"/>
            <w:tcBorders>
              <w:top w:val="single" w:sz="8" w:color="E6EEFF"/>
              <w:bottom w:val="single" w:sz="8" w:color="auto"/>
            </w:tcBorders>
          </w:tcPr>
          <w:p>
            <w:pPr>
              <w:spacing w:after="0" w:line="20" w:lineRule="exact"/>
              <w:rPr>
                <w:sz w:val="1"/>
                <w:szCs w:val="1"/>
                <w:color w:val="auto"/>
              </w:rPr>
            </w:pPr>
          </w:p>
        </w:tc>
        <w:tc>
          <w:tcPr>
            <w:tcW w:w="1120" w:type="dxa"/>
            <w:vAlign w:val="bottom"/>
            <w:tcBorders>
              <w:top w:val="single" w:sz="8" w:color="E6EEFF"/>
              <w:bottom w:val="single" w:sz="8" w:color="auto"/>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bottom w:val="single" w:sz="8" w:color="auto"/>
            </w:tcBorders>
          </w:tcPr>
          <w:p>
            <w:pPr>
              <w:spacing w:after="0" w:line="20" w:lineRule="exact"/>
              <w:rPr>
                <w:sz w:val="1"/>
                <w:szCs w:val="1"/>
                <w:color w:val="auto"/>
              </w:rPr>
            </w:pPr>
          </w:p>
        </w:tc>
        <w:tc>
          <w:tcPr>
            <w:tcW w:w="110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bottom w:val="single" w:sz="8" w:color="auto"/>
            </w:tcBorders>
          </w:tcPr>
          <w:p>
            <w:pPr>
              <w:spacing w:after="0" w:line="20" w:lineRule="exact"/>
              <w:rPr>
                <w:sz w:val="1"/>
                <w:szCs w:val="1"/>
                <w:color w:val="auto"/>
              </w:rPr>
            </w:pPr>
          </w:p>
        </w:tc>
        <w:tc>
          <w:tcPr>
            <w:tcW w:w="1100" w:type="dxa"/>
            <w:vAlign w:val="bottom"/>
            <w:tcBorders>
              <w:top w:val="single" w:sz="8" w:color="E6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Year Ended December 31, 2023 vs. Year Ended December 31, 2022:</w:t>
      </w:r>
    </w:p>
    <w:p>
      <w:pPr>
        <w:spacing w:after="0" w:line="90" w:lineRule="exact"/>
        <w:rPr>
          <w:sz w:val="20"/>
          <w:szCs w:val="20"/>
          <w:color w:val="auto"/>
        </w:rPr>
      </w:pPr>
    </w:p>
    <w:p>
      <w:pPr>
        <w:ind w:left="920" w:hanging="298"/>
        <w:spacing w:after="0"/>
        <w:tabs>
          <w:tab w:leader="none" w:pos="920" w:val="left"/>
        </w:tabs>
        <w:numPr>
          <w:ilvl w:val="0"/>
          <w:numId w:val="17"/>
        </w:numPr>
        <w:rPr>
          <w:rFonts w:ascii="Calibri" w:cs="Calibri" w:eastAsia="Calibri" w:hAnsi="Calibri"/>
          <w:sz w:val="19"/>
          <w:szCs w:val="19"/>
          <w:color w:val="auto"/>
        </w:rPr>
      </w:pPr>
      <w:r>
        <w:rPr>
          <w:rFonts w:ascii="Calibri" w:cs="Calibri" w:eastAsia="Calibri" w:hAnsi="Calibri"/>
          <w:sz w:val="17"/>
          <w:szCs w:val="17"/>
          <w:color w:val="auto"/>
        </w:rPr>
        <w:t>During the frst quarter of 2023, we sold the remaining balance of our Available for Sale Securites which resulted in a realized loss of $(7,471).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1082040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358140</wp:posOffset>
            </wp:positionV>
            <wp:extent cx="458470" cy="5073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3" w:name="page54"/>
    <w:bookmarkEnd w:id="53"/>
    <w:p>
      <w:pPr>
        <w:jc w:val="center"/>
        <w:ind w:right="620"/>
        <w:spacing w:after="0"/>
        <w:rPr>
          <w:sz w:val="20"/>
          <w:szCs w:val="20"/>
          <w:color w:val="auto"/>
        </w:rPr>
      </w:pPr>
      <w:r>
        <w:rPr>
          <w:rFonts w:ascii="Calibri" w:cs="Calibri" w:eastAsia="Calibri" w:hAnsi="Calibri"/>
          <w:sz w:val="19"/>
          <w:szCs w:val="19"/>
          <w:b w:val="1"/>
          <w:bCs w:val="1"/>
          <w:color w:val="1C4787"/>
        </w:rPr>
        <w:t>ARMOUR Residental REIT, Inc.</w:t>
      </w:r>
    </w:p>
    <w:p>
      <w:pPr>
        <w:jc w:val="center"/>
        <w:ind w:right="620"/>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ind w:right="620"/>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52</w:t>
      </w:r>
    </w:p>
    <w:p>
      <w:pPr>
        <w:spacing w:after="0" w:line="200" w:lineRule="exact"/>
        <w:rPr>
          <w:sz w:val="20"/>
          <w:szCs w:val="20"/>
          <w:color w:val="auto"/>
        </w:rPr>
      </w:pPr>
    </w:p>
    <w:p>
      <w:pPr>
        <w:spacing w:after="0" w:line="305" w:lineRule="exact"/>
        <w:rPr>
          <w:sz w:val="20"/>
          <w:szCs w:val="20"/>
          <w:color w:val="auto"/>
        </w:rPr>
      </w:pPr>
    </w:p>
    <w:p>
      <w:pPr>
        <w:jc w:val="both"/>
        <w:ind w:left="320" w:hanging="318"/>
        <w:spacing w:after="0" w:line="238" w:lineRule="auto"/>
        <w:tabs>
          <w:tab w:leader="none" w:pos="313" w:val="left"/>
        </w:tabs>
        <w:numPr>
          <w:ilvl w:val="0"/>
          <w:numId w:val="18"/>
        </w:numPr>
        <w:rPr>
          <w:rFonts w:ascii="Calibri" w:cs="Calibri" w:eastAsia="Calibri" w:hAnsi="Calibri"/>
          <w:sz w:val="17"/>
          <w:szCs w:val="17"/>
          <w:color w:val="auto"/>
        </w:rPr>
      </w:pPr>
      <w:r>
        <w:rPr>
          <w:rFonts w:ascii="Calibri" w:cs="Calibri" w:eastAsia="Calibri" w:hAnsi="Calibri"/>
          <w:sz w:val="17"/>
          <w:szCs w:val="17"/>
          <w:color w:val="auto"/>
        </w:rPr>
        <w:t>Loss on Agency Securites, trading, includes changes in fair value of the securites as well as the loss on sales. For the year ended December 31, 2023, the change in fair value of the securites was $419,213, due to the change in interest rates and mortgage spreads. For the year ended December 31, 2023, we sold $6,100,661 of these securites, resultng in realized losses of $(471,878). The change in fair value of the securites was $(489,316) for the year ended December 31, 2022. For the year ended December 31, 2022, we sold $5,360,328 of these securites which resulted in a loss of $(457,350).</w:t>
      </w:r>
    </w:p>
    <w:p>
      <w:pPr>
        <w:spacing w:after="0" w:line="105" w:lineRule="exact"/>
        <w:rPr>
          <w:rFonts w:ascii="Calibri" w:cs="Calibri" w:eastAsia="Calibri" w:hAnsi="Calibri"/>
          <w:sz w:val="17"/>
          <w:szCs w:val="17"/>
          <w:color w:val="auto"/>
        </w:rPr>
      </w:pPr>
    </w:p>
    <w:p>
      <w:pPr>
        <w:jc w:val="both"/>
        <w:ind w:left="320" w:hanging="318"/>
        <w:spacing w:after="0" w:line="238" w:lineRule="auto"/>
        <w:tabs>
          <w:tab w:leader="none" w:pos="313" w:val="left"/>
        </w:tabs>
        <w:numPr>
          <w:ilvl w:val="0"/>
          <w:numId w:val="18"/>
        </w:numPr>
        <w:rPr>
          <w:rFonts w:ascii="Calibri" w:cs="Calibri" w:eastAsia="Calibri" w:hAnsi="Calibri"/>
          <w:sz w:val="17"/>
          <w:szCs w:val="17"/>
          <w:color w:val="auto"/>
        </w:rPr>
      </w:pPr>
      <w:r>
        <w:rPr>
          <w:rFonts w:ascii="Calibri" w:cs="Calibri" w:eastAsia="Calibri" w:hAnsi="Calibri"/>
          <w:sz w:val="17"/>
          <w:szCs w:val="17"/>
          <w:color w:val="auto"/>
        </w:rPr>
        <w:t>Loss on U.S. Treasury Securites resulted from the change in fair value of the securites as well as the loss on sales. During the year ended December 31, 2023, the change in fair value of the securites was $(16,496). For the year ended December 31, 2023, we sold short $651,621 and sold $618,520 of U.S. Treasury Securites resultng in a realized loss of $(26,597). The change in fair value of the securites was $(7,705) for the year ended December 31, 2022. Sales of U.S. Treasury Securites were $5,374,982 for the year ended December 31, 2022 resultng in realized loss of $(144,563).</w:t>
      </w:r>
    </w:p>
    <w:p>
      <w:pPr>
        <w:spacing w:after="0" w:line="102" w:lineRule="exact"/>
        <w:rPr>
          <w:rFonts w:ascii="Calibri" w:cs="Calibri" w:eastAsia="Calibri" w:hAnsi="Calibri"/>
          <w:sz w:val="17"/>
          <w:szCs w:val="17"/>
          <w:color w:val="auto"/>
        </w:rPr>
      </w:pPr>
    </w:p>
    <w:p>
      <w:pPr>
        <w:ind w:left="300" w:hanging="298"/>
        <w:spacing w:after="0"/>
        <w:tabs>
          <w:tab w:leader="none" w:pos="300" w:val="left"/>
        </w:tabs>
        <w:numPr>
          <w:ilvl w:val="0"/>
          <w:numId w:val="18"/>
        </w:numPr>
        <w:rPr>
          <w:rFonts w:ascii="Calibri" w:cs="Calibri" w:eastAsia="Calibri" w:hAnsi="Calibri"/>
          <w:sz w:val="17"/>
          <w:szCs w:val="17"/>
          <w:color w:val="auto"/>
        </w:rPr>
      </w:pPr>
      <w:r>
        <w:rPr>
          <w:rFonts w:ascii="Calibri" w:cs="Calibri" w:eastAsia="Calibri" w:hAnsi="Calibri"/>
          <w:sz w:val="17"/>
          <w:szCs w:val="17"/>
          <w:color w:val="auto"/>
        </w:rPr>
        <w:t>Gain on derivatves, net resulted from a combinaton of the following:</w:t>
      </w:r>
    </w:p>
    <w:p>
      <w:pPr>
        <w:spacing w:after="0" w:line="50" w:lineRule="exact"/>
        <w:rPr>
          <w:rFonts w:ascii="Calibri" w:cs="Calibri" w:eastAsia="Calibri" w:hAnsi="Calibri"/>
          <w:sz w:val="17"/>
          <w:szCs w:val="17"/>
          <w:color w:val="auto"/>
        </w:rPr>
      </w:pPr>
    </w:p>
    <w:p>
      <w:pPr>
        <w:ind w:left="640" w:hanging="329"/>
        <w:spacing w:after="0"/>
        <w:tabs>
          <w:tab w:leader="none" w:pos="640" w:val="left"/>
        </w:tabs>
        <w:numPr>
          <w:ilvl w:val="1"/>
          <w:numId w:val="18"/>
        </w:numPr>
        <w:rPr>
          <w:rFonts w:ascii="Arial" w:cs="Arial" w:eastAsia="Arial" w:hAnsi="Arial"/>
          <w:sz w:val="17"/>
          <w:szCs w:val="17"/>
          <w:color w:val="auto"/>
        </w:rPr>
      </w:pPr>
      <w:r>
        <w:rPr>
          <w:rFonts w:ascii="Calibri" w:cs="Calibri" w:eastAsia="Calibri" w:hAnsi="Calibri"/>
          <w:sz w:val="17"/>
          <w:szCs w:val="17"/>
          <w:color w:val="auto"/>
        </w:rPr>
        <w:t>Interest rate swap contracts' aggregate notonal balance was $6,786,000 at December 31, 2023 and $6,350,000 at December 31, 2022.</w:t>
      </w:r>
    </w:p>
    <w:p>
      <w:pPr>
        <w:spacing w:after="0" w:line="50" w:lineRule="exact"/>
        <w:rPr>
          <w:rFonts w:ascii="Arial" w:cs="Arial" w:eastAsia="Arial" w:hAnsi="Arial"/>
          <w:sz w:val="17"/>
          <w:szCs w:val="17"/>
          <w:color w:val="auto"/>
        </w:rPr>
      </w:pPr>
    </w:p>
    <w:p>
      <w:pPr>
        <w:ind w:left="640" w:hanging="329"/>
        <w:spacing w:after="0"/>
        <w:tabs>
          <w:tab w:leader="none" w:pos="640" w:val="left"/>
        </w:tabs>
        <w:numPr>
          <w:ilvl w:val="1"/>
          <w:numId w:val="18"/>
        </w:numPr>
        <w:rPr>
          <w:rFonts w:ascii="Arial" w:cs="Arial" w:eastAsia="Arial" w:hAnsi="Arial"/>
          <w:sz w:val="17"/>
          <w:szCs w:val="17"/>
          <w:color w:val="auto"/>
        </w:rPr>
      </w:pPr>
      <w:r>
        <w:rPr>
          <w:rFonts w:ascii="Calibri" w:cs="Calibri" w:eastAsia="Calibri" w:hAnsi="Calibri"/>
          <w:sz w:val="17"/>
          <w:szCs w:val="17"/>
          <w:color w:val="auto"/>
        </w:rPr>
        <w:t>Our total TBA Agency Securites aggregate notonal balance was $300,000 at December 31, 2023 and $800,000 at December 31, 2022.</w:t>
      </w:r>
    </w:p>
    <w:p>
      <w:pPr>
        <w:spacing w:after="0" w:line="179" w:lineRule="exact"/>
        <w:rPr>
          <w:sz w:val="20"/>
          <w:szCs w:val="20"/>
          <w:color w:val="auto"/>
        </w:rPr>
      </w:pPr>
    </w:p>
    <w:p>
      <w:pPr>
        <w:spacing w:after="0"/>
        <w:rPr>
          <w:sz w:val="20"/>
          <w:szCs w:val="20"/>
          <w:color w:val="auto"/>
        </w:rPr>
      </w:pPr>
      <w:r>
        <w:rPr>
          <w:rFonts w:ascii="Calibri" w:cs="Calibri" w:eastAsia="Calibri" w:hAnsi="Calibri"/>
          <w:sz w:val="17"/>
          <w:szCs w:val="17"/>
          <w:i w:val="1"/>
          <w:iCs w:val="1"/>
          <w:u w:val="single" w:color="auto"/>
          <w:color w:val="1C4787"/>
        </w:rPr>
        <w:t>Year Ended December 31, 2022 vs. Year Ended December 31, 2021:</w:t>
      </w:r>
    </w:p>
    <w:p>
      <w:pPr>
        <w:spacing w:after="0" w:line="105" w:lineRule="exact"/>
        <w:rPr>
          <w:sz w:val="20"/>
          <w:szCs w:val="20"/>
          <w:color w:val="auto"/>
        </w:rPr>
      </w:pPr>
    </w:p>
    <w:p>
      <w:pPr>
        <w:ind w:left="320" w:hanging="318"/>
        <w:spacing w:after="0" w:line="237" w:lineRule="auto"/>
        <w:tabs>
          <w:tab w:leader="none" w:pos="313"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Gain (loss) on Agency Securites, available for sale, resulted from the proceeds from sales of Agency Securites during the year ended December 31, 2022 of $988,728 compared to $167,202 during the year ended December 31, 2021.</w:t>
      </w:r>
    </w:p>
    <w:p>
      <w:pPr>
        <w:spacing w:after="0" w:line="105" w:lineRule="exact"/>
        <w:rPr>
          <w:rFonts w:ascii="Calibri" w:cs="Calibri" w:eastAsia="Calibri" w:hAnsi="Calibri"/>
          <w:sz w:val="17"/>
          <w:szCs w:val="17"/>
          <w:color w:val="auto"/>
        </w:rPr>
      </w:pPr>
    </w:p>
    <w:p>
      <w:pPr>
        <w:jc w:val="both"/>
        <w:ind w:left="320" w:hanging="318"/>
        <w:spacing w:after="0" w:line="238" w:lineRule="auto"/>
        <w:tabs>
          <w:tab w:leader="none" w:pos="313"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During the year ended December 31, 2022, we evaluated our available for sale securites to determine if the available for sale securites in an unrealized loss positon were impaired. During the third quarter of 2022, we recognized an impairment of $4,183 in our consolidated statements of operatons and comprehensive income (loss), as we had decided to sell certain available for sale securites before they recovered in value. No impairment was required for the year ended December 31, 2021.</w:t>
      </w:r>
    </w:p>
    <w:p>
      <w:pPr>
        <w:spacing w:after="0" w:line="105" w:lineRule="exact"/>
        <w:rPr>
          <w:rFonts w:ascii="Calibri" w:cs="Calibri" w:eastAsia="Calibri" w:hAnsi="Calibri"/>
          <w:sz w:val="17"/>
          <w:szCs w:val="17"/>
          <w:color w:val="auto"/>
        </w:rPr>
      </w:pPr>
    </w:p>
    <w:p>
      <w:pPr>
        <w:jc w:val="both"/>
        <w:ind w:left="320" w:hanging="318"/>
        <w:spacing w:after="0" w:line="238" w:lineRule="auto"/>
        <w:tabs>
          <w:tab w:leader="none" w:pos="313"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Loss on Agency Securites, trading, resulted from the change in fair value of the securites as well as losses on sales during the year ended December 31, 2022. The change in fair value of the securites was $(489,316), due to the change in interest rates and mortgage spreads, for the year ended December 31, 2022. For the year ended December 31, 2022, we sold $5,360,328 of these securites which resulted in a loss of $(457,350). The change in fair value of the securites was $(74,214) for the year ended December 31, 2021. For the year ended December 31, 2021, we sold $813,178 of these securites which resulted in a loss of $(2,931).</w:t>
      </w:r>
    </w:p>
    <w:p>
      <w:pPr>
        <w:spacing w:after="0" w:line="105" w:lineRule="exact"/>
        <w:rPr>
          <w:rFonts w:ascii="Calibri" w:cs="Calibri" w:eastAsia="Calibri" w:hAnsi="Calibri"/>
          <w:sz w:val="17"/>
          <w:szCs w:val="17"/>
          <w:color w:val="auto"/>
        </w:rPr>
      </w:pPr>
    </w:p>
    <w:p>
      <w:pPr>
        <w:jc w:val="both"/>
        <w:ind w:left="320" w:hanging="318"/>
        <w:spacing w:after="0" w:line="238" w:lineRule="auto"/>
        <w:tabs>
          <w:tab w:leader="none" w:pos="313"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Loss on U.S. Treasury Securites resulted from the change in fair value of the securites as well as gains on sales during the year ended December 31, 2022. The change in fair value of the securites was $(7,705) for the year ended December 31, 2022. For the year ended December 31, 2022, we sold short $494,797 and sold $4,876,767 of these securites which resulted in a realized loss of $(144,563). The change in fair value of the securites was $154 for the year ended December 31, 2021. Sales of U.S. Treasury Securites were $389,586 for the year ended December 31, 2021 resultng in realized gain of $9,209.</w:t>
      </w:r>
    </w:p>
    <w:p>
      <w:pPr>
        <w:spacing w:after="0" w:line="102" w:lineRule="exact"/>
        <w:rPr>
          <w:rFonts w:ascii="Calibri" w:cs="Calibri" w:eastAsia="Calibri" w:hAnsi="Calibri"/>
          <w:sz w:val="17"/>
          <w:szCs w:val="17"/>
          <w:color w:val="auto"/>
        </w:rPr>
      </w:pPr>
    </w:p>
    <w:p>
      <w:pPr>
        <w:ind w:left="300" w:hanging="298"/>
        <w:spacing w:after="0"/>
        <w:tabs>
          <w:tab w:leader="none" w:pos="300"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Gain on derivatves, net resulted from a combinaton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1082040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358140</wp:posOffset>
            </wp:positionV>
            <wp:extent cx="458470" cy="5073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0620"/>
          </w:cols>
          <w:pgMar w:left="940" w:top="740" w:right="339" w:bottom="1440" w:gutter="0" w:footer="0" w:header="0"/>
        </w:sectPr>
      </w:pPr>
    </w:p>
    <w:bookmarkStart w:id="54" w:name="page55"/>
    <w:bookmarkEnd w:id="54"/>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53</w:t>
      </w:r>
    </w:p>
    <w:p>
      <w:pPr>
        <w:spacing w:after="0" w:line="200" w:lineRule="exact"/>
        <w:rPr>
          <w:sz w:val="20"/>
          <w:szCs w:val="20"/>
          <w:color w:val="auto"/>
        </w:rPr>
      </w:pPr>
    </w:p>
    <w:p>
      <w:pPr>
        <w:spacing w:after="0" w:line="302" w:lineRule="exact"/>
        <w:rPr>
          <w:sz w:val="20"/>
          <w:szCs w:val="20"/>
          <w:color w:val="auto"/>
        </w:rPr>
      </w:pPr>
    </w:p>
    <w:p>
      <w:pPr>
        <w:ind w:left="1260" w:hanging="329"/>
        <w:spacing w:after="0"/>
        <w:tabs>
          <w:tab w:leader="none" w:pos="1260" w:val="left"/>
        </w:tabs>
        <w:numPr>
          <w:ilvl w:val="0"/>
          <w:numId w:val="20"/>
        </w:numPr>
        <w:rPr>
          <w:rFonts w:ascii="Arial" w:cs="Arial" w:eastAsia="Arial" w:hAnsi="Arial"/>
          <w:sz w:val="17"/>
          <w:szCs w:val="17"/>
          <w:color w:val="auto"/>
        </w:rPr>
      </w:pPr>
      <w:r>
        <w:rPr>
          <w:rFonts w:ascii="Calibri" w:cs="Calibri" w:eastAsia="Calibri" w:hAnsi="Calibri"/>
          <w:sz w:val="17"/>
          <w:szCs w:val="17"/>
          <w:color w:val="auto"/>
        </w:rPr>
        <w:t>Interest rate swap contracts' aggregate notonal balance was $6,350,000 at December 31, 2022 and $7,210,000 at December 31, 2021.</w:t>
      </w:r>
    </w:p>
    <w:p>
      <w:pPr>
        <w:spacing w:after="0" w:line="50" w:lineRule="exact"/>
        <w:rPr>
          <w:rFonts w:ascii="Arial" w:cs="Arial" w:eastAsia="Arial" w:hAnsi="Arial"/>
          <w:sz w:val="17"/>
          <w:szCs w:val="17"/>
          <w:color w:val="auto"/>
        </w:rPr>
      </w:pPr>
    </w:p>
    <w:p>
      <w:pPr>
        <w:ind w:left="1260" w:hanging="329"/>
        <w:spacing w:after="0"/>
        <w:tabs>
          <w:tab w:leader="none" w:pos="1260" w:val="left"/>
        </w:tabs>
        <w:numPr>
          <w:ilvl w:val="0"/>
          <w:numId w:val="20"/>
        </w:numPr>
        <w:rPr>
          <w:rFonts w:ascii="Arial" w:cs="Arial" w:eastAsia="Arial" w:hAnsi="Arial"/>
          <w:sz w:val="17"/>
          <w:szCs w:val="17"/>
          <w:color w:val="auto"/>
        </w:rPr>
      </w:pPr>
      <w:r>
        <w:rPr>
          <w:rFonts w:ascii="Calibri" w:cs="Calibri" w:eastAsia="Calibri" w:hAnsi="Calibri"/>
          <w:sz w:val="17"/>
          <w:szCs w:val="17"/>
          <w:color w:val="auto"/>
        </w:rPr>
        <w:t>Our total TBA Agency Securites aggregate notonal balance was $800,000 at December 31, 2022 and $4,500,000 at December 31, 2021.</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6620" w:type="dxa"/>
            <w:vAlign w:val="bottom"/>
            <w:shd w:val="clear" w:color="auto" w:fill="E6EEFF"/>
          </w:tcPr>
          <w:p>
            <w:pPr>
              <w:spacing w:after="0"/>
              <w:rPr>
                <w:sz w:val="19"/>
                <w:szCs w:val="19"/>
                <w:color w:val="auto"/>
              </w:rPr>
            </w:pPr>
          </w:p>
        </w:tc>
        <w:tc>
          <w:tcPr>
            <w:tcW w:w="500" w:type="dxa"/>
            <w:vAlign w:val="bottom"/>
            <w:tcBorders>
              <w:bottom w:val="single" w:sz="8" w:color="auto"/>
            </w:tcBorders>
            <w:shd w:val="clear" w:color="auto" w:fill="E6EEFF"/>
          </w:tcPr>
          <w:p>
            <w:pPr>
              <w:spacing w:after="0"/>
              <w:rPr>
                <w:sz w:val="19"/>
                <w:szCs w:val="19"/>
                <w:color w:val="auto"/>
              </w:rPr>
            </w:pPr>
          </w:p>
        </w:tc>
        <w:tc>
          <w:tcPr>
            <w:tcW w:w="940" w:type="dxa"/>
            <w:vAlign w:val="bottom"/>
            <w:tcBorders>
              <w:bottom w:val="single" w:sz="8" w:color="auto"/>
            </w:tcBorders>
            <w:shd w:val="clear" w:color="auto" w:fill="E6EEFF"/>
          </w:tcPr>
          <w:p>
            <w:pPr>
              <w:spacing w:after="0"/>
              <w:rPr>
                <w:sz w:val="19"/>
                <w:szCs w:val="19"/>
                <w:color w:val="auto"/>
              </w:rPr>
            </w:pPr>
          </w:p>
        </w:tc>
        <w:tc>
          <w:tcPr>
            <w:tcW w:w="100" w:type="dxa"/>
            <w:vAlign w:val="bottom"/>
            <w:tcBorders>
              <w:bottom w:val="single" w:sz="8" w:color="auto"/>
            </w:tcBorders>
            <w:shd w:val="clear" w:color="auto" w:fill="E6EEFF"/>
          </w:tcPr>
          <w:p>
            <w:pPr>
              <w:spacing w:after="0"/>
              <w:rPr>
                <w:sz w:val="19"/>
                <w:szCs w:val="19"/>
                <w:color w:val="auto"/>
              </w:rPr>
            </w:pPr>
          </w:p>
        </w:tc>
        <w:tc>
          <w:tcPr>
            <w:tcW w:w="1520" w:type="dxa"/>
            <w:vAlign w:val="bottom"/>
            <w:tcBorders>
              <w:bottom w:val="single" w:sz="8" w:color="auto"/>
            </w:tcBorders>
            <w:gridSpan w:val="3"/>
            <w:shd w:val="clear" w:color="auto" w:fill="E6EEFF"/>
          </w:tcPr>
          <w:p>
            <w:pPr>
              <w:ind w:left="20"/>
              <w:spacing w:after="0"/>
              <w:rPr>
                <w:sz w:val="20"/>
                <w:szCs w:val="20"/>
                <w:color w:val="auto"/>
              </w:rPr>
            </w:pPr>
            <w:r>
              <w:rPr>
                <w:rFonts w:ascii="Calibri" w:cs="Calibri" w:eastAsia="Calibri" w:hAnsi="Calibri"/>
                <w:sz w:val="17"/>
                <w:szCs w:val="17"/>
                <w:b w:val="1"/>
                <w:bCs w:val="1"/>
                <w:color w:val="1C4787"/>
              </w:rPr>
              <w:t>For the Years Ended</w:t>
            </w:r>
          </w:p>
        </w:tc>
        <w:tc>
          <w:tcPr>
            <w:tcW w:w="520" w:type="dxa"/>
            <w:vAlign w:val="bottom"/>
            <w:tcBorders>
              <w:bottom w:val="single" w:sz="8" w:color="auto"/>
            </w:tcBorders>
            <w:shd w:val="clear" w:color="auto" w:fill="E6EEFF"/>
          </w:tcPr>
          <w:p>
            <w:pPr>
              <w:spacing w:after="0"/>
              <w:rPr>
                <w:sz w:val="19"/>
                <w:szCs w:val="19"/>
                <w:color w:val="auto"/>
              </w:rPr>
            </w:pPr>
          </w:p>
        </w:tc>
        <w:tc>
          <w:tcPr>
            <w:tcW w:w="940" w:type="dxa"/>
            <w:vAlign w:val="bottom"/>
            <w:tcBorders>
              <w:bottom w:val="single" w:sz="8" w:color="auto"/>
            </w:tcBorders>
            <w:shd w:val="clear" w:color="auto" w:fill="E6EEFF"/>
          </w:tcPr>
          <w:p>
            <w:pPr>
              <w:spacing w:after="0"/>
              <w:rPr>
                <w:sz w:val="19"/>
                <w:szCs w:val="19"/>
                <w:color w:val="auto"/>
              </w:rPr>
            </w:pPr>
          </w:p>
        </w:tc>
      </w:tr>
      <w:tr>
        <w:trPr>
          <w:trHeight w:val="205"/>
        </w:trPr>
        <w:tc>
          <w:tcPr>
            <w:tcW w:w="6620" w:type="dxa"/>
            <w:vAlign w:val="bottom"/>
          </w:tcPr>
          <w:p>
            <w:pPr>
              <w:spacing w:after="0"/>
              <w:rPr>
                <w:sz w:val="17"/>
                <w:szCs w:val="17"/>
                <w:color w:val="auto"/>
              </w:rPr>
            </w:pPr>
          </w:p>
        </w:tc>
        <w:tc>
          <w:tcPr>
            <w:tcW w:w="1540" w:type="dxa"/>
            <w:vAlign w:val="bottom"/>
            <w:gridSpan w:val="3"/>
          </w:tcPr>
          <w:p>
            <w:pPr>
              <w:ind w:left="4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520" w:type="dxa"/>
            <w:vAlign w:val="bottom"/>
            <w:gridSpan w:val="3"/>
          </w:tcPr>
          <w:p>
            <w:pPr>
              <w:ind w:left="4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460" w:type="dxa"/>
            <w:vAlign w:val="bottom"/>
            <w:gridSpan w:val="2"/>
          </w:tcPr>
          <w:p>
            <w:pPr>
              <w:jc w:val="right"/>
              <w:spacing w:after="0" w:line="205" w:lineRule="exact"/>
              <w:rPr>
                <w:sz w:val="20"/>
                <w:szCs w:val="20"/>
                <w:color w:val="auto"/>
              </w:rPr>
            </w:pPr>
            <w:r>
              <w:rPr>
                <w:rFonts w:ascii="Calibri" w:cs="Calibri" w:eastAsia="Calibri" w:hAnsi="Calibri"/>
                <w:sz w:val="17"/>
                <w:szCs w:val="17"/>
                <w:b w:val="1"/>
                <w:bCs w:val="1"/>
                <w:color w:val="1C4787"/>
              </w:rPr>
              <w:t>December 31, 2021</w:t>
            </w:r>
          </w:p>
        </w:tc>
      </w:tr>
      <w:tr>
        <w:trPr>
          <w:trHeight w:val="206"/>
        </w:trPr>
        <w:tc>
          <w:tcPr>
            <w:tcW w:w="6620" w:type="dxa"/>
            <w:vAlign w:val="bottom"/>
            <w:tcBorders>
              <w:top w:val="single" w:sz="8" w:color="E6EEFF"/>
            </w:tcBorders>
            <w:shd w:val="clear" w:color="auto" w:fill="E6EEFF"/>
          </w:tcPr>
          <w:p>
            <w:pPr>
              <w:ind w:left="20"/>
              <w:spacing w:after="0" w:line="192" w:lineRule="exact"/>
              <w:rPr>
                <w:sz w:val="20"/>
                <w:szCs w:val="20"/>
                <w:color w:val="auto"/>
              </w:rPr>
            </w:pPr>
            <w:r>
              <w:rPr>
                <w:rFonts w:ascii="Calibri" w:cs="Calibri" w:eastAsia="Calibri" w:hAnsi="Calibri"/>
                <w:sz w:val="17"/>
                <w:szCs w:val="17"/>
                <w:b w:val="1"/>
                <w:bCs w:val="1"/>
                <w:color w:val="1C4787"/>
              </w:rPr>
              <w:t>Expenses:</w:t>
            </w:r>
          </w:p>
        </w:tc>
        <w:tc>
          <w:tcPr>
            <w:tcW w:w="500" w:type="dxa"/>
            <w:vAlign w:val="bottom"/>
            <w:tcBorders>
              <w:top w:val="single" w:sz="8" w:color="auto"/>
            </w:tcBorders>
            <w:shd w:val="clear" w:color="auto" w:fill="E6EEFF"/>
          </w:tcPr>
          <w:p>
            <w:pPr>
              <w:spacing w:after="0"/>
              <w:rPr>
                <w:sz w:val="17"/>
                <w:szCs w:val="17"/>
                <w:color w:val="auto"/>
              </w:rPr>
            </w:pPr>
          </w:p>
        </w:tc>
        <w:tc>
          <w:tcPr>
            <w:tcW w:w="940" w:type="dxa"/>
            <w:vAlign w:val="bottom"/>
            <w:tcBorders>
              <w:top w:val="single" w:sz="8" w:color="auto"/>
            </w:tcBorders>
            <w:shd w:val="clear" w:color="auto" w:fill="E6EEFF"/>
          </w:tcPr>
          <w:p>
            <w:pPr>
              <w:spacing w:after="0"/>
              <w:rPr>
                <w:sz w:val="17"/>
                <w:szCs w:val="17"/>
                <w:color w:val="auto"/>
              </w:rPr>
            </w:pPr>
          </w:p>
        </w:tc>
        <w:tc>
          <w:tcPr>
            <w:tcW w:w="100" w:type="dxa"/>
            <w:vAlign w:val="bottom"/>
            <w:tcBorders>
              <w:top w:val="single" w:sz="8" w:color="E6EEFF"/>
            </w:tcBorders>
            <w:shd w:val="clear" w:color="auto" w:fill="E6EEFF"/>
          </w:tcPr>
          <w:p>
            <w:pPr>
              <w:spacing w:after="0"/>
              <w:rPr>
                <w:sz w:val="17"/>
                <w:szCs w:val="17"/>
                <w:color w:val="auto"/>
              </w:rPr>
            </w:pPr>
          </w:p>
        </w:tc>
        <w:tc>
          <w:tcPr>
            <w:tcW w:w="500" w:type="dxa"/>
            <w:vAlign w:val="bottom"/>
            <w:tcBorders>
              <w:top w:val="single" w:sz="8" w:color="auto"/>
            </w:tcBorders>
            <w:shd w:val="clear" w:color="auto" w:fill="E6EEFF"/>
          </w:tcPr>
          <w:p>
            <w:pPr>
              <w:spacing w:after="0"/>
              <w:rPr>
                <w:sz w:val="17"/>
                <w:szCs w:val="17"/>
                <w:color w:val="auto"/>
              </w:rPr>
            </w:pPr>
          </w:p>
        </w:tc>
        <w:tc>
          <w:tcPr>
            <w:tcW w:w="940" w:type="dxa"/>
            <w:vAlign w:val="bottom"/>
            <w:tcBorders>
              <w:top w:val="single" w:sz="8" w:color="auto"/>
            </w:tcBorders>
            <w:shd w:val="clear" w:color="auto" w:fill="E6EEFF"/>
          </w:tcPr>
          <w:p>
            <w:pPr>
              <w:spacing w:after="0"/>
              <w:rPr>
                <w:sz w:val="17"/>
                <w:szCs w:val="17"/>
                <w:color w:val="auto"/>
              </w:rPr>
            </w:pPr>
          </w:p>
        </w:tc>
        <w:tc>
          <w:tcPr>
            <w:tcW w:w="80" w:type="dxa"/>
            <w:vAlign w:val="bottom"/>
            <w:tcBorders>
              <w:top w:val="single" w:sz="8" w:color="E6EEFF"/>
            </w:tcBorders>
            <w:shd w:val="clear" w:color="auto" w:fill="E6EEFF"/>
          </w:tcPr>
          <w:p>
            <w:pPr>
              <w:spacing w:after="0"/>
              <w:rPr>
                <w:sz w:val="17"/>
                <w:szCs w:val="17"/>
                <w:color w:val="auto"/>
              </w:rPr>
            </w:pPr>
          </w:p>
        </w:tc>
        <w:tc>
          <w:tcPr>
            <w:tcW w:w="520" w:type="dxa"/>
            <w:vAlign w:val="bottom"/>
            <w:tcBorders>
              <w:top w:val="single" w:sz="8" w:color="auto"/>
            </w:tcBorders>
            <w:shd w:val="clear" w:color="auto" w:fill="E6EEFF"/>
          </w:tcPr>
          <w:p>
            <w:pPr>
              <w:spacing w:after="0"/>
              <w:rPr>
                <w:sz w:val="17"/>
                <w:szCs w:val="17"/>
                <w:color w:val="auto"/>
              </w:rPr>
            </w:pPr>
          </w:p>
        </w:tc>
        <w:tc>
          <w:tcPr>
            <w:tcW w:w="940" w:type="dxa"/>
            <w:vAlign w:val="bottom"/>
            <w:tcBorders>
              <w:top w:val="single" w:sz="8" w:color="auto"/>
            </w:tcBorders>
            <w:shd w:val="clear" w:color="auto" w:fill="E6EEFF"/>
          </w:tcPr>
          <w:p>
            <w:pPr>
              <w:spacing w:after="0"/>
              <w:rPr>
                <w:sz w:val="17"/>
                <w:szCs w:val="17"/>
                <w:color w:val="auto"/>
              </w:rPr>
            </w:pPr>
          </w:p>
        </w:tc>
      </w:tr>
      <w:tr>
        <w:trPr>
          <w:trHeight w:val="212"/>
        </w:trPr>
        <w:tc>
          <w:tcPr>
            <w:tcW w:w="6620" w:type="dxa"/>
            <w:vAlign w:val="bottom"/>
          </w:tcPr>
          <w:p>
            <w:pPr>
              <w:ind w:left="140"/>
              <w:spacing w:after="0" w:line="205" w:lineRule="exact"/>
              <w:rPr>
                <w:sz w:val="20"/>
                <w:szCs w:val="20"/>
                <w:color w:val="auto"/>
              </w:rPr>
            </w:pPr>
            <w:r>
              <w:rPr>
                <w:rFonts w:ascii="Calibri" w:cs="Calibri" w:eastAsia="Calibri" w:hAnsi="Calibri"/>
                <w:sz w:val="17"/>
                <w:szCs w:val="17"/>
                <w:color w:val="auto"/>
              </w:rPr>
              <w:t>Management fees</w:t>
            </w:r>
          </w:p>
        </w:tc>
        <w:tc>
          <w:tcPr>
            <w:tcW w:w="500" w:type="dxa"/>
            <w:vAlign w:val="bottom"/>
          </w:tcPr>
          <w:p>
            <w:pPr>
              <w:jc w:val="right"/>
              <w:ind w:right="31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38,188</w:t>
            </w:r>
          </w:p>
        </w:tc>
        <w:tc>
          <w:tcPr>
            <w:tcW w:w="100" w:type="dxa"/>
            <w:vAlign w:val="bottom"/>
          </w:tcPr>
          <w:p>
            <w:pPr>
              <w:spacing w:after="0"/>
              <w:rPr>
                <w:sz w:val="18"/>
                <w:szCs w:val="18"/>
                <w:color w:val="auto"/>
              </w:rPr>
            </w:pPr>
          </w:p>
        </w:tc>
        <w:tc>
          <w:tcPr>
            <w:tcW w:w="500" w:type="dxa"/>
            <w:vAlign w:val="bottom"/>
          </w:tcPr>
          <w:p>
            <w:pPr>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33,774</w:t>
            </w:r>
          </w:p>
        </w:tc>
        <w:tc>
          <w:tcPr>
            <w:tcW w:w="80" w:type="dxa"/>
            <w:vAlign w:val="bottom"/>
          </w:tcPr>
          <w:p>
            <w:pPr>
              <w:spacing w:after="0"/>
              <w:rPr>
                <w:sz w:val="18"/>
                <w:szCs w:val="18"/>
                <w:color w:val="auto"/>
              </w:rPr>
            </w:pPr>
          </w:p>
        </w:tc>
        <w:tc>
          <w:tcPr>
            <w:tcW w:w="520" w:type="dxa"/>
            <w:vAlign w:val="bottom"/>
          </w:tcPr>
          <w:p>
            <w:pPr>
              <w:jc w:val="right"/>
              <w:ind w:right="33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31,108</w:t>
            </w:r>
          </w:p>
        </w:tc>
      </w:tr>
      <w:tr>
        <w:trPr>
          <w:trHeight w:val="226"/>
        </w:trPr>
        <w:tc>
          <w:tcPr>
            <w:tcW w:w="6620" w:type="dxa"/>
            <w:vAlign w:val="bottom"/>
            <w:shd w:val="clear" w:color="auto" w:fill="E6EEFF"/>
          </w:tcPr>
          <w:p>
            <w:pPr>
              <w:ind w:left="140"/>
              <w:spacing w:after="0"/>
              <w:rPr>
                <w:sz w:val="20"/>
                <w:szCs w:val="20"/>
                <w:color w:val="auto"/>
              </w:rPr>
            </w:pPr>
            <w:r>
              <w:rPr>
                <w:rFonts w:ascii="Calibri" w:cs="Calibri" w:eastAsia="Calibri" w:hAnsi="Calibri"/>
                <w:sz w:val="17"/>
                <w:szCs w:val="17"/>
                <w:color w:val="auto"/>
              </w:rPr>
              <w:t>Compensaton</w:t>
            </w:r>
          </w:p>
        </w:tc>
        <w:tc>
          <w:tcPr>
            <w:tcW w:w="500" w:type="dxa"/>
            <w:vAlign w:val="bottom"/>
            <w:shd w:val="clear" w:color="auto" w:fill="E6EEFF"/>
          </w:tcPr>
          <w:p>
            <w:pPr>
              <w:spacing w:after="0"/>
              <w:rPr>
                <w:sz w:val="19"/>
                <w:szCs w:val="19"/>
                <w:color w:val="auto"/>
              </w:rPr>
            </w:pPr>
          </w:p>
        </w:tc>
        <w:tc>
          <w:tcPr>
            <w:tcW w:w="9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4,944</w:t>
            </w:r>
          </w:p>
        </w:tc>
        <w:tc>
          <w:tcPr>
            <w:tcW w:w="100" w:type="dxa"/>
            <w:vAlign w:val="bottom"/>
            <w:shd w:val="clear" w:color="auto" w:fill="E6EEFF"/>
          </w:tcPr>
          <w:p>
            <w:pPr>
              <w:spacing w:after="0"/>
              <w:rPr>
                <w:sz w:val="19"/>
                <w:szCs w:val="19"/>
                <w:color w:val="auto"/>
              </w:rPr>
            </w:pPr>
          </w:p>
        </w:tc>
        <w:tc>
          <w:tcPr>
            <w:tcW w:w="500" w:type="dxa"/>
            <w:vAlign w:val="bottom"/>
            <w:shd w:val="clear" w:color="auto" w:fill="E6EEFF"/>
          </w:tcPr>
          <w:p>
            <w:pPr>
              <w:spacing w:after="0"/>
              <w:rPr>
                <w:sz w:val="19"/>
                <w:szCs w:val="19"/>
                <w:color w:val="auto"/>
              </w:rPr>
            </w:pPr>
          </w:p>
        </w:tc>
        <w:tc>
          <w:tcPr>
            <w:tcW w:w="9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5,485</w:t>
            </w:r>
          </w:p>
        </w:tc>
        <w:tc>
          <w:tcPr>
            <w:tcW w:w="80" w:type="dxa"/>
            <w:vAlign w:val="bottom"/>
            <w:shd w:val="clear" w:color="auto" w:fill="E6EEFF"/>
          </w:tcPr>
          <w:p>
            <w:pPr>
              <w:spacing w:after="0"/>
              <w:rPr>
                <w:sz w:val="19"/>
                <w:szCs w:val="19"/>
                <w:color w:val="auto"/>
              </w:rPr>
            </w:pPr>
          </w:p>
        </w:tc>
        <w:tc>
          <w:tcPr>
            <w:tcW w:w="520" w:type="dxa"/>
            <w:vAlign w:val="bottom"/>
            <w:shd w:val="clear" w:color="auto" w:fill="E6EEFF"/>
          </w:tcPr>
          <w:p>
            <w:pPr>
              <w:spacing w:after="0"/>
              <w:rPr>
                <w:sz w:val="19"/>
                <w:szCs w:val="19"/>
                <w:color w:val="auto"/>
              </w:rPr>
            </w:pPr>
          </w:p>
        </w:tc>
        <w:tc>
          <w:tcPr>
            <w:tcW w:w="9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6,614</w:t>
            </w:r>
          </w:p>
        </w:tc>
      </w:tr>
      <w:tr>
        <w:trPr>
          <w:trHeight w:val="212"/>
        </w:trPr>
        <w:tc>
          <w:tcPr>
            <w:tcW w:w="6620" w:type="dxa"/>
            <w:vAlign w:val="bottom"/>
            <w:tcBorders>
              <w:bottom w:val="single" w:sz="8" w:color="E6EEFF"/>
            </w:tcBorders>
          </w:tcPr>
          <w:p>
            <w:pPr>
              <w:ind w:left="140"/>
              <w:spacing w:after="0" w:line="205" w:lineRule="exact"/>
              <w:rPr>
                <w:sz w:val="20"/>
                <w:szCs w:val="20"/>
                <w:color w:val="auto"/>
              </w:rPr>
            </w:pPr>
            <w:r>
              <w:rPr>
                <w:rFonts w:ascii="Calibri" w:cs="Calibri" w:eastAsia="Calibri" w:hAnsi="Calibri"/>
                <w:sz w:val="17"/>
                <w:szCs w:val="17"/>
                <w:color w:val="auto"/>
              </w:rPr>
              <w:t>Other Operatng</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7,019</w:t>
            </w:r>
          </w:p>
        </w:tc>
        <w:tc>
          <w:tcPr>
            <w:tcW w:w="100" w:type="dxa"/>
            <w:vAlign w:val="bottom"/>
            <w:tcBorders>
              <w:bottom w:val="single" w:sz="8" w:color="E6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6,374</w:t>
            </w:r>
          </w:p>
        </w:tc>
        <w:tc>
          <w:tcPr>
            <w:tcW w:w="80" w:type="dxa"/>
            <w:vAlign w:val="bottom"/>
            <w:tcBorders>
              <w:bottom w:val="single" w:sz="8" w:color="E6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5,793</w:t>
            </w:r>
          </w:p>
        </w:tc>
      </w:tr>
      <w:tr>
        <w:trPr>
          <w:trHeight w:val="219"/>
        </w:trPr>
        <w:tc>
          <w:tcPr>
            <w:tcW w:w="6620" w:type="dxa"/>
            <w:vAlign w:val="bottom"/>
            <w:shd w:val="clear" w:color="auto" w:fill="E6EEFF"/>
          </w:tcPr>
          <w:p>
            <w:pPr>
              <w:ind w:left="20"/>
              <w:spacing w:after="0" w:line="197" w:lineRule="exact"/>
              <w:rPr>
                <w:sz w:val="20"/>
                <w:szCs w:val="20"/>
                <w:color w:val="auto"/>
              </w:rPr>
            </w:pPr>
            <w:r>
              <w:rPr>
                <w:rFonts w:ascii="Calibri" w:cs="Calibri" w:eastAsia="Calibri" w:hAnsi="Calibri"/>
                <w:sz w:val="17"/>
                <w:szCs w:val="17"/>
                <w:b w:val="1"/>
                <w:bCs w:val="1"/>
                <w:color w:val="1C4787"/>
              </w:rPr>
              <w:t>Total Expenses</w:t>
            </w:r>
          </w:p>
        </w:tc>
        <w:tc>
          <w:tcPr>
            <w:tcW w:w="500" w:type="dxa"/>
            <w:vAlign w:val="bottom"/>
            <w:tcBorders>
              <w:bottom w:val="single" w:sz="8" w:color="auto"/>
            </w:tcBorders>
            <w:shd w:val="clear" w:color="auto" w:fill="E6EEFF"/>
          </w:tcPr>
          <w:p>
            <w:pPr>
              <w:jc w:val="right"/>
              <w:ind w:right="31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50,151</w:t>
            </w:r>
          </w:p>
        </w:tc>
        <w:tc>
          <w:tcPr>
            <w:tcW w:w="100" w:type="dxa"/>
            <w:vAlign w:val="bottom"/>
            <w:shd w:val="clear" w:color="auto" w:fill="E6EEFF"/>
          </w:tcPr>
          <w:p>
            <w:pPr>
              <w:spacing w:after="0"/>
              <w:rPr>
                <w:sz w:val="19"/>
                <w:szCs w:val="19"/>
                <w:color w:val="auto"/>
              </w:rPr>
            </w:pPr>
          </w:p>
        </w:tc>
        <w:tc>
          <w:tcPr>
            <w:tcW w:w="500" w:type="dxa"/>
            <w:vAlign w:val="bottom"/>
            <w:tcBorders>
              <w:bottom w:val="single" w:sz="8" w:color="auto"/>
            </w:tcBorders>
            <w:shd w:val="clear" w:color="auto" w:fill="E6EEFF"/>
          </w:tcPr>
          <w:p>
            <w:pPr>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45,633</w:t>
            </w:r>
          </w:p>
        </w:tc>
        <w:tc>
          <w:tcPr>
            <w:tcW w:w="80" w:type="dxa"/>
            <w:vAlign w:val="bottom"/>
            <w:shd w:val="clear" w:color="auto" w:fill="E6EEFF"/>
          </w:tcPr>
          <w:p>
            <w:pPr>
              <w:spacing w:after="0"/>
              <w:rPr>
                <w:sz w:val="19"/>
                <w:szCs w:val="19"/>
                <w:color w:val="auto"/>
              </w:rPr>
            </w:pPr>
          </w:p>
        </w:tc>
        <w:tc>
          <w:tcPr>
            <w:tcW w:w="520" w:type="dxa"/>
            <w:vAlign w:val="bottom"/>
            <w:tcBorders>
              <w:bottom w:val="single" w:sz="8" w:color="auto"/>
            </w:tcBorders>
            <w:shd w:val="clear" w:color="auto" w:fill="E6EEFF"/>
          </w:tcPr>
          <w:p>
            <w:pPr>
              <w:jc w:val="right"/>
              <w:ind w:right="33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43,515</w:t>
            </w:r>
          </w:p>
        </w:tc>
      </w:tr>
      <w:tr>
        <w:trPr>
          <w:trHeight w:val="205"/>
        </w:trPr>
        <w:tc>
          <w:tcPr>
            <w:tcW w:w="6620" w:type="dxa"/>
            <w:vAlign w:val="bottom"/>
            <w:tcBorders>
              <w:bottom w:val="single" w:sz="8" w:color="E6EEFF"/>
            </w:tcBorders>
          </w:tcPr>
          <w:p>
            <w:pPr>
              <w:ind w:left="140"/>
              <w:spacing w:after="0" w:line="190" w:lineRule="exact"/>
              <w:rPr>
                <w:sz w:val="20"/>
                <w:szCs w:val="20"/>
                <w:color w:val="auto"/>
              </w:rPr>
            </w:pPr>
            <w:r>
              <w:rPr>
                <w:rFonts w:ascii="Calibri" w:cs="Calibri" w:eastAsia="Calibri" w:hAnsi="Calibri"/>
                <w:sz w:val="17"/>
                <w:szCs w:val="17"/>
                <w:color w:val="auto"/>
              </w:rPr>
              <w:t>Less management fees waived</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(6,600)</w:t>
            </w:r>
          </w:p>
        </w:tc>
        <w:tc>
          <w:tcPr>
            <w:tcW w:w="100" w:type="dxa"/>
            <w:vAlign w:val="bottom"/>
            <w:tcBorders>
              <w:bottom w:val="single" w:sz="8" w:color="E6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(7,800)</w:t>
            </w:r>
          </w:p>
        </w:tc>
        <w:tc>
          <w:tcPr>
            <w:tcW w:w="80" w:type="dxa"/>
            <w:vAlign w:val="bottom"/>
            <w:tcBorders>
              <w:bottom w:val="single" w:sz="8" w:color="E6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(8,600)</w:t>
            </w:r>
          </w:p>
        </w:tc>
      </w:tr>
      <w:tr>
        <w:trPr>
          <w:trHeight w:val="244"/>
        </w:trPr>
        <w:tc>
          <w:tcPr>
            <w:tcW w:w="6620" w:type="dxa"/>
            <w:vAlign w:val="bottom"/>
            <w:tcBorders>
              <w:bottom w:val="single" w:sz="8" w:color="E6EEFF"/>
            </w:tcBorders>
            <w:shd w:val="clear" w:color="auto" w:fill="E6EEFF"/>
          </w:tcPr>
          <w:p>
            <w:pPr>
              <w:ind w:left="20"/>
              <w:spacing w:after="0"/>
              <w:rPr>
                <w:sz w:val="20"/>
                <w:szCs w:val="20"/>
                <w:color w:val="auto"/>
              </w:rPr>
            </w:pPr>
            <w:r>
              <w:rPr>
                <w:rFonts w:ascii="Calibri" w:cs="Calibri" w:eastAsia="Calibri" w:hAnsi="Calibri"/>
                <w:sz w:val="17"/>
                <w:szCs w:val="17"/>
                <w:b w:val="1"/>
                <w:bCs w:val="1"/>
                <w:color w:val="1C4787"/>
              </w:rPr>
              <w:t>Total Expenses afer fees waived</w:t>
            </w:r>
          </w:p>
        </w:tc>
        <w:tc>
          <w:tcPr>
            <w:tcW w:w="500" w:type="dxa"/>
            <w:vAlign w:val="bottom"/>
            <w:tcBorders>
              <w:bottom w:val="single" w:sz="8" w:color="auto"/>
            </w:tcBorders>
            <w:shd w:val="clear" w:color="auto" w:fill="E6EEFF"/>
          </w:tcPr>
          <w:p>
            <w:pPr>
              <w:jc w:val="right"/>
              <w:ind w:right="31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43,551</w:t>
            </w:r>
          </w:p>
        </w:tc>
        <w:tc>
          <w:tcPr>
            <w:tcW w:w="100" w:type="dxa"/>
            <w:vAlign w:val="bottom"/>
            <w:tcBorders>
              <w:bottom w:val="single" w:sz="8" w:color="E6EEFF"/>
            </w:tcBorders>
            <w:shd w:val="clear" w:color="auto" w:fill="E6EEFF"/>
          </w:tcPr>
          <w:p>
            <w:pPr>
              <w:spacing w:after="0"/>
              <w:rPr>
                <w:sz w:val="20"/>
                <w:szCs w:val="20"/>
                <w:color w:val="auto"/>
              </w:rPr>
            </w:pPr>
          </w:p>
        </w:tc>
        <w:tc>
          <w:tcPr>
            <w:tcW w:w="500" w:type="dxa"/>
            <w:vAlign w:val="bottom"/>
            <w:tcBorders>
              <w:bottom w:val="single" w:sz="8" w:color="auto"/>
            </w:tcBorders>
            <w:shd w:val="clear" w:color="auto" w:fill="E6EEFF"/>
          </w:tcPr>
          <w:p>
            <w:pPr>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37,833</w:t>
            </w:r>
          </w:p>
        </w:tc>
        <w:tc>
          <w:tcPr>
            <w:tcW w:w="80" w:type="dxa"/>
            <w:vAlign w:val="bottom"/>
            <w:tcBorders>
              <w:bottom w:val="single" w:sz="8" w:color="E6EEFF"/>
            </w:tcBorders>
            <w:shd w:val="clear" w:color="auto" w:fill="E6EEFF"/>
          </w:tcPr>
          <w:p>
            <w:pPr>
              <w:spacing w:after="0"/>
              <w:rPr>
                <w:sz w:val="20"/>
                <w:szCs w:val="20"/>
                <w:color w:val="auto"/>
              </w:rPr>
            </w:pPr>
          </w:p>
        </w:tc>
        <w:tc>
          <w:tcPr>
            <w:tcW w:w="520" w:type="dxa"/>
            <w:vAlign w:val="bottom"/>
            <w:tcBorders>
              <w:bottom w:val="single" w:sz="8" w:color="auto"/>
            </w:tcBorders>
            <w:shd w:val="clear" w:color="auto" w:fill="E6EEFF"/>
          </w:tcPr>
          <w:p>
            <w:pPr>
              <w:jc w:val="right"/>
              <w:ind w:right="33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34,915</w:t>
            </w:r>
          </w:p>
        </w:tc>
      </w:tr>
      <w:tr>
        <w:trPr>
          <w:trHeight w:val="20"/>
        </w:trPr>
        <w:tc>
          <w:tcPr>
            <w:tcW w:w="6620" w:type="dxa"/>
            <w:vAlign w:val="bottom"/>
            <w:tcBorders>
              <w:top w:val="single" w:sz="8" w:color="E6EEFF"/>
            </w:tcBorders>
          </w:tcPr>
          <w:p>
            <w:pPr>
              <w:spacing w:after="0" w:line="20" w:lineRule="exact"/>
              <w:rPr>
                <w:sz w:val="1"/>
                <w:szCs w:val="1"/>
                <w:color w:val="auto"/>
              </w:rPr>
            </w:pPr>
          </w:p>
        </w:tc>
        <w:tc>
          <w:tcPr>
            <w:tcW w:w="50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50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52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Expenses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Company is managed by ACM, pursuant to a management agreement. The management fees are determined based on gross equity raised. Therefore, management fees increase when we raise capital and decline when we repurchase previously issued stock and liquidaton distributons as approved and so designated by a majority of the Board. However, because the management fee rate decreases to 0.75% per annum for gross equity raised in excess of $1.0 billion pursuant to the management agreement, the efectve management fee rate declines as equity is raised. The cost of repurchased stock and any dividends specifcally designated by the Board as liquidaton dividends will reduce the amount of gross equity raised used to calculate the monthly management fee. Realized and unrealized gains and losses do not afect the amount of gross equity raised. At December 31, 2023, December 31, 2022 and December 31, 2021, the efectve management fee, prior to management fees waived was 0.93%, 0.95% and 0.98% based on gross equity raised of $4,231,965, $3,787,042 and $3,313,937, respectvely. During the years ended December 31, 2023, December 31, 2022 and December 31, 2021 ACM voluntarily waived management fees of $6,600, $7,800 and $8,600 respectvely (see Note 8 to the consolidated fnancial statements).</w:t>
      </w:r>
    </w:p>
    <w:p>
      <w:pPr>
        <w:spacing w:after="0" w:line="169"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Compensaton includes non-executve director compensaton as well as the restricted stock units awarded to our Board and executve ofcers through ACM.</w:t>
      </w:r>
    </w:p>
    <w:p>
      <w:pPr>
        <w:spacing w:after="0" w:line="208" w:lineRule="auto"/>
        <w:rPr>
          <w:sz w:val="20"/>
          <w:szCs w:val="20"/>
          <w:color w:val="auto"/>
        </w:rPr>
      </w:pPr>
      <w:r>
        <w:rPr>
          <w:rFonts w:ascii="Calibri" w:cs="Calibri" w:eastAsia="Calibri" w:hAnsi="Calibri"/>
          <w:sz w:val="17"/>
          <w:szCs w:val="17"/>
          <w:color w:val="auto"/>
        </w:rPr>
        <w:t>The fuctuaton from year to year is due to the number of awards vestng.</w:t>
      </w:r>
    </w:p>
    <w:p>
      <w:pPr>
        <w:spacing w:after="0" w:line="219"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Other Operatng expenses include:</w:t>
      </w:r>
    </w:p>
    <w:p>
      <w:pPr>
        <w:spacing w:after="0" w:line="182" w:lineRule="exact"/>
        <w:rPr>
          <w:sz w:val="20"/>
          <w:szCs w:val="20"/>
          <w:color w:val="auto"/>
        </w:rPr>
      </w:pPr>
    </w:p>
    <w:p>
      <w:pPr>
        <w:ind w:left="620" w:hanging="307"/>
        <w:spacing w:after="0" w:line="237" w:lineRule="auto"/>
        <w:tabs>
          <w:tab w:leader="none" w:pos="613" w:val="left"/>
        </w:tabs>
        <w:numPr>
          <w:ilvl w:val="0"/>
          <w:numId w:val="21"/>
        </w:numPr>
        <w:rPr>
          <w:rFonts w:ascii="Calibri" w:cs="Calibri" w:eastAsia="Calibri" w:hAnsi="Calibri"/>
          <w:sz w:val="17"/>
          <w:szCs w:val="17"/>
          <w:color w:val="auto"/>
        </w:rPr>
      </w:pPr>
      <w:r>
        <w:rPr>
          <w:rFonts w:ascii="Calibri" w:cs="Calibri" w:eastAsia="Calibri" w:hAnsi="Calibri"/>
          <w:sz w:val="17"/>
          <w:szCs w:val="17"/>
          <w:color w:val="auto"/>
        </w:rPr>
        <w:t>Fees for market and pricing data, analytcs and risk management systems and portolio related data processing costs as well as stock exchange listng fees and similar stockholder related expenses, net of other miscellaneous income.</w:t>
      </w:r>
    </w:p>
    <w:p>
      <w:pPr>
        <w:spacing w:after="0" w:line="54"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21"/>
        </w:numPr>
        <w:rPr>
          <w:rFonts w:ascii="Calibri" w:cs="Calibri" w:eastAsia="Calibri" w:hAnsi="Calibri"/>
          <w:sz w:val="17"/>
          <w:szCs w:val="17"/>
          <w:color w:val="auto"/>
        </w:rPr>
      </w:pPr>
      <w:r>
        <w:rPr>
          <w:rFonts w:ascii="Calibri" w:cs="Calibri" w:eastAsia="Calibri" w:hAnsi="Calibri"/>
          <w:sz w:val="17"/>
          <w:szCs w:val="17"/>
          <w:color w:val="auto"/>
        </w:rPr>
        <w:t>Professional fees for securites clearing, legal, audit and consultng costs that are generally driven by the size and complexity of our securites portolio, the volume of transactons we execute and the extent of research and due diligence actvites we undertake on potental transactons.</w:t>
      </w:r>
    </w:p>
    <w:p>
      <w:pPr>
        <w:spacing w:after="0" w:line="51" w:lineRule="exact"/>
        <w:rPr>
          <w:rFonts w:ascii="Calibri" w:cs="Calibri" w:eastAsia="Calibri" w:hAnsi="Calibri"/>
          <w:sz w:val="17"/>
          <w:szCs w:val="17"/>
          <w:color w:val="auto"/>
        </w:rPr>
      </w:pPr>
    </w:p>
    <w:p>
      <w:pPr>
        <w:ind w:left="620" w:hanging="307"/>
        <w:spacing w:after="0"/>
        <w:tabs>
          <w:tab w:leader="none" w:pos="620" w:val="left"/>
        </w:tabs>
        <w:numPr>
          <w:ilvl w:val="0"/>
          <w:numId w:val="21"/>
        </w:numPr>
        <w:rPr>
          <w:rFonts w:ascii="Calibri" w:cs="Calibri" w:eastAsia="Calibri" w:hAnsi="Calibri"/>
          <w:sz w:val="17"/>
          <w:szCs w:val="17"/>
          <w:color w:val="auto"/>
        </w:rPr>
      </w:pPr>
      <w:r>
        <w:rPr>
          <w:rFonts w:ascii="Calibri" w:cs="Calibri" w:eastAsia="Calibri" w:hAnsi="Calibri"/>
          <w:sz w:val="17"/>
          <w:szCs w:val="17"/>
          <w:color w:val="auto"/>
        </w:rPr>
        <w:t>Insurance premiums for both general business and directors and ofcers liability coverage fuctuate from year to year due to changes in premiums.</w:t>
      </w:r>
    </w:p>
    <w:p>
      <w:pPr>
        <w:spacing w:after="0" w:line="1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Taxable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1115060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390525</wp:posOffset>
            </wp:positionV>
            <wp:extent cx="458470" cy="5073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5" w:name="page56"/>
    <w:bookmarkEnd w:id="55"/>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54</w:t>
      </w:r>
    </w:p>
    <w:p>
      <w:pPr>
        <w:spacing w:after="0" w:line="200" w:lineRule="exact"/>
        <w:rPr>
          <w:sz w:val="20"/>
          <w:szCs w:val="20"/>
          <w:color w:val="auto"/>
        </w:rPr>
      </w:pPr>
    </w:p>
    <w:p>
      <w:pPr>
        <w:spacing w:after="0" w:line="3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As a REIT that regularly distributes all of its taxable income, we are generally not required to pay federal income tax (see Note 13 to the consolidated fnancial statements).</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Realized gains and losses on interest rate contracts terminated before their maturity are deferred and amortzed over the remainder of the original term of the contract for REIT taxable income. At December 31, 2023 and at December 31, 2022, we had approximately $(247,349) and $(307,316), respectvely, in tax deductble expense relatng to previously terminated interest rate swap and treasury futures contracts amortzing through the years 2033 and 2032, respectvely. At December 31, 2023, we had $257,341 of net operatng loss carryforwards available for use indefnitely. Series C Preferred Stock dividends for 2023 will be treated 100.00% as fully taxable ordinary income. Common stock dividends for 2023 will be treated 52.54% as taxable ordinary income and 47.46% as non-taxable return of capital.</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Comprehensive Income (Loss)</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Comprehensive income (loss) includes all changes in equity during a period, except those resultng from investments by owners and distributons to owners (see Note 12 to the consolidated fnancial statements).</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Financial Conditon</w:t>
      </w:r>
    </w:p>
    <w:p>
      <w:pPr>
        <w:spacing w:after="0" w:line="102"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Investment In Securites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securites portolio consists of Agency Securites backed by fxed rate home loans. Our charter permits us to invest in MBS backed by fxed rate, hybrid adjustable rate and adjustable rate home loans as well as unsecured notes and bonds issued by GSEs, U.S. Treasuries and money market instruments, subject to certain income tests we must satsfy for our qualifcaton as a REIT. Our TBA Agency Securites are reported at net carrying value and are reported in Derivatves, at fair value on our consolidated balance sheets (see Note 7 to the consolidated fnancial statements).</w:t>
      </w:r>
    </w:p>
    <w:p>
      <w:pPr>
        <w:spacing w:after="0" w:line="180"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color w:val="1C4787"/>
        </w:rPr>
        <w:t>Agency Securites: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Agency Security purchase and sale transactons, including purchases and sales for forward setlement, are recorded on the trade date to the extent it is probable that we will take or make tmely physical delivery of the related securites. Gains or losses realized from the sale of securites are included in income and are determined using the specifc identfcaton method. We typically purchase Agency Securites at premium prices. The premium price paid over par value on those assets is expensed as the underlying mortgages experience repayment or prepayment. The lower the prepayment rate, the lower the amount of amortzaton expense for a partcular period. Accordingly, the yield on an asset and earnings are higher. If prepayment rates increase, the amount of amortzaton expense for a partcular period will go up. These increased prepayment rates would act to decrease the yield on an asset and would decrease earnings.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net interest income is primarily a functon of the diference between the yield on our assets and the fnancing (borrowing and hedging) cost of owning those assets. Since we tend to purchase Agency Securites at a premium to par, the main item that can afect the yield on our Agency Securites afer they are purchased is the rate at which the mortgage borrowers repay the loan. While the scheduled repayments, which are the principal porton of the homeowners’ regular monthly payments, are fairly predictable, the unscheduled repayments, which are generally refnancing of the mortgage but can also result from repurchases of delinquent, defaulted, or modifed loans, are less so. Being able to accurately estmate and manage these repayment rates is a critcal porton of the management of our securites portolio, not only for estmatng current yield but also for considering the rate of reinvestment of those proceeds into new securites, the yields on those new securites and the impact of the repayments on our hedging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433070</wp:posOffset>
            </wp:positionV>
            <wp:extent cx="458470" cy="5073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6" w:name="page57"/>
    <w:bookmarkEnd w:id="56"/>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55</w:t>
      </w:r>
    </w:p>
    <w:p>
      <w:pPr>
        <w:spacing w:after="0" w:line="200" w:lineRule="exact"/>
        <w:rPr>
          <w:sz w:val="20"/>
          <w:szCs w:val="20"/>
          <w:color w:val="auto"/>
        </w:rPr>
      </w:pPr>
    </w:p>
    <w:p>
      <w:pPr>
        <w:spacing w:after="0" w:line="302"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color w:val="1C4787"/>
        </w:rPr>
        <w:t>TBA Agency Securites: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account for TBA Agency Securites as derivatve instruments if it is reasonably possible that we will not take or make physical delivery of the Agency Security upon setlement of the contract. TBA Agency Securites are forward contracts for the purchase (“long positon”) or sale (“short positon”) of Agency Securites at a predetermined price, face amount, issuer, coupon and stated maturity on an agreed-upon future date. The specifc Agency Securites delivered pursuant to the contract upon the setlement date, published each month by the Securites Industry and Financial Markets Associaton, are not known at the tme of the transacton. We estmate the fair value of TBA Agency Securites based on similar methods used to value our Agency Securites. TBA Agency Securites are included in the table below on a gross basis as they can be used to establish and fnance portolio positons in Agency Securites</w:t>
      </w:r>
    </w:p>
    <w:p>
      <w:pPr>
        <w:spacing w:after="0" w:line="181"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The tables below summarize certain characteristcs of our investments in securites at December 31, 2023 and December 31, 2022.</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2100" w:type="dxa"/>
            <w:vAlign w:val="bottom"/>
            <w:shd w:val="clear" w:color="auto" w:fill="E6EEFF"/>
          </w:tcPr>
          <w:p>
            <w:pPr>
              <w:spacing w:after="0"/>
              <w:rPr>
                <w:sz w:val="18"/>
                <w:szCs w:val="18"/>
                <w:color w:val="auto"/>
              </w:rPr>
            </w:pPr>
          </w:p>
        </w:tc>
        <w:tc>
          <w:tcPr>
            <w:tcW w:w="360" w:type="dxa"/>
            <w:vAlign w:val="bottom"/>
            <w:shd w:val="clear" w:color="auto" w:fill="E6EEFF"/>
          </w:tcPr>
          <w:p>
            <w:pPr>
              <w:spacing w:after="0"/>
              <w:rPr>
                <w:sz w:val="18"/>
                <w:szCs w:val="18"/>
                <w:color w:val="auto"/>
              </w:rPr>
            </w:pPr>
          </w:p>
        </w:tc>
        <w:tc>
          <w:tcPr>
            <w:tcW w:w="960" w:type="dxa"/>
            <w:vAlign w:val="bottom"/>
            <w:shd w:val="clear" w:color="auto" w:fill="E6EEFF"/>
          </w:tcPr>
          <w:p>
            <w:pPr>
              <w:spacing w:after="0"/>
              <w:rPr>
                <w:sz w:val="18"/>
                <w:szCs w:val="18"/>
                <w:color w:val="auto"/>
              </w:rPr>
            </w:pPr>
          </w:p>
        </w:tc>
        <w:tc>
          <w:tcPr>
            <w:tcW w:w="8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1200" w:type="dxa"/>
            <w:vAlign w:val="bottom"/>
            <w:shd w:val="clear" w:color="auto" w:fill="E6EEFF"/>
          </w:tcPr>
          <w:p>
            <w:pPr>
              <w:spacing w:after="0"/>
              <w:rPr>
                <w:sz w:val="18"/>
                <w:szCs w:val="18"/>
                <w:color w:val="auto"/>
              </w:rPr>
            </w:pPr>
          </w:p>
        </w:tc>
        <w:tc>
          <w:tcPr>
            <w:tcW w:w="80" w:type="dxa"/>
            <w:vAlign w:val="bottom"/>
            <w:shd w:val="clear" w:color="auto" w:fill="E6EEFF"/>
          </w:tcPr>
          <w:p>
            <w:pPr>
              <w:spacing w:after="0"/>
              <w:rPr>
                <w:sz w:val="18"/>
                <w:szCs w:val="18"/>
                <w:color w:val="auto"/>
              </w:rPr>
            </w:pPr>
          </w:p>
        </w:tc>
        <w:tc>
          <w:tcPr>
            <w:tcW w:w="180" w:type="dxa"/>
            <w:vAlign w:val="bottom"/>
            <w:shd w:val="clear" w:color="auto" w:fill="E6EEFF"/>
          </w:tcPr>
          <w:p>
            <w:pPr>
              <w:spacing w:after="0"/>
              <w:rPr>
                <w:sz w:val="18"/>
                <w:szCs w:val="18"/>
                <w:color w:val="auto"/>
              </w:rPr>
            </w:pPr>
          </w:p>
        </w:tc>
        <w:tc>
          <w:tcPr>
            <w:tcW w:w="110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200" w:type="dxa"/>
            <w:vAlign w:val="bottom"/>
            <w:shd w:val="clear" w:color="auto" w:fill="E6EEFF"/>
          </w:tcPr>
          <w:p>
            <w:pPr>
              <w:spacing w:after="0"/>
              <w:rPr>
                <w:sz w:val="18"/>
                <w:szCs w:val="18"/>
                <w:color w:val="auto"/>
              </w:rPr>
            </w:pPr>
          </w:p>
        </w:tc>
        <w:tc>
          <w:tcPr>
            <w:tcW w:w="112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102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1280" w:type="dxa"/>
            <w:vAlign w:val="bottom"/>
            <w:gridSpan w:val="2"/>
            <w:shd w:val="clear" w:color="auto" w:fill="E6EEFF"/>
          </w:tcPr>
          <w:p>
            <w:pPr>
              <w:jc w:val="center"/>
              <w:ind w:right="120"/>
              <w:spacing w:after="0"/>
              <w:rPr>
                <w:sz w:val="20"/>
                <w:szCs w:val="20"/>
                <w:color w:val="auto"/>
              </w:rPr>
            </w:pPr>
            <w:r>
              <w:rPr>
                <w:rFonts w:ascii="Calibri" w:cs="Calibri" w:eastAsia="Calibri" w:hAnsi="Calibri"/>
                <w:sz w:val="17"/>
                <w:szCs w:val="17"/>
                <w:b w:val="1"/>
                <w:bCs w:val="1"/>
                <w:color w:val="1C4787"/>
                <w:w w:val="98"/>
              </w:rPr>
              <w:t>Weighted</w:t>
            </w:r>
          </w:p>
        </w:tc>
        <w:tc>
          <w:tcPr>
            <w:tcW w:w="1060" w:type="dxa"/>
            <w:vAlign w:val="bottom"/>
            <w:shd w:val="clear" w:color="auto" w:fill="E6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shd w:val="clear" w:color="auto" w:fill="E6EEFF"/>
          </w:tcPr>
          <w:p>
            <w:pPr>
              <w:spacing w:after="0"/>
              <w:rPr>
                <w:sz w:val="14"/>
                <w:szCs w:val="14"/>
                <w:color w:val="auto"/>
              </w:rPr>
            </w:pPr>
          </w:p>
        </w:tc>
        <w:tc>
          <w:tcPr>
            <w:tcW w:w="360" w:type="dxa"/>
            <w:vAlign w:val="bottom"/>
            <w:shd w:val="clear" w:color="auto" w:fill="E6EEFF"/>
          </w:tcPr>
          <w:p>
            <w:pPr>
              <w:spacing w:after="0"/>
              <w:rPr>
                <w:sz w:val="14"/>
                <w:szCs w:val="14"/>
                <w:color w:val="auto"/>
              </w:rPr>
            </w:pPr>
          </w:p>
        </w:tc>
        <w:tc>
          <w:tcPr>
            <w:tcW w:w="960" w:type="dxa"/>
            <w:vAlign w:val="bottom"/>
            <w:shd w:val="clear" w:color="auto" w:fill="E6EEFF"/>
          </w:tcPr>
          <w:p>
            <w:pPr>
              <w:spacing w:after="0"/>
              <w:rPr>
                <w:sz w:val="14"/>
                <w:szCs w:val="14"/>
                <w:color w:val="auto"/>
              </w:rPr>
            </w:pPr>
          </w:p>
        </w:tc>
        <w:tc>
          <w:tcPr>
            <w:tcW w:w="8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200" w:type="dxa"/>
            <w:vAlign w:val="bottom"/>
            <w:shd w:val="clear" w:color="auto" w:fill="E6EEFF"/>
          </w:tcPr>
          <w:p>
            <w:pPr>
              <w:spacing w:after="0"/>
              <w:rPr>
                <w:sz w:val="14"/>
                <w:szCs w:val="14"/>
                <w:color w:val="auto"/>
              </w:rPr>
            </w:pPr>
          </w:p>
        </w:tc>
        <w:tc>
          <w:tcPr>
            <w:tcW w:w="80" w:type="dxa"/>
            <w:vAlign w:val="bottom"/>
            <w:shd w:val="clear" w:color="auto" w:fill="E6EEFF"/>
          </w:tcPr>
          <w:p>
            <w:pPr>
              <w:spacing w:after="0"/>
              <w:rPr>
                <w:sz w:val="14"/>
                <w:szCs w:val="14"/>
                <w:color w:val="auto"/>
              </w:rPr>
            </w:pPr>
          </w:p>
        </w:tc>
        <w:tc>
          <w:tcPr>
            <w:tcW w:w="1400" w:type="dxa"/>
            <w:vAlign w:val="bottom"/>
            <w:gridSpan w:val="3"/>
            <w:shd w:val="clear" w:color="auto" w:fill="E6EEFF"/>
          </w:tcPr>
          <w:p>
            <w:pPr>
              <w:jc w:val="center"/>
              <w:ind w:right="120"/>
              <w:spacing w:after="0" w:line="167" w:lineRule="exact"/>
              <w:rPr>
                <w:sz w:val="20"/>
                <w:szCs w:val="20"/>
                <w:color w:val="auto"/>
              </w:rPr>
            </w:pPr>
            <w:r>
              <w:rPr>
                <w:rFonts w:ascii="Calibri" w:cs="Calibri" w:eastAsia="Calibri" w:hAnsi="Calibri"/>
                <w:sz w:val="17"/>
                <w:szCs w:val="17"/>
                <w:b w:val="1"/>
                <w:bCs w:val="1"/>
                <w:color w:val="1C4787"/>
                <w:w w:val="97"/>
              </w:rPr>
              <w:t>Gross Unrealized</w:t>
            </w:r>
          </w:p>
        </w:tc>
        <w:tc>
          <w:tcPr>
            <w:tcW w:w="200" w:type="dxa"/>
            <w:vAlign w:val="bottom"/>
            <w:shd w:val="clear" w:color="auto" w:fill="E6EEFF"/>
          </w:tcPr>
          <w:p>
            <w:pPr>
              <w:spacing w:after="0"/>
              <w:rPr>
                <w:sz w:val="14"/>
                <w:szCs w:val="14"/>
                <w:color w:val="auto"/>
              </w:rPr>
            </w:pPr>
          </w:p>
        </w:tc>
        <w:tc>
          <w:tcPr>
            <w:tcW w:w="112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02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280" w:type="dxa"/>
            <w:vAlign w:val="bottom"/>
            <w:gridSpan w:val="2"/>
            <w:shd w:val="clear" w:color="auto" w:fill="E6EEFF"/>
          </w:tcPr>
          <w:p>
            <w:pPr>
              <w:jc w:val="right"/>
              <w:ind w:right="140"/>
              <w:spacing w:after="0" w:line="167" w:lineRule="exact"/>
              <w:rPr>
                <w:sz w:val="20"/>
                <w:szCs w:val="20"/>
                <w:color w:val="auto"/>
              </w:rPr>
            </w:pPr>
            <w:r>
              <w:rPr>
                <w:rFonts w:ascii="Calibri" w:cs="Calibri" w:eastAsia="Calibri" w:hAnsi="Calibri"/>
                <w:sz w:val="17"/>
                <w:szCs w:val="17"/>
                <w:b w:val="1"/>
                <w:bCs w:val="1"/>
                <w:color w:val="1C4787"/>
                <w:w w:val="95"/>
              </w:rPr>
              <w:t>Average Months</w:t>
            </w:r>
          </w:p>
        </w:tc>
        <w:tc>
          <w:tcPr>
            <w:tcW w:w="1060" w:type="dxa"/>
            <w:vAlign w:val="bottom"/>
            <w:shd w:val="clear" w:color="auto" w:fill="E6EEFF"/>
          </w:tcPr>
          <w:p>
            <w:pPr>
              <w:jc w:val="right"/>
              <w:ind w:right="94"/>
              <w:spacing w:after="0" w:line="167" w:lineRule="exact"/>
              <w:rPr>
                <w:sz w:val="20"/>
                <w:szCs w:val="20"/>
                <w:color w:val="auto"/>
              </w:rPr>
            </w:pPr>
            <w:r>
              <w:rPr>
                <w:rFonts w:ascii="Calibri" w:cs="Calibri" w:eastAsia="Calibri" w:hAnsi="Calibri"/>
                <w:sz w:val="17"/>
                <w:szCs w:val="17"/>
                <w:b w:val="1"/>
                <w:bCs w:val="1"/>
                <w:color w:val="1C4787"/>
              </w:rPr>
              <w:t>Percent of</w:t>
            </w:r>
          </w:p>
        </w:tc>
        <w:tc>
          <w:tcPr>
            <w:tcW w:w="0" w:type="dxa"/>
            <w:vAlign w:val="bottom"/>
          </w:tcPr>
          <w:p>
            <w:pPr>
              <w:spacing w:after="0"/>
              <w:rPr>
                <w:sz w:val="1"/>
                <w:szCs w:val="1"/>
                <w:color w:val="auto"/>
              </w:rPr>
            </w:pPr>
          </w:p>
        </w:tc>
      </w:tr>
      <w:tr>
        <w:trPr>
          <w:trHeight w:val="240"/>
        </w:trPr>
        <w:tc>
          <w:tcPr>
            <w:tcW w:w="2100" w:type="dxa"/>
            <w:vAlign w:val="bottom"/>
            <w:shd w:val="clear" w:color="auto" w:fill="E6EEFF"/>
          </w:tcPr>
          <w:p>
            <w:pPr>
              <w:ind w:left="320"/>
              <w:spacing w:after="0"/>
              <w:rPr>
                <w:sz w:val="20"/>
                <w:szCs w:val="20"/>
                <w:color w:val="auto"/>
              </w:rPr>
            </w:pPr>
            <w:r>
              <w:rPr>
                <w:rFonts w:ascii="Calibri" w:cs="Calibri" w:eastAsia="Calibri" w:hAnsi="Calibri"/>
                <w:sz w:val="17"/>
                <w:szCs w:val="17"/>
                <w:b w:val="1"/>
                <w:bCs w:val="1"/>
                <w:color w:val="1C4787"/>
              </w:rPr>
              <w:t>December 31, 2023</w:t>
            </w:r>
          </w:p>
        </w:tc>
        <w:tc>
          <w:tcPr>
            <w:tcW w:w="1400" w:type="dxa"/>
            <w:vAlign w:val="bottom"/>
            <w:gridSpan w:val="3"/>
            <w:shd w:val="clear" w:color="auto" w:fill="E6EEFF"/>
          </w:tcPr>
          <w:p>
            <w:pPr>
              <w:ind w:left="40"/>
              <w:spacing w:after="0"/>
              <w:rPr>
                <w:sz w:val="20"/>
                <w:szCs w:val="20"/>
                <w:color w:val="auto"/>
              </w:rPr>
            </w:pPr>
            <w:r>
              <w:rPr>
                <w:rFonts w:ascii="Calibri" w:cs="Calibri" w:eastAsia="Calibri" w:hAnsi="Calibri"/>
                <w:sz w:val="17"/>
                <w:szCs w:val="17"/>
                <w:b w:val="1"/>
                <w:bCs w:val="1"/>
                <w:color w:val="1C4787"/>
              </w:rPr>
              <w:t>Principal Amount</w:t>
            </w:r>
          </w:p>
        </w:tc>
        <w:tc>
          <w:tcPr>
            <w:tcW w:w="120" w:type="dxa"/>
            <w:vAlign w:val="bottom"/>
            <w:shd w:val="clear" w:color="auto" w:fill="E6EEFF"/>
          </w:tcPr>
          <w:p>
            <w:pPr>
              <w:spacing w:after="0"/>
              <w:rPr>
                <w:sz w:val="20"/>
                <w:szCs w:val="20"/>
                <w:color w:val="auto"/>
              </w:rPr>
            </w:pPr>
          </w:p>
        </w:tc>
        <w:tc>
          <w:tcPr>
            <w:tcW w:w="1280" w:type="dxa"/>
            <w:vAlign w:val="bottom"/>
            <w:gridSpan w:val="2"/>
            <w:shd w:val="clear" w:color="auto" w:fill="E6EEFF"/>
          </w:tcPr>
          <w:p>
            <w:pPr>
              <w:spacing w:after="0"/>
              <w:rPr>
                <w:sz w:val="20"/>
                <w:szCs w:val="20"/>
                <w:color w:val="auto"/>
              </w:rPr>
            </w:pPr>
            <w:r>
              <w:rPr>
                <w:rFonts w:ascii="Calibri" w:cs="Calibri" w:eastAsia="Calibri" w:hAnsi="Calibri"/>
                <w:sz w:val="17"/>
                <w:szCs w:val="17"/>
                <w:b w:val="1"/>
                <w:bCs w:val="1"/>
                <w:color w:val="1C4787"/>
              </w:rPr>
              <w:t>Amortzed Cost</w:t>
            </w:r>
          </w:p>
        </w:tc>
        <w:tc>
          <w:tcPr>
            <w:tcW w:w="180" w:type="dxa"/>
            <w:vAlign w:val="bottom"/>
            <w:shd w:val="clear" w:color="auto" w:fill="E6EEFF"/>
          </w:tcPr>
          <w:p>
            <w:pPr>
              <w:spacing w:after="0"/>
              <w:rPr>
                <w:sz w:val="20"/>
                <w:szCs w:val="20"/>
                <w:color w:val="auto"/>
              </w:rPr>
            </w:pPr>
          </w:p>
        </w:tc>
        <w:tc>
          <w:tcPr>
            <w:tcW w:w="1220" w:type="dxa"/>
            <w:vAlign w:val="bottom"/>
            <w:gridSpan w:val="2"/>
            <w:shd w:val="clear" w:color="auto" w:fill="E6EEFF"/>
          </w:tcPr>
          <w:p>
            <w:pPr>
              <w:jc w:val="center"/>
              <w:ind w:right="300"/>
              <w:spacing w:after="0" w:line="205" w:lineRule="exact"/>
              <w:rPr>
                <w:sz w:val="20"/>
                <w:szCs w:val="20"/>
                <w:color w:val="auto"/>
              </w:rPr>
            </w:pPr>
            <w:r>
              <w:rPr>
                <w:rFonts w:ascii="Calibri" w:cs="Calibri" w:eastAsia="Calibri" w:hAnsi="Calibri"/>
                <w:sz w:val="17"/>
                <w:szCs w:val="17"/>
                <w:b w:val="1"/>
                <w:bCs w:val="1"/>
                <w:color w:val="1C4787"/>
                <w:w w:val="98"/>
              </w:rPr>
              <w:t>Gain (Loss)</w:t>
            </w:r>
          </w:p>
        </w:tc>
        <w:tc>
          <w:tcPr>
            <w:tcW w:w="200" w:type="dxa"/>
            <w:vAlign w:val="bottom"/>
            <w:shd w:val="clear" w:color="auto" w:fill="E6EEFF"/>
          </w:tcPr>
          <w:p>
            <w:pPr>
              <w:spacing w:after="0"/>
              <w:rPr>
                <w:sz w:val="20"/>
                <w:szCs w:val="20"/>
                <w:color w:val="auto"/>
              </w:rPr>
            </w:pPr>
          </w:p>
        </w:tc>
        <w:tc>
          <w:tcPr>
            <w:tcW w:w="1120" w:type="dxa"/>
            <w:vAlign w:val="bottom"/>
            <w:shd w:val="clear" w:color="auto" w:fill="E6EEFF"/>
          </w:tcPr>
          <w:p>
            <w:pPr>
              <w:jc w:val="right"/>
              <w:ind w:right="234"/>
              <w:spacing w:after="0"/>
              <w:rPr>
                <w:sz w:val="20"/>
                <w:szCs w:val="20"/>
                <w:color w:val="auto"/>
              </w:rPr>
            </w:pPr>
            <w:r>
              <w:rPr>
                <w:rFonts w:ascii="Calibri" w:cs="Calibri" w:eastAsia="Calibri" w:hAnsi="Calibri"/>
                <w:sz w:val="17"/>
                <w:szCs w:val="17"/>
                <w:b w:val="1"/>
                <w:bCs w:val="1"/>
                <w:color w:val="1C4787"/>
              </w:rPr>
              <w:t>Fair Value</w:t>
            </w:r>
          </w:p>
        </w:tc>
        <w:tc>
          <w:tcPr>
            <w:tcW w:w="120" w:type="dxa"/>
            <w:vAlign w:val="bottom"/>
            <w:shd w:val="clear" w:color="auto" w:fill="E6EEFF"/>
          </w:tcPr>
          <w:p>
            <w:pPr>
              <w:spacing w:after="0"/>
              <w:rPr>
                <w:sz w:val="20"/>
                <w:szCs w:val="20"/>
                <w:color w:val="auto"/>
              </w:rPr>
            </w:pPr>
          </w:p>
        </w:tc>
        <w:tc>
          <w:tcPr>
            <w:tcW w:w="1140" w:type="dxa"/>
            <w:vAlign w:val="bottom"/>
            <w:gridSpan w:val="2"/>
            <w:shd w:val="clear" w:color="auto" w:fill="E6EEFF"/>
          </w:tcPr>
          <w:p>
            <w:pPr>
              <w:ind w:left="300"/>
              <w:spacing w:after="0" w:line="240" w:lineRule="exact"/>
              <w:rPr>
                <w:sz w:val="20"/>
                <w:szCs w:val="20"/>
                <w:color w:val="auto"/>
              </w:rPr>
            </w:pPr>
            <w:r>
              <w:rPr>
                <w:rFonts w:ascii="Calibri" w:cs="Calibri" w:eastAsia="Calibri" w:hAnsi="Calibri"/>
                <w:sz w:val="17"/>
                <w:szCs w:val="17"/>
                <w:b w:val="1"/>
                <w:bCs w:val="1"/>
                <w:color w:val="1C4787"/>
              </w:rPr>
              <w:t xml:space="preserve">CPR </w:t>
            </w:r>
            <w:r>
              <w:rPr>
                <w:rFonts w:ascii="Calibri" w:cs="Calibri" w:eastAsia="Calibri" w:hAnsi="Calibri"/>
                <w:sz w:val="22"/>
                <w:szCs w:val="22"/>
                <w:b w:val="1"/>
                <w:bCs w:val="1"/>
                <w:color w:val="1C4787"/>
                <w:vertAlign w:val="superscript"/>
              </w:rPr>
              <w:t>(1)</w:t>
            </w:r>
          </w:p>
        </w:tc>
        <w:tc>
          <w:tcPr>
            <w:tcW w:w="1280" w:type="dxa"/>
            <w:vAlign w:val="bottom"/>
            <w:gridSpan w:val="2"/>
            <w:shd w:val="clear" w:color="auto" w:fill="E6EEFF"/>
          </w:tcPr>
          <w:p>
            <w:pPr>
              <w:jc w:val="center"/>
              <w:ind w:right="120"/>
              <w:spacing w:after="0"/>
              <w:rPr>
                <w:sz w:val="20"/>
                <w:szCs w:val="20"/>
                <w:color w:val="auto"/>
              </w:rPr>
            </w:pPr>
            <w:r>
              <w:rPr>
                <w:rFonts w:ascii="Calibri" w:cs="Calibri" w:eastAsia="Calibri" w:hAnsi="Calibri"/>
                <w:sz w:val="17"/>
                <w:szCs w:val="17"/>
                <w:b w:val="1"/>
                <w:bCs w:val="1"/>
                <w:color w:val="1C4787"/>
                <w:w w:val="98"/>
              </w:rPr>
              <w:t>to Maturity</w:t>
            </w:r>
          </w:p>
        </w:tc>
        <w:tc>
          <w:tcPr>
            <w:tcW w:w="1060" w:type="dxa"/>
            <w:vAlign w:val="bottom"/>
            <w:shd w:val="clear" w:color="auto" w:fill="E6EEFF"/>
          </w:tcPr>
          <w:p>
            <w:pPr>
              <w:jc w:val="right"/>
              <w:ind w:right="274"/>
              <w:spacing w:after="0" w:line="205" w:lineRule="exact"/>
              <w:rPr>
                <w:sz w:val="20"/>
                <w:szCs w:val="20"/>
                <w:color w:val="auto"/>
              </w:rPr>
            </w:pPr>
            <w:r>
              <w:rPr>
                <w:rFonts w:ascii="Calibri" w:cs="Calibri" w:eastAsia="Calibri" w:hAnsi="Calibri"/>
                <w:sz w:val="17"/>
                <w:szCs w:val="17"/>
                <w:b w:val="1"/>
                <w:bCs w:val="1"/>
                <w:color w:val="1C4787"/>
              </w:rPr>
              <w:t>Total</w:t>
            </w:r>
          </w:p>
        </w:tc>
        <w:tc>
          <w:tcPr>
            <w:tcW w:w="0" w:type="dxa"/>
            <w:vAlign w:val="bottom"/>
          </w:tcPr>
          <w:p>
            <w:pPr>
              <w:spacing w:after="0"/>
              <w:rPr>
                <w:sz w:val="1"/>
                <w:szCs w:val="1"/>
                <w:color w:val="auto"/>
              </w:rPr>
            </w:pPr>
          </w:p>
        </w:tc>
      </w:tr>
      <w:tr>
        <w:trPr>
          <w:trHeight w:val="205"/>
        </w:trPr>
        <w:tc>
          <w:tcPr>
            <w:tcW w:w="2460" w:type="dxa"/>
            <w:vAlign w:val="bottom"/>
            <w:tcBorders>
              <w:top w:val="single" w:sz="8" w:color="auto"/>
            </w:tcBorders>
            <w:gridSpan w:val="2"/>
          </w:tcPr>
          <w:p>
            <w:pPr>
              <w:ind w:left="20"/>
              <w:spacing w:after="0" w:line="205" w:lineRule="exact"/>
              <w:rPr>
                <w:sz w:val="20"/>
                <w:szCs w:val="20"/>
                <w:color w:val="auto"/>
              </w:rPr>
            </w:pPr>
            <w:r>
              <w:rPr>
                <w:rFonts w:ascii="Calibri" w:cs="Calibri" w:eastAsia="Calibri" w:hAnsi="Calibri"/>
                <w:sz w:val="17"/>
                <w:szCs w:val="17"/>
                <w:b w:val="1"/>
                <w:bCs w:val="1"/>
                <w:color w:val="1C4787"/>
              </w:rPr>
              <w:t>Agency Fixed Rates ≥ 181 months</w:t>
            </w: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100" w:type="dxa"/>
            <w:vAlign w:val="bottom"/>
            <w:shd w:val="clear" w:color="auto" w:fill="E6EEFF"/>
          </w:tcPr>
          <w:p>
            <w:pPr>
              <w:ind w:left="120"/>
              <w:spacing w:after="0"/>
              <w:rPr>
                <w:sz w:val="20"/>
                <w:szCs w:val="20"/>
                <w:color w:val="auto"/>
              </w:rPr>
            </w:pPr>
            <w:r>
              <w:rPr>
                <w:rFonts w:ascii="Calibri" w:cs="Calibri" w:eastAsia="Calibri" w:hAnsi="Calibri"/>
                <w:sz w:val="17"/>
                <w:szCs w:val="17"/>
                <w:color w:val="auto"/>
              </w:rPr>
              <w:t>3.5%</w:t>
            </w:r>
          </w:p>
        </w:tc>
        <w:tc>
          <w:tcPr>
            <w:tcW w:w="360" w:type="dxa"/>
            <w:vAlign w:val="bottom"/>
            <w:shd w:val="clear" w:color="auto" w:fill="E6EEFF"/>
          </w:tcPr>
          <w:p>
            <w:pPr>
              <w:spacing w:after="0"/>
              <w:rPr>
                <w:sz w:val="19"/>
                <w:szCs w:val="19"/>
                <w:color w:val="auto"/>
              </w:rPr>
            </w:pPr>
          </w:p>
        </w:tc>
        <w:tc>
          <w:tcPr>
            <w:tcW w:w="9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1,181,289</w:t>
            </w:r>
          </w:p>
        </w:tc>
        <w:tc>
          <w:tcPr>
            <w:tcW w:w="8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2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1,157,554</w:t>
            </w:r>
          </w:p>
        </w:tc>
        <w:tc>
          <w:tcPr>
            <w:tcW w:w="80" w:type="dxa"/>
            <w:vAlign w:val="bottom"/>
            <w:shd w:val="clear" w:color="auto" w:fill="E6EEFF"/>
          </w:tcPr>
          <w:p>
            <w:pPr>
              <w:spacing w:after="0"/>
              <w:rPr>
                <w:sz w:val="19"/>
                <w:szCs w:val="19"/>
                <w:color w:val="auto"/>
              </w:rPr>
            </w:pPr>
          </w:p>
        </w:tc>
        <w:tc>
          <w:tcPr>
            <w:tcW w:w="180" w:type="dxa"/>
            <w:vAlign w:val="bottom"/>
            <w:shd w:val="clear" w:color="auto" w:fill="E6EEFF"/>
          </w:tcPr>
          <w:p>
            <w:pPr>
              <w:spacing w:after="0"/>
              <w:rPr>
                <w:sz w:val="19"/>
                <w:szCs w:val="19"/>
                <w:color w:val="auto"/>
              </w:rPr>
            </w:pPr>
          </w:p>
        </w:tc>
        <w:tc>
          <w:tcPr>
            <w:tcW w:w="11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(70,416)</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1,087,138</w:t>
            </w:r>
          </w:p>
        </w:tc>
        <w:tc>
          <w:tcPr>
            <w:tcW w:w="114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3.7 %</w:t>
            </w:r>
          </w:p>
        </w:tc>
        <w:tc>
          <w:tcPr>
            <w:tcW w:w="120" w:type="dxa"/>
            <w:vAlign w:val="bottom"/>
            <w:shd w:val="clear" w:color="auto" w:fill="E6EEFF"/>
          </w:tcPr>
          <w:p>
            <w:pPr>
              <w:spacing w:after="0"/>
              <w:rPr>
                <w:sz w:val="19"/>
                <w:szCs w:val="19"/>
                <w:color w:val="auto"/>
              </w:rPr>
            </w:pPr>
          </w:p>
        </w:tc>
        <w:tc>
          <w:tcPr>
            <w:tcW w:w="11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340</w:t>
            </w:r>
          </w:p>
        </w:tc>
        <w:tc>
          <w:tcPr>
            <w:tcW w:w="100" w:type="dxa"/>
            <w:vAlign w:val="bottom"/>
            <w:shd w:val="clear" w:color="auto" w:fill="E6EEFF"/>
          </w:tcPr>
          <w:p>
            <w:pPr>
              <w:spacing w:after="0"/>
              <w:rPr>
                <w:sz w:val="19"/>
                <w:szCs w:val="19"/>
                <w:color w:val="auto"/>
              </w:rPr>
            </w:pPr>
          </w:p>
        </w:tc>
        <w:tc>
          <w:tcPr>
            <w:tcW w:w="10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9.5 %</w:t>
            </w:r>
          </w:p>
        </w:tc>
        <w:tc>
          <w:tcPr>
            <w:tcW w:w="0" w:type="dxa"/>
            <w:vAlign w:val="bottom"/>
          </w:tcPr>
          <w:p>
            <w:pPr>
              <w:spacing w:after="0"/>
              <w:rPr>
                <w:sz w:val="1"/>
                <w:szCs w:val="1"/>
                <w:color w:val="auto"/>
              </w:rPr>
            </w:pPr>
          </w:p>
        </w:tc>
      </w:tr>
      <w:tr>
        <w:trPr>
          <w:trHeight w:val="212"/>
        </w:trPr>
        <w:tc>
          <w:tcPr>
            <w:tcW w:w="2100" w:type="dxa"/>
            <w:vAlign w:val="bottom"/>
          </w:tcPr>
          <w:p>
            <w:pPr>
              <w:ind w:left="120"/>
              <w:spacing w:after="0" w:line="205" w:lineRule="exact"/>
              <w:rPr>
                <w:sz w:val="20"/>
                <w:szCs w:val="20"/>
                <w:color w:val="auto"/>
              </w:rPr>
            </w:pPr>
            <w:r>
              <w:rPr>
                <w:rFonts w:ascii="Calibri" w:cs="Calibri" w:eastAsia="Calibri" w:hAnsi="Calibri"/>
                <w:sz w:val="17"/>
                <w:szCs w:val="17"/>
                <w:color w:val="auto"/>
              </w:rPr>
              <w:t>4.0%</w:t>
            </w:r>
          </w:p>
        </w:tc>
        <w:tc>
          <w:tcPr>
            <w:tcW w:w="360" w:type="dxa"/>
            <w:vAlign w:val="bottom"/>
          </w:tcPr>
          <w:p>
            <w:pPr>
              <w:spacing w:after="0"/>
              <w:rPr>
                <w:sz w:val="18"/>
                <w:szCs w:val="18"/>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1,130,222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line="205" w:lineRule="exact"/>
              <w:rPr>
                <w:sz w:val="20"/>
                <w:szCs w:val="20"/>
                <w:color w:val="auto"/>
              </w:rPr>
            </w:pPr>
            <w:r>
              <w:rPr>
                <w:rFonts w:ascii="Calibri" w:cs="Calibri" w:eastAsia="Calibri" w:hAnsi="Calibri"/>
                <w:sz w:val="17"/>
                <w:szCs w:val="17"/>
                <w:color w:val="auto"/>
              </w:rPr>
              <w:t>1,123,331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(49,895)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1,073,436</w:t>
            </w:r>
          </w:p>
        </w:tc>
        <w:tc>
          <w:tcPr>
            <w:tcW w:w="1140" w:type="dxa"/>
            <w:vAlign w:val="bottom"/>
            <w:gridSpan w:val="2"/>
          </w:tcPr>
          <w:p>
            <w:pPr>
              <w:jc w:val="right"/>
              <w:spacing w:after="0" w:line="205" w:lineRule="exact"/>
              <w:rPr>
                <w:sz w:val="20"/>
                <w:szCs w:val="20"/>
                <w:color w:val="auto"/>
              </w:rPr>
            </w:pPr>
            <w:r>
              <w:rPr>
                <w:rFonts w:ascii="Calibri" w:cs="Calibri" w:eastAsia="Calibri" w:hAnsi="Calibri"/>
                <w:sz w:val="17"/>
                <w:szCs w:val="17"/>
                <w:color w:val="auto"/>
              </w:rPr>
              <w:t>4.5 %</w:t>
            </w:r>
          </w:p>
        </w:tc>
        <w:tc>
          <w:tcPr>
            <w:tcW w:w="120" w:type="dxa"/>
            <w:vAlign w:val="bottom"/>
          </w:tcPr>
          <w:p>
            <w:pPr>
              <w:spacing w:after="0"/>
              <w:rPr>
                <w:sz w:val="18"/>
                <w:szCs w:val="18"/>
                <w:color w:val="auto"/>
              </w:rPr>
            </w:pPr>
          </w:p>
        </w:tc>
        <w:tc>
          <w:tcPr>
            <w:tcW w:w="1180" w:type="dxa"/>
            <w:vAlign w:val="bottom"/>
          </w:tcPr>
          <w:p>
            <w:pPr>
              <w:jc w:val="right"/>
              <w:spacing w:after="0" w:line="205" w:lineRule="exact"/>
              <w:rPr>
                <w:sz w:val="20"/>
                <w:szCs w:val="20"/>
                <w:color w:val="auto"/>
              </w:rPr>
            </w:pPr>
            <w:r>
              <w:rPr>
                <w:rFonts w:ascii="Calibri" w:cs="Calibri" w:eastAsia="Calibri" w:hAnsi="Calibri"/>
                <w:sz w:val="17"/>
                <w:szCs w:val="17"/>
                <w:color w:val="auto"/>
              </w:rPr>
              <w:t>341</w:t>
            </w:r>
          </w:p>
        </w:tc>
        <w:tc>
          <w:tcPr>
            <w:tcW w:w="100" w:type="dxa"/>
            <w:vAlign w:val="bottom"/>
          </w:tcPr>
          <w:p>
            <w:pPr>
              <w:spacing w:after="0"/>
              <w:rPr>
                <w:sz w:val="18"/>
                <w:szCs w:val="18"/>
                <w:color w:val="auto"/>
              </w:rPr>
            </w:pPr>
          </w:p>
        </w:tc>
        <w:tc>
          <w:tcPr>
            <w:tcW w:w="1060" w:type="dxa"/>
            <w:vAlign w:val="bottom"/>
          </w:tcPr>
          <w:p>
            <w:pPr>
              <w:jc w:val="right"/>
              <w:ind w:right="114"/>
              <w:spacing w:after="0" w:line="205" w:lineRule="exact"/>
              <w:rPr>
                <w:sz w:val="20"/>
                <w:szCs w:val="20"/>
                <w:color w:val="auto"/>
              </w:rPr>
            </w:pPr>
            <w:r>
              <w:rPr>
                <w:rFonts w:ascii="Calibri" w:cs="Calibri" w:eastAsia="Calibri" w:hAnsi="Calibri"/>
                <w:sz w:val="17"/>
                <w:szCs w:val="17"/>
                <w:color w:val="auto"/>
              </w:rPr>
              <w:t>9.4</w:t>
            </w:r>
          </w:p>
        </w:tc>
        <w:tc>
          <w:tcPr>
            <w:tcW w:w="0" w:type="dxa"/>
            <w:vAlign w:val="bottom"/>
          </w:tcPr>
          <w:p>
            <w:pPr>
              <w:spacing w:after="0"/>
              <w:rPr>
                <w:sz w:val="1"/>
                <w:szCs w:val="1"/>
                <w:color w:val="auto"/>
              </w:rPr>
            </w:pPr>
          </w:p>
        </w:tc>
      </w:tr>
      <w:tr>
        <w:trPr>
          <w:trHeight w:val="226"/>
        </w:trPr>
        <w:tc>
          <w:tcPr>
            <w:tcW w:w="2100" w:type="dxa"/>
            <w:vAlign w:val="bottom"/>
            <w:shd w:val="clear" w:color="auto" w:fill="E6EEFF"/>
          </w:tcPr>
          <w:p>
            <w:pPr>
              <w:ind w:left="120"/>
              <w:spacing w:after="0"/>
              <w:rPr>
                <w:sz w:val="20"/>
                <w:szCs w:val="20"/>
                <w:color w:val="auto"/>
              </w:rPr>
            </w:pPr>
            <w:r>
              <w:rPr>
                <w:rFonts w:ascii="Calibri" w:cs="Calibri" w:eastAsia="Calibri" w:hAnsi="Calibri"/>
                <w:sz w:val="17"/>
                <w:szCs w:val="17"/>
                <w:color w:val="auto"/>
              </w:rPr>
              <w:t>4.5%</w:t>
            </w:r>
          </w:p>
        </w:tc>
        <w:tc>
          <w:tcPr>
            <w:tcW w:w="360" w:type="dxa"/>
            <w:vAlign w:val="bottom"/>
            <w:shd w:val="clear" w:color="auto" w:fill="E6EEFF"/>
          </w:tcPr>
          <w:p>
            <w:pPr>
              <w:spacing w:after="0"/>
              <w:rPr>
                <w:sz w:val="19"/>
                <w:szCs w:val="19"/>
                <w:color w:val="auto"/>
              </w:rPr>
            </w:pPr>
          </w:p>
        </w:tc>
        <w:tc>
          <w:tcPr>
            <w:tcW w:w="9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1,054,481</w:t>
            </w:r>
          </w:p>
        </w:tc>
        <w:tc>
          <w:tcPr>
            <w:tcW w:w="8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2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1,045,143</w:t>
            </w:r>
          </w:p>
        </w:tc>
        <w:tc>
          <w:tcPr>
            <w:tcW w:w="80" w:type="dxa"/>
            <w:vAlign w:val="bottom"/>
            <w:shd w:val="clear" w:color="auto" w:fill="E6EEFF"/>
          </w:tcPr>
          <w:p>
            <w:pPr>
              <w:spacing w:after="0"/>
              <w:rPr>
                <w:sz w:val="19"/>
                <w:szCs w:val="19"/>
                <w:color w:val="auto"/>
              </w:rPr>
            </w:pPr>
          </w:p>
        </w:tc>
        <w:tc>
          <w:tcPr>
            <w:tcW w:w="180" w:type="dxa"/>
            <w:vAlign w:val="bottom"/>
            <w:shd w:val="clear" w:color="auto" w:fill="E6EEFF"/>
          </w:tcPr>
          <w:p>
            <w:pPr>
              <w:spacing w:after="0"/>
              <w:rPr>
                <w:sz w:val="19"/>
                <w:szCs w:val="19"/>
                <w:color w:val="auto"/>
              </w:rPr>
            </w:pPr>
          </w:p>
        </w:tc>
        <w:tc>
          <w:tcPr>
            <w:tcW w:w="11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(21,283)</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1,023,860</w:t>
            </w:r>
          </w:p>
        </w:tc>
        <w:tc>
          <w:tcPr>
            <w:tcW w:w="114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3.8 %</w:t>
            </w:r>
          </w:p>
        </w:tc>
        <w:tc>
          <w:tcPr>
            <w:tcW w:w="120" w:type="dxa"/>
            <w:vAlign w:val="bottom"/>
            <w:shd w:val="clear" w:color="auto" w:fill="E6EEFF"/>
          </w:tcPr>
          <w:p>
            <w:pPr>
              <w:spacing w:after="0"/>
              <w:rPr>
                <w:sz w:val="19"/>
                <w:szCs w:val="19"/>
                <w:color w:val="auto"/>
              </w:rPr>
            </w:pPr>
          </w:p>
        </w:tc>
        <w:tc>
          <w:tcPr>
            <w:tcW w:w="11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343</w:t>
            </w:r>
          </w:p>
        </w:tc>
        <w:tc>
          <w:tcPr>
            <w:tcW w:w="100" w:type="dxa"/>
            <w:vAlign w:val="bottom"/>
            <w:shd w:val="clear" w:color="auto" w:fill="E6EEFF"/>
          </w:tcPr>
          <w:p>
            <w:pPr>
              <w:spacing w:after="0"/>
              <w:rPr>
                <w:sz w:val="19"/>
                <w:szCs w:val="19"/>
                <w:color w:val="auto"/>
              </w:rPr>
            </w:pPr>
          </w:p>
        </w:tc>
        <w:tc>
          <w:tcPr>
            <w:tcW w:w="1060" w:type="dxa"/>
            <w:vAlign w:val="bottom"/>
            <w:shd w:val="clear" w:color="auto" w:fill="E6EEFF"/>
          </w:tcPr>
          <w:p>
            <w:pPr>
              <w:jc w:val="right"/>
              <w:ind w:right="114"/>
              <w:spacing w:after="0"/>
              <w:rPr>
                <w:sz w:val="20"/>
                <w:szCs w:val="20"/>
                <w:color w:val="auto"/>
              </w:rPr>
            </w:pPr>
            <w:r>
              <w:rPr>
                <w:rFonts w:ascii="Calibri" w:cs="Calibri" w:eastAsia="Calibri" w:hAnsi="Calibri"/>
                <w:sz w:val="17"/>
                <w:szCs w:val="17"/>
                <w:color w:val="auto"/>
              </w:rPr>
              <w:t>8.9</w:t>
            </w:r>
          </w:p>
        </w:tc>
        <w:tc>
          <w:tcPr>
            <w:tcW w:w="0" w:type="dxa"/>
            <w:vAlign w:val="bottom"/>
          </w:tcPr>
          <w:p>
            <w:pPr>
              <w:spacing w:after="0"/>
              <w:rPr>
                <w:sz w:val="1"/>
                <w:szCs w:val="1"/>
                <w:color w:val="auto"/>
              </w:rPr>
            </w:pPr>
          </w:p>
        </w:tc>
      </w:tr>
      <w:tr>
        <w:trPr>
          <w:trHeight w:val="212"/>
        </w:trPr>
        <w:tc>
          <w:tcPr>
            <w:tcW w:w="2100" w:type="dxa"/>
            <w:vAlign w:val="bottom"/>
          </w:tcPr>
          <w:p>
            <w:pPr>
              <w:ind w:left="120"/>
              <w:spacing w:after="0" w:line="205" w:lineRule="exact"/>
              <w:rPr>
                <w:sz w:val="20"/>
                <w:szCs w:val="20"/>
                <w:color w:val="auto"/>
              </w:rPr>
            </w:pPr>
            <w:r>
              <w:rPr>
                <w:rFonts w:ascii="Calibri" w:cs="Calibri" w:eastAsia="Calibri" w:hAnsi="Calibri"/>
                <w:sz w:val="17"/>
                <w:szCs w:val="17"/>
                <w:color w:val="auto"/>
              </w:rPr>
              <w:t>5.0%</w:t>
            </w:r>
          </w:p>
        </w:tc>
        <w:tc>
          <w:tcPr>
            <w:tcW w:w="360" w:type="dxa"/>
            <w:vAlign w:val="bottom"/>
          </w:tcPr>
          <w:p>
            <w:pPr>
              <w:spacing w:after="0"/>
              <w:rPr>
                <w:sz w:val="18"/>
                <w:szCs w:val="18"/>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1,620,054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line="205" w:lineRule="exact"/>
              <w:rPr>
                <w:sz w:val="20"/>
                <w:szCs w:val="20"/>
                <w:color w:val="auto"/>
              </w:rPr>
            </w:pPr>
            <w:r>
              <w:rPr>
                <w:rFonts w:ascii="Calibri" w:cs="Calibri" w:eastAsia="Calibri" w:hAnsi="Calibri"/>
                <w:sz w:val="17"/>
                <w:szCs w:val="17"/>
                <w:color w:val="auto"/>
              </w:rPr>
              <w:t>1,609,875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(1,517)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1,608,358</w:t>
            </w:r>
          </w:p>
        </w:tc>
        <w:tc>
          <w:tcPr>
            <w:tcW w:w="1140" w:type="dxa"/>
            <w:vAlign w:val="bottom"/>
            <w:gridSpan w:val="2"/>
          </w:tcPr>
          <w:p>
            <w:pPr>
              <w:jc w:val="right"/>
              <w:spacing w:after="0" w:line="205" w:lineRule="exact"/>
              <w:rPr>
                <w:sz w:val="20"/>
                <w:szCs w:val="20"/>
                <w:color w:val="auto"/>
              </w:rPr>
            </w:pPr>
            <w:r>
              <w:rPr>
                <w:rFonts w:ascii="Calibri" w:cs="Calibri" w:eastAsia="Calibri" w:hAnsi="Calibri"/>
                <w:sz w:val="17"/>
                <w:szCs w:val="17"/>
                <w:color w:val="auto"/>
              </w:rPr>
              <w:t>4.0 %</w:t>
            </w:r>
          </w:p>
        </w:tc>
        <w:tc>
          <w:tcPr>
            <w:tcW w:w="120" w:type="dxa"/>
            <w:vAlign w:val="bottom"/>
          </w:tcPr>
          <w:p>
            <w:pPr>
              <w:spacing w:after="0"/>
              <w:rPr>
                <w:sz w:val="18"/>
                <w:szCs w:val="18"/>
                <w:color w:val="auto"/>
              </w:rPr>
            </w:pPr>
          </w:p>
        </w:tc>
        <w:tc>
          <w:tcPr>
            <w:tcW w:w="1180" w:type="dxa"/>
            <w:vAlign w:val="bottom"/>
          </w:tcPr>
          <w:p>
            <w:pPr>
              <w:jc w:val="right"/>
              <w:spacing w:after="0" w:line="205" w:lineRule="exact"/>
              <w:rPr>
                <w:sz w:val="20"/>
                <w:szCs w:val="20"/>
                <w:color w:val="auto"/>
              </w:rPr>
            </w:pPr>
            <w:r>
              <w:rPr>
                <w:rFonts w:ascii="Calibri" w:cs="Calibri" w:eastAsia="Calibri" w:hAnsi="Calibri"/>
                <w:sz w:val="17"/>
                <w:szCs w:val="17"/>
                <w:color w:val="auto"/>
              </w:rPr>
              <w:t>347</w:t>
            </w:r>
          </w:p>
        </w:tc>
        <w:tc>
          <w:tcPr>
            <w:tcW w:w="100" w:type="dxa"/>
            <w:vAlign w:val="bottom"/>
          </w:tcPr>
          <w:p>
            <w:pPr>
              <w:spacing w:after="0"/>
              <w:rPr>
                <w:sz w:val="18"/>
                <w:szCs w:val="18"/>
                <w:color w:val="auto"/>
              </w:rPr>
            </w:pPr>
          </w:p>
        </w:tc>
        <w:tc>
          <w:tcPr>
            <w:tcW w:w="1060" w:type="dxa"/>
            <w:vAlign w:val="bottom"/>
          </w:tcPr>
          <w:p>
            <w:pPr>
              <w:jc w:val="right"/>
              <w:ind w:right="114"/>
              <w:spacing w:after="0" w:line="205" w:lineRule="exact"/>
              <w:rPr>
                <w:sz w:val="20"/>
                <w:szCs w:val="20"/>
                <w:color w:val="auto"/>
              </w:rPr>
            </w:pPr>
            <w:r>
              <w:rPr>
                <w:rFonts w:ascii="Calibri" w:cs="Calibri" w:eastAsia="Calibri" w:hAnsi="Calibri"/>
                <w:sz w:val="17"/>
                <w:szCs w:val="17"/>
                <w:color w:val="auto"/>
              </w:rPr>
              <w:t>14.0</w:t>
            </w:r>
          </w:p>
        </w:tc>
        <w:tc>
          <w:tcPr>
            <w:tcW w:w="0" w:type="dxa"/>
            <w:vAlign w:val="bottom"/>
          </w:tcPr>
          <w:p>
            <w:pPr>
              <w:spacing w:after="0"/>
              <w:rPr>
                <w:sz w:val="1"/>
                <w:szCs w:val="1"/>
                <w:color w:val="auto"/>
              </w:rPr>
            </w:pPr>
          </w:p>
        </w:tc>
      </w:tr>
      <w:tr>
        <w:trPr>
          <w:trHeight w:val="226"/>
        </w:trPr>
        <w:tc>
          <w:tcPr>
            <w:tcW w:w="2100" w:type="dxa"/>
            <w:vAlign w:val="bottom"/>
            <w:shd w:val="clear" w:color="auto" w:fill="E6EEFF"/>
          </w:tcPr>
          <w:p>
            <w:pPr>
              <w:ind w:left="120"/>
              <w:spacing w:after="0"/>
              <w:rPr>
                <w:sz w:val="20"/>
                <w:szCs w:val="20"/>
                <w:color w:val="auto"/>
              </w:rPr>
            </w:pPr>
            <w:r>
              <w:rPr>
                <w:rFonts w:ascii="Calibri" w:cs="Calibri" w:eastAsia="Calibri" w:hAnsi="Calibri"/>
                <w:sz w:val="17"/>
                <w:szCs w:val="17"/>
                <w:color w:val="auto"/>
              </w:rPr>
              <w:t>5.5%</w:t>
            </w:r>
          </w:p>
        </w:tc>
        <w:tc>
          <w:tcPr>
            <w:tcW w:w="360" w:type="dxa"/>
            <w:vAlign w:val="bottom"/>
            <w:shd w:val="clear" w:color="auto" w:fill="E6EEFF"/>
          </w:tcPr>
          <w:p>
            <w:pPr>
              <w:spacing w:after="0"/>
              <w:rPr>
                <w:sz w:val="19"/>
                <w:szCs w:val="19"/>
                <w:color w:val="auto"/>
              </w:rPr>
            </w:pPr>
          </w:p>
        </w:tc>
        <w:tc>
          <w:tcPr>
            <w:tcW w:w="9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3,280,469</w:t>
            </w:r>
          </w:p>
        </w:tc>
        <w:tc>
          <w:tcPr>
            <w:tcW w:w="8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2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3,294,740</w:t>
            </w:r>
          </w:p>
        </w:tc>
        <w:tc>
          <w:tcPr>
            <w:tcW w:w="80" w:type="dxa"/>
            <w:vAlign w:val="bottom"/>
            <w:shd w:val="clear" w:color="auto" w:fill="E6EEFF"/>
          </w:tcPr>
          <w:p>
            <w:pPr>
              <w:spacing w:after="0"/>
              <w:rPr>
                <w:sz w:val="19"/>
                <w:szCs w:val="19"/>
                <w:color w:val="auto"/>
              </w:rPr>
            </w:pPr>
          </w:p>
        </w:tc>
        <w:tc>
          <w:tcPr>
            <w:tcW w:w="180" w:type="dxa"/>
            <w:vAlign w:val="bottom"/>
            <w:shd w:val="clear" w:color="auto" w:fill="E6EEFF"/>
          </w:tcPr>
          <w:p>
            <w:pPr>
              <w:spacing w:after="0"/>
              <w:rPr>
                <w:sz w:val="19"/>
                <w:szCs w:val="19"/>
                <w:color w:val="auto"/>
              </w:rPr>
            </w:pPr>
          </w:p>
        </w:tc>
        <w:tc>
          <w:tcPr>
            <w:tcW w:w="11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10,566</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3,305,306</w:t>
            </w:r>
          </w:p>
        </w:tc>
        <w:tc>
          <w:tcPr>
            <w:tcW w:w="114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4.3 %</w:t>
            </w:r>
          </w:p>
        </w:tc>
        <w:tc>
          <w:tcPr>
            <w:tcW w:w="120" w:type="dxa"/>
            <w:vAlign w:val="bottom"/>
            <w:shd w:val="clear" w:color="auto" w:fill="E6EEFF"/>
          </w:tcPr>
          <w:p>
            <w:pPr>
              <w:spacing w:after="0"/>
              <w:rPr>
                <w:sz w:val="19"/>
                <w:szCs w:val="19"/>
                <w:color w:val="auto"/>
              </w:rPr>
            </w:pPr>
          </w:p>
        </w:tc>
        <w:tc>
          <w:tcPr>
            <w:tcW w:w="11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351</w:t>
            </w:r>
          </w:p>
        </w:tc>
        <w:tc>
          <w:tcPr>
            <w:tcW w:w="100" w:type="dxa"/>
            <w:vAlign w:val="bottom"/>
            <w:shd w:val="clear" w:color="auto" w:fill="E6EEFF"/>
          </w:tcPr>
          <w:p>
            <w:pPr>
              <w:spacing w:after="0"/>
              <w:rPr>
                <w:sz w:val="19"/>
                <w:szCs w:val="19"/>
                <w:color w:val="auto"/>
              </w:rPr>
            </w:pPr>
          </w:p>
        </w:tc>
        <w:tc>
          <w:tcPr>
            <w:tcW w:w="1060" w:type="dxa"/>
            <w:vAlign w:val="bottom"/>
            <w:shd w:val="clear" w:color="auto" w:fill="E6EEFF"/>
          </w:tcPr>
          <w:p>
            <w:pPr>
              <w:jc w:val="right"/>
              <w:ind w:right="114"/>
              <w:spacing w:after="0"/>
              <w:rPr>
                <w:sz w:val="20"/>
                <w:szCs w:val="20"/>
                <w:color w:val="auto"/>
              </w:rPr>
            </w:pPr>
            <w:r>
              <w:rPr>
                <w:rFonts w:ascii="Calibri" w:cs="Calibri" w:eastAsia="Calibri" w:hAnsi="Calibri"/>
                <w:sz w:val="17"/>
                <w:szCs w:val="17"/>
                <w:color w:val="auto"/>
              </w:rPr>
              <w:t>28.8</w:t>
            </w:r>
          </w:p>
        </w:tc>
        <w:tc>
          <w:tcPr>
            <w:tcW w:w="0" w:type="dxa"/>
            <w:vAlign w:val="bottom"/>
          </w:tcPr>
          <w:p>
            <w:pPr>
              <w:spacing w:after="0"/>
              <w:rPr>
                <w:sz w:val="1"/>
                <w:szCs w:val="1"/>
                <w:color w:val="auto"/>
              </w:rPr>
            </w:pPr>
          </w:p>
        </w:tc>
      </w:tr>
      <w:tr>
        <w:trPr>
          <w:trHeight w:val="212"/>
        </w:trPr>
        <w:tc>
          <w:tcPr>
            <w:tcW w:w="2100" w:type="dxa"/>
            <w:vAlign w:val="bottom"/>
          </w:tcPr>
          <w:p>
            <w:pPr>
              <w:ind w:left="120"/>
              <w:spacing w:after="0" w:line="205" w:lineRule="exact"/>
              <w:rPr>
                <w:sz w:val="20"/>
                <w:szCs w:val="20"/>
                <w:color w:val="auto"/>
              </w:rPr>
            </w:pPr>
            <w:r>
              <w:rPr>
                <w:rFonts w:ascii="Calibri" w:cs="Calibri" w:eastAsia="Calibri" w:hAnsi="Calibri"/>
                <w:sz w:val="17"/>
                <w:szCs w:val="17"/>
                <w:color w:val="auto"/>
              </w:rPr>
              <w:t>6.0%</w:t>
            </w:r>
          </w:p>
        </w:tc>
        <w:tc>
          <w:tcPr>
            <w:tcW w:w="360" w:type="dxa"/>
            <w:vAlign w:val="bottom"/>
          </w:tcPr>
          <w:p>
            <w:pPr>
              <w:spacing w:after="0"/>
              <w:rPr>
                <w:sz w:val="18"/>
                <w:szCs w:val="18"/>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2,416,172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line="205" w:lineRule="exact"/>
              <w:rPr>
                <w:sz w:val="20"/>
                <w:szCs w:val="20"/>
                <w:color w:val="auto"/>
              </w:rPr>
            </w:pPr>
            <w:r>
              <w:rPr>
                <w:rFonts w:ascii="Calibri" w:cs="Calibri" w:eastAsia="Calibri" w:hAnsi="Calibri"/>
                <w:sz w:val="17"/>
                <w:szCs w:val="17"/>
                <w:color w:val="auto"/>
              </w:rPr>
              <w:t>2,458,340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2,515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2,460,855</w:t>
            </w:r>
          </w:p>
        </w:tc>
        <w:tc>
          <w:tcPr>
            <w:tcW w:w="1140" w:type="dxa"/>
            <w:vAlign w:val="bottom"/>
            <w:gridSpan w:val="2"/>
          </w:tcPr>
          <w:p>
            <w:pPr>
              <w:jc w:val="right"/>
              <w:spacing w:after="0" w:line="205" w:lineRule="exact"/>
              <w:rPr>
                <w:sz w:val="20"/>
                <w:szCs w:val="20"/>
                <w:color w:val="auto"/>
              </w:rPr>
            </w:pPr>
            <w:r>
              <w:rPr>
                <w:rFonts w:ascii="Calibri" w:cs="Calibri" w:eastAsia="Calibri" w:hAnsi="Calibri"/>
                <w:sz w:val="17"/>
                <w:szCs w:val="17"/>
                <w:color w:val="auto"/>
              </w:rPr>
              <w:t>5.3 %</w:t>
            </w:r>
          </w:p>
        </w:tc>
        <w:tc>
          <w:tcPr>
            <w:tcW w:w="120" w:type="dxa"/>
            <w:vAlign w:val="bottom"/>
          </w:tcPr>
          <w:p>
            <w:pPr>
              <w:spacing w:after="0"/>
              <w:rPr>
                <w:sz w:val="18"/>
                <w:szCs w:val="18"/>
                <w:color w:val="auto"/>
              </w:rPr>
            </w:pPr>
          </w:p>
        </w:tc>
        <w:tc>
          <w:tcPr>
            <w:tcW w:w="1180" w:type="dxa"/>
            <w:vAlign w:val="bottom"/>
          </w:tcPr>
          <w:p>
            <w:pPr>
              <w:jc w:val="right"/>
              <w:spacing w:after="0" w:line="205" w:lineRule="exact"/>
              <w:rPr>
                <w:sz w:val="20"/>
                <w:szCs w:val="20"/>
                <w:color w:val="auto"/>
              </w:rPr>
            </w:pPr>
            <w:r>
              <w:rPr>
                <w:rFonts w:ascii="Calibri" w:cs="Calibri" w:eastAsia="Calibri" w:hAnsi="Calibri"/>
                <w:sz w:val="17"/>
                <w:szCs w:val="17"/>
                <w:color w:val="auto"/>
              </w:rPr>
              <w:t>350</w:t>
            </w:r>
          </w:p>
        </w:tc>
        <w:tc>
          <w:tcPr>
            <w:tcW w:w="100" w:type="dxa"/>
            <w:vAlign w:val="bottom"/>
          </w:tcPr>
          <w:p>
            <w:pPr>
              <w:spacing w:after="0"/>
              <w:rPr>
                <w:sz w:val="18"/>
                <w:szCs w:val="18"/>
                <w:color w:val="auto"/>
              </w:rPr>
            </w:pPr>
          </w:p>
        </w:tc>
        <w:tc>
          <w:tcPr>
            <w:tcW w:w="1060" w:type="dxa"/>
            <w:vAlign w:val="bottom"/>
          </w:tcPr>
          <w:p>
            <w:pPr>
              <w:jc w:val="right"/>
              <w:ind w:right="114"/>
              <w:spacing w:after="0" w:line="205" w:lineRule="exact"/>
              <w:rPr>
                <w:sz w:val="20"/>
                <w:szCs w:val="20"/>
                <w:color w:val="auto"/>
              </w:rPr>
            </w:pPr>
            <w:r>
              <w:rPr>
                <w:rFonts w:ascii="Calibri" w:cs="Calibri" w:eastAsia="Calibri" w:hAnsi="Calibri"/>
                <w:sz w:val="17"/>
                <w:szCs w:val="17"/>
                <w:color w:val="auto"/>
              </w:rPr>
              <w:t>21.5</w:t>
            </w:r>
          </w:p>
        </w:tc>
        <w:tc>
          <w:tcPr>
            <w:tcW w:w="0" w:type="dxa"/>
            <w:vAlign w:val="bottom"/>
          </w:tcPr>
          <w:p>
            <w:pPr>
              <w:spacing w:after="0"/>
              <w:rPr>
                <w:sz w:val="1"/>
                <w:szCs w:val="1"/>
                <w:color w:val="auto"/>
              </w:rPr>
            </w:pPr>
          </w:p>
        </w:tc>
      </w:tr>
      <w:tr>
        <w:trPr>
          <w:trHeight w:val="226"/>
        </w:trPr>
        <w:tc>
          <w:tcPr>
            <w:tcW w:w="2100" w:type="dxa"/>
            <w:vAlign w:val="bottom"/>
            <w:shd w:val="clear" w:color="auto" w:fill="E6EEFF"/>
          </w:tcPr>
          <w:p>
            <w:pPr>
              <w:ind w:left="120"/>
              <w:spacing w:after="0"/>
              <w:rPr>
                <w:sz w:val="20"/>
                <w:szCs w:val="20"/>
                <w:color w:val="auto"/>
              </w:rPr>
            </w:pPr>
            <w:r>
              <w:rPr>
                <w:rFonts w:ascii="Calibri" w:cs="Calibri" w:eastAsia="Calibri" w:hAnsi="Calibri"/>
                <w:sz w:val="17"/>
                <w:szCs w:val="17"/>
                <w:color w:val="auto"/>
              </w:rPr>
              <w:t>6.5%</w:t>
            </w:r>
          </w:p>
        </w:tc>
        <w:tc>
          <w:tcPr>
            <w:tcW w:w="360" w:type="dxa"/>
            <w:vAlign w:val="bottom"/>
            <w:shd w:val="clear" w:color="auto" w:fill="E6EEFF"/>
          </w:tcPr>
          <w:p>
            <w:pPr>
              <w:spacing w:after="0"/>
              <w:rPr>
                <w:sz w:val="19"/>
                <w:szCs w:val="19"/>
                <w:color w:val="auto"/>
              </w:rPr>
            </w:pPr>
          </w:p>
        </w:tc>
        <w:tc>
          <w:tcPr>
            <w:tcW w:w="9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52,896</w:t>
            </w:r>
          </w:p>
        </w:tc>
        <w:tc>
          <w:tcPr>
            <w:tcW w:w="8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2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54,259</w:t>
            </w:r>
          </w:p>
        </w:tc>
        <w:tc>
          <w:tcPr>
            <w:tcW w:w="80" w:type="dxa"/>
            <w:vAlign w:val="bottom"/>
            <w:shd w:val="clear" w:color="auto" w:fill="E6EEFF"/>
          </w:tcPr>
          <w:p>
            <w:pPr>
              <w:spacing w:after="0"/>
              <w:rPr>
                <w:sz w:val="19"/>
                <w:szCs w:val="19"/>
                <w:color w:val="auto"/>
              </w:rPr>
            </w:pPr>
          </w:p>
        </w:tc>
        <w:tc>
          <w:tcPr>
            <w:tcW w:w="180" w:type="dxa"/>
            <w:vAlign w:val="bottom"/>
            <w:shd w:val="clear" w:color="auto" w:fill="E6EEFF"/>
          </w:tcPr>
          <w:p>
            <w:pPr>
              <w:spacing w:after="0"/>
              <w:rPr>
                <w:sz w:val="19"/>
                <w:szCs w:val="19"/>
                <w:color w:val="auto"/>
              </w:rPr>
            </w:pPr>
          </w:p>
        </w:tc>
        <w:tc>
          <w:tcPr>
            <w:tcW w:w="11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566</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54,825</w:t>
            </w:r>
          </w:p>
        </w:tc>
        <w:tc>
          <w:tcPr>
            <w:tcW w:w="114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6.0 %</w:t>
            </w:r>
          </w:p>
        </w:tc>
        <w:tc>
          <w:tcPr>
            <w:tcW w:w="120" w:type="dxa"/>
            <w:vAlign w:val="bottom"/>
            <w:shd w:val="clear" w:color="auto" w:fill="E6EEFF"/>
          </w:tcPr>
          <w:p>
            <w:pPr>
              <w:spacing w:after="0"/>
              <w:rPr>
                <w:sz w:val="19"/>
                <w:szCs w:val="19"/>
                <w:color w:val="auto"/>
              </w:rPr>
            </w:pPr>
          </w:p>
        </w:tc>
        <w:tc>
          <w:tcPr>
            <w:tcW w:w="11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348</w:t>
            </w:r>
          </w:p>
        </w:tc>
        <w:tc>
          <w:tcPr>
            <w:tcW w:w="100" w:type="dxa"/>
            <w:vAlign w:val="bottom"/>
            <w:shd w:val="clear" w:color="auto" w:fill="E6EEFF"/>
          </w:tcPr>
          <w:p>
            <w:pPr>
              <w:spacing w:after="0"/>
              <w:rPr>
                <w:sz w:val="19"/>
                <w:szCs w:val="19"/>
                <w:color w:val="auto"/>
              </w:rPr>
            </w:pPr>
          </w:p>
        </w:tc>
        <w:tc>
          <w:tcPr>
            <w:tcW w:w="1060" w:type="dxa"/>
            <w:vAlign w:val="bottom"/>
            <w:shd w:val="clear" w:color="auto" w:fill="E6EEFF"/>
          </w:tcPr>
          <w:p>
            <w:pPr>
              <w:jc w:val="right"/>
              <w:ind w:right="114"/>
              <w:spacing w:after="0"/>
              <w:rPr>
                <w:sz w:val="20"/>
                <w:szCs w:val="20"/>
                <w:color w:val="auto"/>
              </w:rPr>
            </w:pPr>
            <w:r>
              <w:rPr>
                <w:rFonts w:ascii="Calibri" w:cs="Calibri" w:eastAsia="Calibri" w:hAnsi="Calibri"/>
                <w:sz w:val="17"/>
                <w:szCs w:val="17"/>
                <w:color w:val="auto"/>
              </w:rPr>
              <w:t>0.4</w:t>
            </w:r>
          </w:p>
        </w:tc>
        <w:tc>
          <w:tcPr>
            <w:tcW w:w="0" w:type="dxa"/>
            <w:vAlign w:val="bottom"/>
          </w:tcPr>
          <w:p>
            <w:pPr>
              <w:spacing w:after="0"/>
              <w:rPr>
                <w:sz w:val="1"/>
                <w:szCs w:val="1"/>
                <w:color w:val="auto"/>
              </w:rPr>
            </w:pPr>
          </w:p>
        </w:tc>
      </w:tr>
      <w:tr>
        <w:trPr>
          <w:trHeight w:val="212"/>
        </w:trPr>
        <w:tc>
          <w:tcPr>
            <w:tcW w:w="210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1C4787"/>
              </w:rPr>
              <w:t>Other Agency Securites</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00" w:type="dxa"/>
            <w:vAlign w:val="bottom"/>
            <w:shd w:val="clear" w:color="auto" w:fill="E6EEFF"/>
          </w:tcPr>
          <w:p>
            <w:pPr>
              <w:ind w:left="120"/>
              <w:spacing w:after="0"/>
              <w:rPr>
                <w:sz w:val="20"/>
                <w:szCs w:val="20"/>
                <w:color w:val="auto"/>
              </w:rPr>
            </w:pPr>
            <w:r>
              <w:rPr>
                <w:rFonts w:ascii="Calibri" w:cs="Calibri" w:eastAsia="Calibri" w:hAnsi="Calibri"/>
                <w:sz w:val="17"/>
                <w:szCs w:val="17"/>
                <w:color w:val="auto"/>
              </w:rPr>
              <w:t>Agency CMBS</w:t>
            </w:r>
          </w:p>
        </w:tc>
        <w:tc>
          <w:tcPr>
            <w:tcW w:w="360" w:type="dxa"/>
            <w:vAlign w:val="bottom"/>
            <w:tcBorders>
              <w:bottom w:val="single" w:sz="8" w:color="auto"/>
            </w:tcBorders>
            <w:shd w:val="clear" w:color="auto" w:fill="E6EEFF"/>
          </w:tcPr>
          <w:p>
            <w:pPr>
              <w:jc w:val="right"/>
              <w:ind w:right="174"/>
              <w:spacing w:after="0"/>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542,578</w:t>
            </w:r>
          </w:p>
        </w:tc>
        <w:tc>
          <w:tcPr>
            <w:tcW w:w="80" w:type="dxa"/>
            <w:vAlign w:val="bottom"/>
            <w:shd w:val="clear" w:color="auto" w:fill="E6EEFF"/>
          </w:tcPr>
          <w:p>
            <w:pPr>
              <w:spacing w:after="0"/>
              <w:rPr>
                <w:sz w:val="19"/>
                <w:szCs w:val="19"/>
                <w:color w:val="auto"/>
              </w:rPr>
            </w:pPr>
          </w:p>
        </w:tc>
        <w:tc>
          <w:tcPr>
            <w:tcW w:w="12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20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540,138</w:t>
            </w:r>
          </w:p>
        </w:tc>
        <w:tc>
          <w:tcPr>
            <w:tcW w:w="80" w:type="dxa"/>
            <w:vAlign w:val="bottom"/>
            <w:shd w:val="clear" w:color="auto" w:fill="E6EEFF"/>
          </w:tcPr>
          <w:p>
            <w:pPr>
              <w:spacing w:after="0"/>
              <w:rPr>
                <w:sz w:val="19"/>
                <w:szCs w:val="19"/>
                <w:color w:val="auto"/>
              </w:rPr>
            </w:pPr>
          </w:p>
        </w:tc>
        <w:tc>
          <w:tcPr>
            <w:tcW w:w="18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5,838</w:t>
            </w:r>
          </w:p>
        </w:tc>
        <w:tc>
          <w:tcPr>
            <w:tcW w:w="120" w:type="dxa"/>
            <w:vAlign w:val="bottom"/>
            <w:shd w:val="clear" w:color="auto" w:fill="E6EEFF"/>
          </w:tcPr>
          <w:p>
            <w:pPr>
              <w:spacing w:after="0"/>
              <w:rPr>
                <w:sz w:val="19"/>
                <w:szCs w:val="19"/>
                <w:color w:val="auto"/>
              </w:rPr>
            </w:pPr>
          </w:p>
        </w:tc>
        <w:tc>
          <w:tcPr>
            <w:tcW w:w="200" w:type="dxa"/>
            <w:vAlign w:val="bottom"/>
            <w:tcBorders>
              <w:bottom w:val="single" w:sz="8" w:color="auto"/>
            </w:tcBorders>
            <w:shd w:val="clear" w:color="auto" w:fill="E6EEFF"/>
          </w:tcPr>
          <w:p>
            <w:pPr>
              <w:jc w:val="right"/>
              <w:ind w:right="14"/>
              <w:spacing w:after="0"/>
              <w:rPr>
                <w:sz w:val="20"/>
                <w:szCs w:val="20"/>
                <w:color w:val="auto"/>
              </w:rPr>
            </w:pPr>
            <w:r>
              <w:rPr>
                <w:rFonts w:ascii="Calibri" w:cs="Calibri" w:eastAsia="Calibri" w:hAnsi="Calibri"/>
                <w:sz w:val="17"/>
                <w:szCs w:val="17"/>
                <w:color w:val="auto"/>
                <w:w w:val="92"/>
              </w:rPr>
              <w:t>$</w:t>
            </w:r>
          </w:p>
        </w:tc>
        <w:tc>
          <w:tcPr>
            <w:tcW w:w="112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545,976</w:t>
            </w:r>
          </w:p>
        </w:tc>
        <w:tc>
          <w:tcPr>
            <w:tcW w:w="120" w:type="dxa"/>
            <w:vAlign w:val="bottom"/>
            <w:tcBorders>
              <w:bottom w:val="single" w:sz="8" w:color="auto"/>
            </w:tcBorders>
            <w:shd w:val="clear" w:color="auto" w:fill="E6EEFF"/>
          </w:tcPr>
          <w:p>
            <w:pPr>
              <w:spacing w:after="0"/>
              <w:rPr>
                <w:sz w:val="19"/>
                <w:szCs w:val="19"/>
                <w:color w:val="auto"/>
              </w:rPr>
            </w:pPr>
          </w:p>
        </w:tc>
        <w:tc>
          <w:tcPr>
            <w:tcW w:w="1140" w:type="dxa"/>
            <w:vAlign w:val="bottom"/>
            <w:gridSpan w:val="2"/>
            <w:shd w:val="clear" w:color="auto" w:fill="E6EEFF"/>
          </w:tcPr>
          <w:p>
            <w:pPr>
              <w:jc w:val="right"/>
              <w:ind w:right="140"/>
              <w:spacing w:after="0"/>
              <w:rPr>
                <w:sz w:val="20"/>
                <w:szCs w:val="20"/>
                <w:color w:val="auto"/>
              </w:rPr>
            </w:pPr>
            <w:r>
              <w:rPr>
                <w:rFonts w:ascii="Calibri" w:cs="Calibri" w:eastAsia="Calibri" w:hAnsi="Calibri"/>
                <w:sz w:val="17"/>
                <w:szCs w:val="17"/>
                <w:color w:val="auto"/>
              </w:rPr>
              <w:t>n/a</w:t>
            </w:r>
          </w:p>
        </w:tc>
        <w:tc>
          <w:tcPr>
            <w:tcW w:w="11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115</w:t>
            </w:r>
          </w:p>
        </w:tc>
        <w:tc>
          <w:tcPr>
            <w:tcW w:w="100" w:type="dxa"/>
            <w:vAlign w:val="bottom"/>
            <w:shd w:val="clear" w:color="auto" w:fill="E6EEFF"/>
          </w:tcPr>
          <w:p>
            <w:pPr>
              <w:spacing w:after="0"/>
              <w:rPr>
                <w:sz w:val="19"/>
                <w:szCs w:val="19"/>
                <w:color w:val="auto"/>
              </w:rPr>
            </w:pPr>
          </w:p>
        </w:tc>
        <w:tc>
          <w:tcPr>
            <w:tcW w:w="1060" w:type="dxa"/>
            <w:vAlign w:val="bottom"/>
            <w:tcBorders>
              <w:bottom w:val="single" w:sz="8" w:color="auto"/>
            </w:tcBorders>
            <w:shd w:val="clear" w:color="auto" w:fill="E6EEFF"/>
          </w:tcPr>
          <w:p>
            <w:pPr>
              <w:jc w:val="right"/>
              <w:ind w:right="114"/>
              <w:spacing w:after="0"/>
              <w:rPr>
                <w:sz w:val="20"/>
                <w:szCs w:val="20"/>
                <w:color w:val="auto"/>
              </w:rPr>
            </w:pPr>
            <w:r>
              <w:rPr>
                <w:rFonts w:ascii="Calibri" w:cs="Calibri" w:eastAsia="Calibri" w:hAnsi="Calibri"/>
                <w:sz w:val="17"/>
                <w:szCs w:val="17"/>
                <w:color w:val="auto"/>
              </w:rPr>
              <w:t>4.8</w:t>
            </w:r>
          </w:p>
        </w:tc>
        <w:tc>
          <w:tcPr>
            <w:tcW w:w="0" w:type="dxa"/>
            <w:vAlign w:val="bottom"/>
          </w:tcPr>
          <w:p>
            <w:pPr>
              <w:spacing w:after="0"/>
              <w:rPr>
                <w:sz w:val="1"/>
                <w:szCs w:val="1"/>
                <w:color w:val="auto"/>
              </w:rPr>
            </w:pPr>
          </w:p>
        </w:tc>
      </w:tr>
      <w:tr>
        <w:trPr>
          <w:trHeight w:val="219"/>
        </w:trPr>
        <w:tc>
          <w:tcPr>
            <w:tcW w:w="2100" w:type="dxa"/>
            <w:vAlign w:val="bottom"/>
          </w:tcPr>
          <w:p>
            <w:pPr>
              <w:ind w:left="20"/>
              <w:spacing w:after="0"/>
              <w:rPr>
                <w:sz w:val="20"/>
                <w:szCs w:val="20"/>
                <w:color w:val="auto"/>
              </w:rPr>
            </w:pPr>
            <w:r>
              <w:rPr>
                <w:rFonts w:ascii="Calibri" w:cs="Calibri" w:eastAsia="Calibri" w:hAnsi="Calibri"/>
                <w:sz w:val="17"/>
                <w:szCs w:val="17"/>
                <w:b w:val="1"/>
                <w:bCs w:val="1"/>
                <w:color w:val="1C4787"/>
              </w:rPr>
              <w:t>Total Agency Securites</w:t>
            </w:r>
          </w:p>
        </w:tc>
        <w:tc>
          <w:tcPr>
            <w:tcW w:w="360" w:type="dxa"/>
            <w:vAlign w:val="bottom"/>
            <w:tcBorders>
              <w:bottom w:val="single" w:sz="8" w:color="auto"/>
            </w:tcBorders>
          </w:tcPr>
          <w:p>
            <w:pPr>
              <w:jc w:val="right"/>
              <w:ind w:right="174"/>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11,278,161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2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11,283,380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(123,626)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11,159,754</w:t>
            </w:r>
          </w:p>
        </w:tc>
        <w:tc>
          <w:tcPr>
            <w:tcW w:w="1140" w:type="dxa"/>
            <w:vAlign w:val="bottom"/>
            <w:gridSpan w:val="2"/>
          </w:tcPr>
          <w:p>
            <w:pPr>
              <w:jc w:val="right"/>
              <w:spacing w:after="0"/>
              <w:rPr>
                <w:sz w:val="20"/>
                <w:szCs w:val="20"/>
                <w:color w:val="auto"/>
              </w:rPr>
            </w:pPr>
            <w:r>
              <w:rPr>
                <w:rFonts w:ascii="Calibri" w:cs="Calibri" w:eastAsia="Calibri" w:hAnsi="Calibri"/>
                <w:sz w:val="17"/>
                <w:szCs w:val="17"/>
                <w:color w:val="auto"/>
              </w:rPr>
              <w:t>4.2 %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7"/>
                <w:szCs w:val="17"/>
                <w:color w:val="auto"/>
              </w:rPr>
              <w:t>336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7"/>
                <w:szCs w:val="17"/>
                <w:color w:val="auto"/>
              </w:rPr>
              <w:t>97.3 %</w:t>
            </w:r>
          </w:p>
        </w:tc>
        <w:tc>
          <w:tcPr>
            <w:tcW w:w="0" w:type="dxa"/>
            <w:vAlign w:val="bottom"/>
          </w:tcPr>
          <w:p>
            <w:pPr>
              <w:spacing w:after="0"/>
              <w:rPr>
                <w:sz w:val="1"/>
                <w:szCs w:val="1"/>
                <w:color w:val="auto"/>
              </w:rPr>
            </w:pPr>
          </w:p>
        </w:tc>
      </w:tr>
      <w:tr>
        <w:trPr>
          <w:trHeight w:val="20"/>
        </w:trPr>
        <w:tc>
          <w:tcPr>
            <w:tcW w:w="2100" w:type="dxa"/>
            <w:vAlign w:val="bottom"/>
            <w:tcBorders>
              <w:bottom w:val="single" w:sz="8" w:color="E6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1020" w:type="dxa"/>
            <w:vAlign w:val="bottom"/>
            <w:tcBorders>
              <w:bottom w:val="single" w:sz="8" w:color="E6EEFF"/>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1180" w:type="dxa"/>
            <w:vAlign w:val="bottom"/>
            <w:tcBorders>
              <w:bottom w:val="single" w:sz="8" w:color="E6EEFF"/>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100" w:type="dxa"/>
            <w:vAlign w:val="bottom"/>
            <w:shd w:val="clear" w:color="auto" w:fill="E6EEFF"/>
          </w:tcPr>
          <w:p>
            <w:pPr>
              <w:ind w:left="20"/>
              <w:spacing w:after="0" w:line="185" w:lineRule="exact"/>
              <w:rPr>
                <w:sz w:val="20"/>
                <w:szCs w:val="20"/>
                <w:color w:val="auto"/>
              </w:rPr>
            </w:pPr>
            <w:r>
              <w:rPr>
                <w:rFonts w:ascii="Calibri" w:cs="Calibri" w:eastAsia="Calibri" w:hAnsi="Calibri"/>
                <w:sz w:val="17"/>
                <w:szCs w:val="17"/>
                <w:b w:val="1"/>
                <w:bCs w:val="1"/>
                <w:color w:val="1C4787"/>
              </w:rPr>
              <w:t>TBA Agency Securites:</w:t>
            </w:r>
          </w:p>
        </w:tc>
        <w:tc>
          <w:tcPr>
            <w:tcW w:w="360" w:type="dxa"/>
            <w:vAlign w:val="bottom"/>
            <w:shd w:val="clear" w:color="auto" w:fill="E6EEFF"/>
          </w:tcPr>
          <w:p>
            <w:pPr>
              <w:spacing w:after="0"/>
              <w:rPr>
                <w:sz w:val="16"/>
                <w:szCs w:val="16"/>
                <w:color w:val="auto"/>
              </w:rPr>
            </w:pPr>
          </w:p>
        </w:tc>
        <w:tc>
          <w:tcPr>
            <w:tcW w:w="960" w:type="dxa"/>
            <w:vAlign w:val="bottom"/>
            <w:shd w:val="clear" w:color="auto" w:fill="E6EEFF"/>
          </w:tcPr>
          <w:p>
            <w:pPr>
              <w:spacing w:after="0"/>
              <w:rPr>
                <w:sz w:val="16"/>
                <w:szCs w:val="16"/>
                <w:color w:val="auto"/>
              </w:rPr>
            </w:pPr>
          </w:p>
        </w:tc>
        <w:tc>
          <w:tcPr>
            <w:tcW w:w="80" w:type="dxa"/>
            <w:vAlign w:val="bottom"/>
            <w:shd w:val="clear" w:color="auto" w:fill="E6EEFF"/>
          </w:tcPr>
          <w:p>
            <w:pPr>
              <w:spacing w:after="0"/>
              <w:rPr>
                <w:sz w:val="16"/>
                <w:szCs w:val="16"/>
                <w:color w:val="auto"/>
              </w:rPr>
            </w:pPr>
          </w:p>
        </w:tc>
        <w:tc>
          <w:tcPr>
            <w:tcW w:w="120" w:type="dxa"/>
            <w:vAlign w:val="bottom"/>
            <w:shd w:val="clear" w:color="auto" w:fill="E6EEFF"/>
          </w:tcPr>
          <w:p>
            <w:pPr>
              <w:spacing w:after="0"/>
              <w:rPr>
                <w:sz w:val="16"/>
                <w:szCs w:val="16"/>
                <w:color w:val="auto"/>
              </w:rPr>
            </w:pPr>
          </w:p>
        </w:tc>
        <w:tc>
          <w:tcPr>
            <w:tcW w:w="1200" w:type="dxa"/>
            <w:vAlign w:val="bottom"/>
            <w:shd w:val="clear" w:color="auto" w:fill="E6EEFF"/>
          </w:tcPr>
          <w:p>
            <w:pPr>
              <w:spacing w:after="0"/>
              <w:rPr>
                <w:sz w:val="16"/>
                <w:szCs w:val="16"/>
                <w:color w:val="auto"/>
              </w:rPr>
            </w:pPr>
          </w:p>
        </w:tc>
        <w:tc>
          <w:tcPr>
            <w:tcW w:w="80" w:type="dxa"/>
            <w:vAlign w:val="bottom"/>
            <w:shd w:val="clear" w:color="auto" w:fill="E6EEFF"/>
          </w:tcPr>
          <w:p>
            <w:pPr>
              <w:spacing w:after="0"/>
              <w:rPr>
                <w:sz w:val="16"/>
                <w:szCs w:val="16"/>
                <w:color w:val="auto"/>
              </w:rPr>
            </w:pPr>
          </w:p>
        </w:tc>
        <w:tc>
          <w:tcPr>
            <w:tcW w:w="180" w:type="dxa"/>
            <w:vAlign w:val="bottom"/>
            <w:shd w:val="clear" w:color="auto" w:fill="E6EEFF"/>
          </w:tcPr>
          <w:p>
            <w:pPr>
              <w:spacing w:after="0"/>
              <w:rPr>
                <w:sz w:val="16"/>
                <w:szCs w:val="16"/>
                <w:color w:val="auto"/>
              </w:rPr>
            </w:pPr>
          </w:p>
        </w:tc>
        <w:tc>
          <w:tcPr>
            <w:tcW w:w="1100" w:type="dxa"/>
            <w:vAlign w:val="bottom"/>
            <w:shd w:val="clear" w:color="auto" w:fill="E6EEFF"/>
          </w:tcPr>
          <w:p>
            <w:pPr>
              <w:spacing w:after="0"/>
              <w:rPr>
                <w:sz w:val="16"/>
                <w:szCs w:val="16"/>
                <w:color w:val="auto"/>
              </w:rPr>
            </w:pPr>
          </w:p>
        </w:tc>
        <w:tc>
          <w:tcPr>
            <w:tcW w:w="120" w:type="dxa"/>
            <w:vAlign w:val="bottom"/>
            <w:shd w:val="clear" w:color="auto" w:fill="E6EEFF"/>
          </w:tcPr>
          <w:p>
            <w:pPr>
              <w:spacing w:after="0"/>
              <w:rPr>
                <w:sz w:val="16"/>
                <w:szCs w:val="16"/>
                <w:color w:val="auto"/>
              </w:rPr>
            </w:pPr>
          </w:p>
        </w:tc>
        <w:tc>
          <w:tcPr>
            <w:tcW w:w="200" w:type="dxa"/>
            <w:vAlign w:val="bottom"/>
            <w:shd w:val="clear" w:color="auto" w:fill="E6EEFF"/>
          </w:tcPr>
          <w:p>
            <w:pPr>
              <w:spacing w:after="0"/>
              <w:rPr>
                <w:sz w:val="16"/>
                <w:szCs w:val="16"/>
                <w:color w:val="auto"/>
              </w:rPr>
            </w:pPr>
          </w:p>
        </w:tc>
        <w:tc>
          <w:tcPr>
            <w:tcW w:w="1120" w:type="dxa"/>
            <w:vAlign w:val="bottom"/>
            <w:shd w:val="clear" w:color="auto" w:fill="E6EEFF"/>
          </w:tcPr>
          <w:p>
            <w:pPr>
              <w:spacing w:after="0"/>
              <w:rPr>
                <w:sz w:val="16"/>
                <w:szCs w:val="16"/>
                <w:color w:val="auto"/>
              </w:rPr>
            </w:pPr>
          </w:p>
        </w:tc>
        <w:tc>
          <w:tcPr>
            <w:tcW w:w="120" w:type="dxa"/>
            <w:vAlign w:val="bottom"/>
            <w:shd w:val="clear" w:color="auto" w:fill="E6EEFF"/>
          </w:tcPr>
          <w:p>
            <w:pPr>
              <w:spacing w:after="0"/>
              <w:rPr>
                <w:sz w:val="16"/>
                <w:szCs w:val="16"/>
                <w:color w:val="auto"/>
              </w:rPr>
            </w:pPr>
          </w:p>
        </w:tc>
        <w:tc>
          <w:tcPr>
            <w:tcW w:w="1020" w:type="dxa"/>
            <w:vAlign w:val="bottom"/>
            <w:shd w:val="clear" w:color="auto" w:fill="E6EEFF"/>
          </w:tcPr>
          <w:p>
            <w:pPr>
              <w:spacing w:after="0"/>
              <w:rPr>
                <w:sz w:val="16"/>
                <w:szCs w:val="16"/>
                <w:color w:val="auto"/>
              </w:rPr>
            </w:pPr>
          </w:p>
        </w:tc>
        <w:tc>
          <w:tcPr>
            <w:tcW w:w="120" w:type="dxa"/>
            <w:vAlign w:val="bottom"/>
            <w:shd w:val="clear" w:color="auto" w:fill="E6EEFF"/>
          </w:tcPr>
          <w:p>
            <w:pPr>
              <w:spacing w:after="0"/>
              <w:rPr>
                <w:sz w:val="16"/>
                <w:szCs w:val="16"/>
                <w:color w:val="auto"/>
              </w:rPr>
            </w:pPr>
          </w:p>
        </w:tc>
        <w:tc>
          <w:tcPr>
            <w:tcW w:w="1180" w:type="dxa"/>
            <w:vAlign w:val="bottom"/>
            <w:shd w:val="clear" w:color="auto" w:fill="E6EEFF"/>
          </w:tcPr>
          <w:p>
            <w:pPr>
              <w:spacing w:after="0"/>
              <w:rPr>
                <w:sz w:val="16"/>
                <w:szCs w:val="16"/>
                <w:color w:val="auto"/>
              </w:rPr>
            </w:pPr>
          </w:p>
        </w:tc>
        <w:tc>
          <w:tcPr>
            <w:tcW w:w="100" w:type="dxa"/>
            <w:vAlign w:val="bottom"/>
            <w:shd w:val="clear" w:color="auto" w:fill="E6EEFF"/>
          </w:tcPr>
          <w:p>
            <w:pPr>
              <w:spacing w:after="0"/>
              <w:rPr>
                <w:sz w:val="16"/>
                <w:szCs w:val="16"/>
                <w:color w:val="auto"/>
              </w:rPr>
            </w:pPr>
          </w:p>
        </w:tc>
        <w:tc>
          <w:tcPr>
            <w:tcW w:w="1060" w:type="dxa"/>
            <w:vAlign w:val="bottom"/>
            <w:shd w:val="clear" w:color="auto" w:fill="E6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100" w:type="dxa"/>
            <w:vAlign w:val="bottom"/>
            <w:tcBorders>
              <w:bottom w:val="single" w:sz="8" w:color="E6EEFF"/>
            </w:tcBorders>
          </w:tcPr>
          <w:p>
            <w:pPr>
              <w:ind w:left="120"/>
              <w:spacing w:after="0" w:line="219" w:lineRule="exact"/>
              <w:rPr>
                <w:sz w:val="20"/>
                <w:szCs w:val="20"/>
                <w:color w:val="auto"/>
              </w:rPr>
            </w:pPr>
            <w:r>
              <w:rPr>
                <w:rFonts w:ascii="Calibri" w:cs="Calibri" w:eastAsia="Calibri" w:hAnsi="Calibri"/>
                <w:sz w:val="17"/>
                <w:szCs w:val="17"/>
                <w:color w:val="auto"/>
              </w:rPr>
              <w:t xml:space="preserve">30 Year Long, 6.0% </w:t>
            </w:r>
            <w:r>
              <w:rPr>
                <w:rFonts w:ascii="Calibri" w:cs="Calibri" w:eastAsia="Calibri" w:hAnsi="Calibri"/>
                <w:sz w:val="22"/>
                <w:szCs w:val="22"/>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300,000</w:t>
            </w:r>
          </w:p>
        </w:tc>
        <w:tc>
          <w:tcPr>
            <w:tcW w:w="80" w:type="dxa"/>
            <w:vAlign w:val="bottom"/>
            <w:tcBorders>
              <w:bottom w:val="single" w:sz="8" w:color="E6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303,223</w:t>
            </w:r>
          </w:p>
        </w:tc>
        <w:tc>
          <w:tcPr>
            <w:tcW w:w="80" w:type="dxa"/>
            <w:vAlign w:val="bottom"/>
            <w:tcBorders>
              <w:bottom w:val="single" w:sz="8" w:color="E6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1,816</w:t>
            </w:r>
          </w:p>
        </w:tc>
        <w:tc>
          <w:tcPr>
            <w:tcW w:w="120" w:type="dxa"/>
            <w:vAlign w:val="bottom"/>
            <w:tcBorders>
              <w:bottom w:val="single" w:sz="8" w:color="E6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305,039</w:t>
            </w:r>
          </w:p>
        </w:tc>
        <w:tc>
          <w:tcPr>
            <w:tcW w:w="120" w:type="dxa"/>
            <w:vAlign w:val="bottom"/>
            <w:tcBorders>
              <w:bottom w:val="single" w:sz="8" w:color="E6EEFF"/>
            </w:tcBorders>
          </w:tcPr>
          <w:p>
            <w:pPr>
              <w:spacing w:after="0"/>
              <w:rPr>
                <w:sz w:val="19"/>
                <w:szCs w:val="19"/>
                <w:color w:val="auto"/>
              </w:rPr>
            </w:pPr>
          </w:p>
        </w:tc>
        <w:tc>
          <w:tcPr>
            <w:tcW w:w="1140" w:type="dxa"/>
            <w:vAlign w:val="bottom"/>
            <w:tcBorders>
              <w:bottom w:val="single" w:sz="8" w:color="E6EEFF"/>
            </w:tcBorders>
            <w:gridSpan w:val="2"/>
          </w:tcPr>
          <w:p>
            <w:pPr>
              <w:jc w:val="right"/>
              <w:ind w:right="140"/>
              <w:spacing w:after="0" w:line="205" w:lineRule="exact"/>
              <w:rPr>
                <w:sz w:val="20"/>
                <w:szCs w:val="20"/>
                <w:color w:val="auto"/>
              </w:rPr>
            </w:pPr>
            <w:r>
              <w:rPr>
                <w:rFonts w:ascii="Calibri" w:cs="Calibri" w:eastAsia="Calibri" w:hAnsi="Calibri"/>
                <w:sz w:val="17"/>
                <w:szCs w:val="17"/>
                <w:color w:val="auto"/>
              </w:rPr>
              <w:t>n/a</w:t>
            </w:r>
          </w:p>
        </w:tc>
        <w:tc>
          <w:tcPr>
            <w:tcW w:w="1280" w:type="dxa"/>
            <w:vAlign w:val="bottom"/>
            <w:tcBorders>
              <w:bottom w:val="single" w:sz="8" w:color="E6EEFF"/>
            </w:tcBorders>
            <w:gridSpan w:val="2"/>
          </w:tcPr>
          <w:p>
            <w:pPr>
              <w:jc w:val="right"/>
              <w:ind w:right="120"/>
              <w:spacing w:after="0" w:line="205" w:lineRule="exact"/>
              <w:rPr>
                <w:sz w:val="20"/>
                <w:szCs w:val="20"/>
                <w:color w:val="auto"/>
              </w:rPr>
            </w:pPr>
            <w:r>
              <w:rPr>
                <w:rFonts w:ascii="Calibri" w:cs="Calibri" w:eastAsia="Calibri" w:hAnsi="Calibri"/>
                <w:sz w:val="17"/>
                <w:szCs w:val="17"/>
                <w:color w:val="auto"/>
              </w:rPr>
              <w:t>n/a</w:t>
            </w:r>
          </w:p>
        </w:tc>
        <w:tc>
          <w:tcPr>
            <w:tcW w:w="1060" w:type="dxa"/>
            <w:vAlign w:val="bottom"/>
            <w:tcBorders>
              <w:bottom w:val="single" w:sz="8" w:color="auto"/>
            </w:tcBorders>
          </w:tcPr>
          <w:p>
            <w:pPr>
              <w:jc w:val="right"/>
              <w:ind w:right="114"/>
              <w:spacing w:after="0" w:line="205" w:lineRule="exact"/>
              <w:rPr>
                <w:sz w:val="20"/>
                <w:szCs w:val="20"/>
                <w:color w:val="auto"/>
              </w:rPr>
            </w:pPr>
            <w:r>
              <w:rPr>
                <w:rFonts w:ascii="Calibri" w:cs="Calibri" w:eastAsia="Calibri" w:hAnsi="Calibri"/>
                <w:sz w:val="17"/>
                <w:szCs w:val="17"/>
                <w:color w:val="auto"/>
              </w:rPr>
              <w:t>2.7</w:t>
            </w:r>
          </w:p>
        </w:tc>
        <w:tc>
          <w:tcPr>
            <w:tcW w:w="0" w:type="dxa"/>
            <w:vAlign w:val="bottom"/>
          </w:tcPr>
          <w:p>
            <w:pPr>
              <w:spacing w:after="0"/>
              <w:rPr>
                <w:sz w:val="1"/>
                <w:szCs w:val="1"/>
                <w:color w:val="auto"/>
              </w:rPr>
            </w:pPr>
          </w:p>
        </w:tc>
      </w:tr>
      <w:tr>
        <w:trPr>
          <w:trHeight w:val="139"/>
        </w:trPr>
        <w:tc>
          <w:tcPr>
            <w:tcW w:w="2100" w:type="dxa"/>
            <w:vAlign w:val="bottom"/>
            <w:shd w:val="clear" w:color="auto" w:fill="E6EEFF"/>
          </w:tcPr>
          <w:p>
            <w:pPr>
              <w:ind w:left="20"/>
              <w:spacing w:after="0" w:line="139" w:lineRule="exact"/>
              <w:rPr>
                <w:sz w:val="20"/>
                <w:szCs w:val="20"/>
                <w:color w:val="auto"/>
              </w:rPr>
            </w:pPr>
            <w:r>
              <w:rPr>
                <w:rFonts w:ascii="Calibri" w:cs="Calibri" w:eastAsia="Calibri" w:hAnsi="Calibri"/>
                <w:sz w:val="15"/>
                <w:szCs w:val="15"/>
                <w:b w:val="1"/>
                <w:bCs w:val="1"/>
                <w:color w:val="1C4787"/>
              </w:rPr>
              <w:t>Total Investments in</w:t>
            </w:r>
          </w:p>
        </w:tc>
        <w:tc>
          <w:tcPr>
            <w:tcW w:w="360" w:type="dxa"/>
            <w:vAlign w:val="bottom"/>
            <w:vMerge w:val="restart"/>
            <w:shd w:val="clear" w:color="auto" w:fill="E6EEFF"/>
          </w:tcPr>
          <w:p>
            <w:pPr>
              <w:jc w:val="right"/>
              <w:ind w:right="174"/>
              <w:spacing w:after="0"/>
              <w:rPr>
                <w:sz w:val="20"/>
                <w:szCs w:val="20"/>
                <w:color w:val="auto"/>
              </w:rPr>
            </w:pPr>
            <w:r>
              <w:rPr>
                <w:rFonts w:ascii="Calibri" w:cs="Calibri" w:eastAsia="Calibri" w:hAnsi="Calibri"/>
                <w:sz w:val="17"/>
                <w:szCs w:val="17"/>
                <w:color w:val="auto"/>
                <w:w w:val="92"/>
              </w:rPr>
              <w:t>$</w:t>
            </w:r>
          </w:p>
        </w:tc>
        <w:tc>
          <w:tcPr>
            <w:tcW w:w="960" w:type="dxa"/>
            <w:vAlign w:val="bottom"/>
            <w:vMerge w:val="restart"/>
            <w:shd w:val="clear" w:color="auto" w:fill="E6EEFF"/>
          </w:tcPr>
          <w:p>
            <w:pPr>
              <w:jc w:val="right"/>
              <w:spacing w:after="0"/>
              <w:rPr>
                <w:sz w:val="20"/>
                <w:szCs w:val="20"/>
                <w:color w:val="auto"/>
              </w:rPr>
            </w:pPr>
            <w:r>
              <w:rPr>
                <w:rFonts w:ascii="Calibri" w:cs="Calibri" w:eastAsia="Calibri" w:hAnsi="Calibri"/>
                <w:sz w:val="17"/>
                <w:szCs w:val="17"/>
                <w:color w:val="auto"/>
              </w:rPr>
              <w:t>11,578,161</w:t>
            </w:r>
          </w:p>
        </w:tc>
        <w:tc>
          <w:tcPr>
            <w:tcW w:w="80" w:type="dxa"/>
            <w:vAlign w:val="bottom"/>
            <w:shd w:val="clear" w:color="auto" w:fill="E6EEFF"/>
          </w:tcPr>
          <w:p>
            <w:pPr>
              <w:spacing w:after="0"/>
              <w:rPr>
                <w:sz w:val="12"/>
                <w:szCs w:val="12"/>
                <w:color w:val="auto"/>
              </w:rPr>
            </w:pPr>
          </w:p>
        </w:tc>
        <w:tc>
          <w:tcPr>
            <w:tcW w:w="120" w:type="dxa"/>
            <w:vAlign w:val="bottom"/>
            <w:vMerge w:val="restart"/>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200" w:type="dxa"/>
            <w:vAlign w:val="bottom"/>
            <w:vMerge w:val="restart"/>
            <w:shd w:val="clear" w:color="auto" w:fill="E6EEFF"/>
          </w:tcPr>
          <w:p>
            <w:pPr>
              <w:jc w:val="right"/>
              <w:spacing w:after="0"/>
              <w:rPr>
                <w:sz w:val="20"/>
                <w:szCs w:val="20"/>
                <w:color w:val="auto"/>
              </w:rPr>
            </w:pPr>
            <w:r>
              <w:rPr>
                <w:rFonts w:ascii="Calibri" w:cs="Calibri" w:eastAsia="Calibri" w:hAnsi="Calibri"/>
                <w:sz w:val="17"/>
                <w:szCs w:val="17"/>
                <w:color w:val="auto"/>
              </w:rPr>
              <w:t>11,586,603</w:t>
            </w:r>
          </w:p>
        </w:tc>
        <w:tc>
          <w:tcPr>
            <w:tcW w:w="80" w:type="dxa"/>
            <w:vAlign w:val="bottom"/>
            <w:shd w:val="clear" w:color="auto" w:fill="E6EEFF"/>
          </w:tcPr>
          <w:p>
            <w:pPr>
              <w:spacing w:after="0"/>
              <w:rPr>
                <w:sz w:val="12"/>
                <w:szCs w:val="12"/>
                <w:color w:val="auto"/>
              </w:rPr>
            </w:pPr>
          </w:p>
        </w:tc>
        <w:tc>
          <w:tcPr>
            <w:tcW w:w="180" w:type="dxa"/>
            <w:vAlign w:val="bottom"/>
            <w:vMerge w:val="restart"/>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100" w:type="dxa"/>
            <w:vAlign w:val="bottom"/>
            <w:vMerge w:val="restart"/>
            <w:shd w:val="clear" w:color="auto" w:fill="E6EEFF"/>
          </w:tcPr>
          <w:p>
            <w:pPr>
              <w:jc w:val="right"/>
              <w:spacing w:after="0"/>
              <w:rPr>
                <w:sz w:val="20"/>
                <w:szCs w:val="20"/>
                <w:color w:val="auto"/>
              </w:rPr>
            </w:pPr>
            <w:r>
              <w:rPr>
                <w:rFonts w:ascii="Calibri" w:cs="Calibri" w:eastAsia="Calibri" w:hAnsi="Calibri"/>
                <w:sz w:val="17"/>
                <w:szCs w:val="17"/>
                <w:color w:val="auto"/>
              </w:rPr>
              <w:t>(121,810)</w:t>
            </w:r>
          </w:p>
        </w:tc>
        <w:tc>
          <w:tcPr>
            <w:tcW w:w="120" w:type="dxa"/>
            <w:vAlign w:val="bottom"/>
            <w:shd w:val="clear" w:color="auto" w:fill="E6EEFF"/>
          </w:tcPr>
          <w:p>
            <w:pPr>
              <w:spacing w:after="0"/>
              <w:rPr>
                <w:sz w:val="12"/>
                <w:szCs w:val="12"/>
                <w:color w:val="auto"/>
              </w:rPr>
            </w:pPr>
          </w:p>
        </w:tc>
        <w:tc>
          <w:tcPr>
            <w:tcW w:w="200" w:type="dxa"/>
            <w:vAlign w:val="bottom"/>
            <w:vMerge w:val="restart"/>
            <w:shd w:val="clear" w:color="auto" w:fill="E6EEFF"/>
          </w:tcPr>
          <w:p>
            <w:pPr>
              <w:jc w:val="right"/>
              <w:ind w:right="14"/>
              <w:spacing w:after="0"/>
              <w:rPr>
                <w:sz w:val="20"/>
                <w:szCs w:val="20"/>
                <w:color w:val="auto"/>
              </w:rPr>
            </w:pPr>
            <w:r>
              <w:rPr>
                <w:rFonts w:ascii="Calibri" w:cs="Calibri" w:eastAsia="Calibri" w:hAnsi="Calibri"/>
                <w:sz w:val="17"/>
                <w:szCs w:val="17"/>
                <w:color w:val="auto"/>
                <w:w w:val="92"/>
              </w:rPr>
              <w:t>$</w:t>
            </w:r>
          </w:p>
        </w:tc>
        <w:tc>
          <w:tcPr>
            <w:tcW w:w="1120" w:type="dxa"/>
            <w:vAlign w:val="bottom"/>
            <w:vMerge w:val="restart"/>
            <w:shd w:val="clear" w:color="auto" w:fill="E6EEFF"/>
          </w:tcPr>
          <w:p>
            <w:pPr>
              <w:jc w:val="right"/>
              <w:spacing w:after="0"/>
              <w:rPr>
                <w:sz w:val="20"/>
                <w:szCs w:val="20"/>
                <w:color w:val="auto"/>
              </w:rPr>
            </w:pPr>
            <w:r>
              <w:rPr>
                <w:rFonts w:ascii="Calibri" w:cs="Calibri" w:eastAsia="Calibri" w:hAnsi="Calibri"/>
                <w:sz w:val="17"/>
                <w:szCs w:val="17"/>
                <w:color w:val="auto"/>
              </w:rPr>
              <w:t>11,464,793</w:t>
            </w:r>
          </w:p>
        </w:tc>
        <w:tc>
          <w:tcPr>
            <w:tcW w:w="120" w:type="dxa"/>
            <w:vAlign w:val="bottom"/>
            <w:shd w:val="clear" w:color="auto" w:fill="E6EEFF"/>
          </w:tcPr>
          <w:p>
            <w:pPr>
              <w:spacing w:after="0"/>
              <w:rPr>
                <w:sz w:val="12"/>
                <w:szCs w:val="12"/>
                <w:color w:val="auto"/>
              </w:rPr>
            </w:pPr>
          </w:p>
        </w:tc>
        <w:tc>
          <w:tcPr>
            <w:tcW w:w="1020" w:type="dxa"/>
            <w:vAlign w:val="bottom"/>
            <w:shd w:val="clear" w:color="auto" w:fill="E6EEFF"/>
          </w:tcPr>
          <w:p>
            <w:pPr>
              <w:spacing w:after="0"/>
              <w:rPr>
                <w:sz w:val="12"/>
                <w:szCs w:val="12"/>
                <w:color w:val="auto"/>
              </w:rPr>
            </w:pPr>
          </w:p>
        </w:tc>
        <w:tc>
          <w:tcPr>
            <w:tcW w:w="120" w:type="dxa"/>
            <w:vAlign w:val="bottom"/>
            <w:shd w:val="clear" w:color="auto" w:fill="E6EEFF"/>
          </w:tcPr>
          <w:p>
            <w:pPr>
              <w:spacing w:after="0"/>
              <w:rPr>
                <w:sz w:val="12"/>
                <w:szCs w:val="12"/>
                <w:color w:val="auto"/>
              </w:rPr>
            </w:pPr>
          </w:p>
        </w:tc>
        <w:tc>
          <w:tcPr>
            <w:tcW w:w="1180" w:type="dxa"/>
            <w:vAlign w:val="bottom"/>
            <w:shd w:val="clear" w:color="auto" w:fill="E6EEFF"/>
          </w:tcPr>
          <w:p>
            <w:pPr>
              <w:spacing w:after="0"/>
              <w:rPr>
                <w:sz w:val="12"/>
                <w:szCs w:val="12"/>
                <w:color w:val="auto"/>
              </w:rPr>
            </w:pPr>
          </w:p>
        </w:tc>
        <w:tc>
          <w:tcPr>
            <w:tcW w:w="100" w:type="dxa"/>
            <w:vAlign w:val="bottom"/>
            <w:shd w:val="clear" w:color="auto" w:fill="E6EEFF"/>
          </w:tcPr>
          <w:p>
            <w:pPr>
              <w:spacing w:after="0"/>
              <w:rPr>
                <w:sz w:val="12"/>
                <w:szCs w:val="12"/>
                <w:color w:val="auto"/>
              </w:rPr>
            </w:pPr>
          </w:p>
        </w:tc>
        <w:tc>
          <w:tcPr>
            <w:tcW w:w="1060" w:type="dxa"/>
            <w:vAlign w:val="bottom"/>
            <w:vMerge w:val="restart"/>
            <w:shd w:val="clear" w:color="auto" w:fill="E6EEFF"/>
          </w:tcPr>
          <w:p>
            <w:pPr>
              <w:jc w:val="right"/>
              <w:spacing w:after="0"/>
              <w:rPr>
                <w:sz w:val="20"/>
                <w:szCs w:val="20"/>
                <w:color w:val="auto"/>
              </w:rPr>
            </w:pPr>
            <w:r>
              <w:rPr>
                <w:rFonts w:ascii="Calibri" w:cs="Calibri" w:eastAsia="Calibri" w:hAnsi="Calibri"/>
                <w:sz w:val="17"/>
                <w:szCs w:val="17"/>
                <w:color w:val="auto"/>
              </w:rPr>
              <w:t>100.0 %</w:t>
            </w:r>
          </w:p>
        </w:tc>
        <w:tc>
          <w:tcPr>
            <w:tcW w:w="0" w:type="dxa"/>
            <w:vAlign w:val="bottom"/>
          </w:tcPr>
          <w:p>
            <w:pPr>
              <w:spacing w:after="0"/>
              <w:rPr>
                <w:sz w:val="1"/>
                <w:szCs w:val="1"/>
                <w:color w:val="auto"/>
              </w:rPr>
            </w:pPr>
          </w:p>
        </w:tc>
      </w:tr>
      <w:tr>
        <w:trPr>
          <w:trHeight w:val="234"/>
        </w:trPr>
        <w:tc>
          <w:tcPr>
            <w:tcW w:w="2100" w:type="dxa"/>
            <w:vAlign w:val="bottom"/>
            <w:tcBorders>
              <w:bottom w:val="single" w:sz="8" w:color="E6EEFF"/>
            </w:tcBorders>
            <w:shd w:val="clear" w:color="auto" w:fill="E6EEFF"/>
          </w:tcPr>
          <w:p>
            <w:pPr>
              <w:ind w:left="20"/>
              <w:spacing w:after="0" w:line="205" w:lineRule="exact"/>
              <w:rPr>
                <w:sz w:val="20"/>
                <w:szCs w:val="20"/>
                <w:color w:val="auto"/>
              </w:rPr>
            </w:pPr>
            <w:r>
              <w:rPr>
                <w:rFonts w:ascii="Calibri" w:cs="Calibri" w:eastAsia="Calibri" w:hAnsi="Calibri"/>
                <w:sz w:val="17"/>
                <w:szCs w:val="17"/>
                <w:b w:val="1"/>
                <w:bCs w:val="1"/>
                <w:color w:val="1C4787"/>
              </w:rPr>
              <w:t>Securites</w:t>
            </w:r>
          </w:p>
        </w:tc>
        <w:tc>
          <w:tcPr>
            <w:tcW w:w="360" w:type="dxa"/>
            <w:vAlign w:val="bottom"/>
            <w:tcBorders>
              <w:bottom w:val="single" w:sz="8" w:color="auto"/>
            </w:tcBorders>
            <w:vMerge w:val="continue"/>
            <w:shd w:val="clear" w:color="auto" w:fill="E6EEFF"/>
          </w:tcPr>
          <w:p>
            <w:pPr>
              <w:spacing w:after="0"/>
              <w:rPr>
                <w:sz w:val="20"/>
                <w:szCs w:val="20"/>
                <w:color w:val="auto"/>
              </w:rPr>
            </w:pPr>
          </w:p>
        </w:tc>
        <w:tc>
          <w:tcPr>
            <w:tcW w:w="960" w:type="dxa"/>
            <w:vAlign w:val="bottom"/>
            <w:tcBorders>
              <w:bottom w:val="single" w:sz="8" w:color="auto"/>
            </w:tcBorders>
            <w:vMerge w:val="continue"/>
            <w:shd w:val="clear" w:color="auto" w:fill="E6EEFF"/>
          </w:tcPr>
          <w:p>
            <w:pPr>
              <w:spacing w:after="0"/>
              <w:rPr>
                <w:sz w:val="20"/>
                <w:szCs w:val="20"/>
                <w:color w:val="auto"/>
              </w:rPr>
            </w:pPr>
          </w:p>
        </w:tc>
        <w:tc>
          <w:tcPr>
            <w:tcW w:w="80" w:type="dxa"/>
            <w:vAlign w:val="bottom"/>
            <w:tcBorders>
              <w:bottom w:val="single" w:sz="8" w:color="E6EEFF"/>
            </w:tcBorders>
            <w:shd w:val="clear" w:color="auto" w:fill="E6EEFF"/>
          </w:tcPr>
          <w:p>
            <w:pPr>
              <w:spacing w:after="0"/>
              <w:rPr>
                <w:sz w:val="20"/>
                <w:szCs w:val="20"/>
                <w:color w:val="auto"/>
              </w:rPr>
            </w:pPr>
          </w:p>
        </w:tc>
        <w:tc>
          <w:tcPr>
            <w:tcW w:w="120" w:type="dxa"/>
            <w:vAlign w:val="bottom"/>
            <w:tcBorders>
              <w:bottom w:val="single" w:sz="8" w:color="auto"/>
            </w:tcBorders>
            <w:vMerge w:val="continue"/>
            <w:shd w:val="clear" w:color="auto" w:fill="E6EEFF"/>
          </w:tcPr>
          <w:p>
            <w:pPr>
              <w:spacing w:after="0"/>
              <w:rPr>
                <w:sz w:val="20"/>
                <w:szCs w:val="20"/>
                <w:color w:val="auto"/>
              </w:rPr>
            </w:pPr>
          </w:p>
        </w:tc>
        <w:tc>
          <w:tcPr>
            <w:tcW w:w="1200" w:type="dxa"/>
            <w:vAlign w:val="bottom"/>
            <w:tcBorders>
              <w:bottom w:val="single" w:sz="8" w:color="auto"/>
            </w:tcBorders>
            <w:vMerge w:val="continue"/>
            <w:shd w:val="clear" w:color="auto" w:fill="E6EEFF"/>
          </w:tcPr>
          <w:p>
            <w:pPr>
              <w:spacing w:after="0"/>
              <w:rPr>
                <w:sz w:val="20"/>
                <w:szCs w:val="20"/>
                <w:color w:val="auto"/>
              </w:rPr>
            </w:pPr>
          </w:p>
        </w:tc>
        <w:tc>
          <w:tcPr>
            <w:tcW w:w="80" w:type="dxa"/>
            <w:vAlign w:val="bottom"/>
            <w:tcBorders>
              <w:bottom w:val="single" w:sz="8" w:color="E6EEFF"/>
            </w:tcBorders>
            <w:shd w:val="clear" w:color="auto" w:fill="E6EEFF"/>
          </w:tcPr>
          <w:p>
            <w:pPr>
              <w:spacing w:after="0"/>
              <w:rPr>
                <w:sz w:val="20"/>
                <w:szCs w:val="20"/>
                <w:color w:val="auto"/>
              </w:rPr>
            </w:pPr>
          </w:p>
        </w:tc>
        <w:tc>
          <w:tcPr>
            <w:tcW w:w="180" w:type="dxa"/>
            <w:vAlign w:val="bottom"/>
            <w:tcBorders>
              <w:bottom w:val="single" w:sz="8" w:color="auto"/>
            </w:tcBorders>
            <w:vMerge w:val="continue"/>
            <w:shd w:val="clear" w:color="auto" w:fill="E6EEFF"/>
          </w:tcPr>
          <w:p>
            <w:pPr>
              <w:spacing w:after="0"/>
              <w:rPr>
                <w:sz w:val="20"/>
                <w:szCs w:val="20"/>
                <w:color w:val="auto"/>
              </w:rPr>
            </w:pPr>
          </w:p>
        </w:tc>
        <w:tc>
          <w:tcPr>
            <w:tcW w:w="1100" w:type="dxa"/>
            <w:vAlign w:val="bottom"/>
            <w:tcBorders>
              <w:bottom w:val="single" w:sz="8" w:color="auto"/>
            </w:tcBorders>
            <w:vMerge w:val="continue"/>
            <w:shd w:val="clear" w:color="auto" w:fill="E6EEFF"/>
          </w:tcPr>
          <w:p>
            <w:pPr>
              <w:spacing w:after="0"/>
              <w:rPr>
                <w:sz w:val="20"/>
                <w:szCs w:val="20"/>
                <w:color w:val="auto"/>
              </w:rPr>
            </w:pPr>
          </w:p>
        </w:tc>
        <w:tc>
          <w:tcPr>
            <w:tcW w:w="120" w:type="dxa"/>
            <w:vAlign w:val="bottom"/>
            <w:tcBorders>
              <w:bottom w:val="single" w:sz="8" w:color="E6EEFF"/>
            </w:tcBorders>
            <w:shd w:val="clear" w:color="auto" w:fill="E6EEFF"/>
          </w:tcPr>
          <w:p>
            <w:pPr>
              <w:spacing w:after="0"/>
              <w:rPr>
                <w:sz w:val="20"/>
                <w:szCs w:val="20"/>
                <w:color w:val="auto"/>
              </w:rPr>
            </w:pPr>
          </w:p>
        </w:tc>
        <w:tc>
          <w:tcPr>
            <w:tcW w:w="200" w:type="dxa"/>
            <w:vAlign w:val="bottom"/>
            <w:tcBorders>
              <w:bottom w:val="single" w:sz="8" w:color="auto"/>
            </w:tcBorders>
            <w:vMerge w:val="continue"/>
            <w:shd w:val="clear" w:color="auto" w:fill="E6EEFF"/>
          </w:tcPr>
          <w:p>
            <w:pPr>
              <w:spacing w:after="0"/>
              <w:rPr>
                <w:sz w:val="20"/>
                <w:szCs w:val="20"/>
                <w:color w:val="auto"/>
              </w:rPr>
            </w:pPr>
          </w:p>
        </w:tc>
        <w:tc>
          <w:tcPr>
            <w:tcW w:w="1120" w:type="dxa"/>
            <w:vAlign w:val="bottom"/>
            <w:tcBorders>
              <w:bottom w:val="single" w:sz="8" w:color="auto"/>
            </w:tcBorders>
            <w:vMerge w:val="continue"/>
            <w:shd w:val="clear" w:color="auto" w:fill="E6EEFF"/>
          </w:tcPr>
          <w:p>
            <w:pPr>
              <w:spacing w:after="0"/>
              <w:rPr>
                <w:sz w:val="20"/>
                <w:szCs w:val="20"/>
                <w:color w:val="auto"/>
              </w:rPr>
            </w:pPr>
          </w:p>
        </w:tc>
        <w:tc>
          <w:tcPr>
            <w:tcW w:w="120" w:type="dxa"/>
            <w:vAlign w:val="bottom"/>
            <w:tcBorders>
              <w:bottom w:val="single" w:sz="8" w:color="E6EEFF"/>
            </w:tcBorders>
            <w:shd w:val="clear" w:color="auto" w:fill="E6EEFF"/>
          </w:tcPr>
          <w:p>
            <w:pPr>
              <w:spacing w:after="0"/>
              <w:rPr>
                <w:sz w:val="20"/>
                <w:szCs w:val="20"/>
                <w:color w:val="auto"/>
              </w:rPr>
            </w:pPr>
          </w:p>
        </w:tc>
        <w:tc>
          <w:tcPr>
            <w:tcW w:w="1140" w:type="dxa"/>
            <w:vAlign w:val="bottom"/>
            <w:tcBorders>
              <w:bottom w:val="single" w:sz="8" w:color="E6EEFF"/>
            </w:tcBorders>
            <w:gridSpan w:val="2"/>
            <w:shd w:val="clear" w:color="auto" w:fill="E6EEFF"/>
          </w:tcPr>
          <w:p>
            <w:pPr>
              <w:jc w:val="right"/>
              <w:ind w:right="140"/>
              <w:spacing w:after="0"/>
              <w:rPr>
                <w:sz w:val="20"/>
                <w:szCs w:val="20"/>
                <w:color w:val="auto"/>
              </w:rPr>
            </w:pPr>
            <w:r>
              <w:rPr>
                <w:rFonts w:ascii="Calibri" w:cs="Calibri" w:eastAsia="Calibri" w:hAnsi="Calibri"/>
                <w:sz w:val="17"/>
                <w:szCs w:val="17"/>
                <w:color w:val="auto"/>
              </w:rPr>
              <w:t>n/a</w:t>
            </w:r>
          </w:p>
        </w:tc>
        <w:tc>
          <w:tcPr>
            <w:tcW w:w="1280" w:type="dxa"/>
            <w:vAlign w:val="bottom"/>
            <w:tcBorders>
              <w:bottom w:val="single" w:sz="8" w:color="E6EEFF"/>
            </w:tcBorders>
            <w:gridSpan w:val="2"/>
            <w:shd w:val="clear" w:color="auto" w:fill="E6EEFF"/>
          </w:tcPr>
          <w:p>
            <w:pPr>
              <w:jc w:val="right"/>
              <w:ind w:right="120"/>
              <w:spacing w:after="0"/>
              <w:rPr>
                <w:sz w:val="20"/>
                <w:szCs w:val="20"/>
                <w:color w:val="auto"/>
              </w:rPr>
            </w:pPr>
            <w:r>
              <w:rPr>
                <w:rFonts w:ascii="Calibri" w:cs="Calibri" w:eastAsia="Calibri" w:hAnsi="Calibri"/>
                <w:sz w:val="17"/>
                <w:szCs w:val="17"/>
                <w:color w:val="auto"/>
              </w:rPr>
              <w:t>n/a</w:t>
            </w:r>
          </w:p>
        </w:tc>
        <w:tc>
          <w:tcPr>
            <w:tcW w:w="1060" w:type="dxa"/>
            <w:vAlign w:val="bottom"/>
            <w:tcBorders>
              <w:bottom w:val="single" w:sz="8" w:color="auto"/>
            </w:tcBorders>
            <w:vMerge w:val="continue"/>
            <w:shd w:val="clear" w:color="auto" w:fill="E6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E6EEFF"/>
            </w:tcBorders>
          </w:tcPr>
          <w:p>
            <w:pPr>
              <w:spacing w:after="0" w:line="20" w:lineRule="exact"/>
              <w:rPr>
                <w:sz w:val="1"/>
                <w:szCs w:val="1"/>
                <w:color w:val="auto"/>
              </w:rPr>
            </w:pPr>
          </w:p>
        </w:tc>
        <w:tc>
          <w:tcPr>
            <w:tcW w:w="360" w:type="dxa"/>
            <w:vAlign w:val="bottom"/>
            <w:tcBorders>
              <w:top w:val="single" w:sz="8" w:color="E6EEFF"/>
              <w:bottom w:val="single" w:sz="8" w:color="auto"/>
            </w:tcBorders>
          </w:tcPr>
          <w:p>
            <w:pPr>
              <w:spacing w:after="0" w:line="20" w:lineRule="exact"/>
              <w:rPr>
                <w:sz w:val="1"/>
                <w:szCs w:val="1"/>
                <w:color w:val="auto"/>
              </w:rPr>
            </w:pPr>
          </w:p>
        </w:tc>
        <w:tc>
          <w:tcPr>
            <w:tcW w:w="960" w:type="dxa"/>
            <w:vAlign w:val="bottom"/>
            <w:tcBorders>
              <w:top w:val="single" w:sz="8" w:color="E6EEFF"/>
              <w:bottom w:val="single" w:sz="8" w:color="auto"/>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bottom w:val="single" w:sz="8" w:color="auto"/>
            </w:tcBorders>
          </w:tcPr>
          <w:p>
            <w:pPr>
              <w:spacing w:after="0" w:line="20" w:lineRule="exact"/>
              <w:rPr>
                <w:sz w:val="1"/>
                <w:szCs w:val="1"/>
                <w:color w:val="auto"/>
              </w:rPr>
            </w:pPr>
          </w:p>
        </w:tc>
        <w:tc>
          <w:tcPr>
            <w:tcW w:w="1200" w:type="dxa"/>
            <w:vAlign w:val="bottom"/>
            <w:tcBorders>
              <w:top w:val="single" w:sz="8" w:color="E6EEFF"/>
              <w:bottom w:val="single" w:sz="8" w:color="auto"/>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180" w:type="dxa"/>
            <w:vAlign w:val="bottom"/>
            <w:tcBorders>
              <w:top w:val="single" w:sz="8" w:color="E6EEFF"/>
              <w:bottom w:val="single" w:sz="8" w:color="auto"/>
            </w:tcBorders>
          </w:tcPr>
          <w:p>
            <w:pPr>
              <w:spacing w:after="0" w:line="20" w:lineRule="exact"/>
              <w:rPr>
                <w:sz w:val="1"/>
                <w:szCs w:val="1"/>
                <w:color w:val="auto"/>
              </w:rPr>
            </w:pPr>
          </w:p>
        </w:tc>
        <w:tc>
          <w:tcPr>
            <w:tcW w:w="110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200" w:type="dxa"/>
            <w:vAlign w:val="bottom"/>
            <w:tcBorders>
              <w:top w:val="single" w:sz="8" w:color="E6EEFF"/>
              <w:bottom w:val="single" w:sz="8" w:color="auto"/>
            </w:tcBorders>
          </w:tcPr>
          <w:p>
            <w:pPr>
              <w:spacing w:after="0" w:line="20" w:lineRule="exact"/>
              <w:rPr>
                <w:sz w:val="1"/>
                <w:szCs w:val="1"/>
                <w:color w:val="auto"/>
              </w:rPr>
            </w:pPr>
          </w:p>
        </w:tc>
        <w:tc>
          <w:tcPr>
            <w:tcW w:w="112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02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180" w:type="dxa"/>
            <w:vAlign w:val="bottom"/>
            <w:tcBorders>
              <w:top w:val="single" w:sz="8" w:color="E6EEFF"/>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060" w:type="dxa"/>
            <w:vAlign w:val="bottom"/>
            <w:tcBorders>
              <w:top w:val="single" w:sz="8" w:color="E6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320" w:hanging="317"/>
        <w:spacing w:after="0" w:line="237" w:lineRule="auto"/>
        <w:tabs>
          <w:tab w:leader="none" w:pos="313" w:val="left"/>
        </w:tabs>
        <w:numPr>
          <w:ilvl w:val="0"/>
          <w:numId w:val="22"/>
        </w:numPr>
        <w:rPr>
          <w:rFonts w:ascii="Calibri" w:cs="Calibri" w:eastAsia="Calibri" w:hAnsi="Calibri"/>
          <w:sz w:val="17"/>
          <w:szCs w:val="17"/>
          <w:color w:val="auto"/>
        </w:rPr>
      </w:pPr>
      <w:r>
        <w:rPr>
          <w:rFonts w:ascii="Calibri" w:cs="Calibri" w:eastAsia="Calibri" w:hAnsi="Calibri"/>
          <w:sz w:val="17"/>
          <w:szCs w:val="17"/>
          <w:color w:val="auto"/>
        </w:rPr>
        <w:t>Weighted average CPR during the fourth quarter for the securites owned at December 31, 2023. Negatve CPR can occur if payments are not made on the frst of the month and the scheduled principal amount is not received.</w:t>
      </w:r>
    </w:p>
    <w:p>
      <w:pPr>
        <w:spacing w:after="0" w:line="54" w:lineRule="exact"/>
        <w:rPr>
          <w:rFonts w:ascii="Calibri" w:cs="Calibri" w:eastAsia="Calibri" w:hAnsi="Calibri"/>
          <w:sz w:val="17"/>
          <w:szCs w:val="17"/>
          <w:color w:val="auto"/>
        </w:rPr>
      </w:pPr>
    </w:p>
    <w:p>
      <w:pPr>
        <w:jc w:val="both"/>
        <w:ind w:left="320" w:hanging="317"/>
        <w:spacing w:after="0" w:line="238" w:lineRule="auto"/>
        <w:tabs>
          <w:tab w:leader="none" w:pos="313" w:val="left"/>
        </w:tabs>
        <w:numPr>
          <w:ilvl w:val="0"/>
          <w:numId w:val="22"/>
        </w:numPr>
        <w:rPr>
          <w:rFonts w:ascii="Calibri" w:cs="Calibri" w:eastAsia="Calibri" w:hAnsi="Calibri"/>
          <w:sz w:val="17"/>
          <w:szCs w:val="17"/>
          <w:color w:val="auto"/>
        </w:rPr>
      </w:pPr>
      <w:r>
        <w:rPr>
          <w:rFonts w:ascii="Calibri" w:cs="Calibri" w:eastAsia="Calibri" w:hAnsi="Calibri"/>
          <w:sz w:val="17"/>
          <w:szCs w:val="17"/>
          <w:color w:val="auto"/>
        </w:rPr>
        <w:t>Our TBA Agency Securites were recorded as derivatve instruments in our accompanying consolidated fnancial statements. Our TBA Agency Securites were reported at net carrying values of $1,816, at December 31, 2023 and are reported in Derivatves, at fair value on our consolidated balance sheets (see Note 7 to the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7" w:name="page58"/>
    <w:bookmarkEnd w:id="57"/>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tbl>
      <w:tblPr>
        <w:tblLayout w:type="fixed"/>
        <w:tblInd w:w="60" w:type="dxa"/>
        <w:tblCellMar>
          <w:top w:w="0" w:type="dxa"/>
          <w:left w:w="0" w:type="dxa"/>
          <w:bottom w:w="0" w:type="dxa"/>
          <w:right w:w="0" w:type="dxa"/>
        </w:tblCellMar>
      </w:tblPr>
      <w:tr>
        <w:trPr>
          <w:trHeight w:val="205"/>
        </w:trPr>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spacing w:after="0" w:line="205" w:lineRule="exact"/>
              <w:rPr>
                <w:sz w:val="20"/>
                <w:szCs w:val="20"/>
                <w:color w:val="auto"/>
              </w:rPr>
            </w:pPr>
            <w:r>
              <w:rPr>
                <w:rFonts w:ascii="Calibri" w:cs="Calibri" w:eastAsia="Calibri" w:hAnsi="Calibri"/>
                <w:sz w:val="17"/>
                <w:szCs w:val="17"/>
                <w:color w:val="1C4787"/>
              </w:rPr>
              <w:t>56</w:t>
            </w:r>
          </w:p>
        </w:tc>
        <w:tc>
          <w:tcPr>
            <w:tcW w:w="0" w:type="dxa"/>
            <w:vAlign w:val="bottom"/>
          </w:tcPr>
          <w:p>
            <w:pPr>
              <w:spacing w:after="0"/>
              <w:rPr>
                <w:sz w:val="1"/>
                <w:szCs w:val="1"/>
                <w:color w:val="auto"/>
              </w:rPr>
            </w:pPr>
          </w:p>
        </w:tc>
      </w:tr>
      <w:tr>
        <w:trPr>
          <w:trHeight w:val="548"/>
        </w:trPr>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100" w:type="dxa"/>
            <w:vAlign w:val="bottom"/>
            <w:shd w:val="clear" w:color="auto" w:fill="E6EEFF"/>
          </w:tcPr>
          <w:p>
            <w:pPr>
              <w:spacing w:after="0"/>
              <w:rPr>
                <w:sz w:val="14"/>
                <w:szCs w:val="14"/>
                <w:color w:val="auto"/>
              </w:rPr>
            </w:pPr>
          </w:p>
        </w:tc>
        <w:tc>
          <w:tcPr>
            <w:tcW w:w="280" w:type="dxa"/>
            <w:vAlign w:val="bottom"/>
            <w:shd w:val="clear" w:color="auto" w:fill="E6EEFF"/>
          </w:tcPr>
          <w:p>
            <w:pPr>
              <w:spacing w:after="0"/>
              <w:rPr>
                <w:sz w:val="14"/>
                <w:szCs w:val="14"/>
                <w:color w:val="auto"/>
              </w:rPr>
            </w:pPr>
          </w:p>
        </w:tc>
        <w:tc>
          <w:tcPr>
            <w:tcW w:w="960" w:type="dxa"/>
            <w:vAlign w:val="bottom"/>
            <w:shd w:val="clear" w:color="auto" w:fill="E6EEFF"/>
          </w:tcPr>
          <w:p>
            <w:pPr>
              <w:spacing w:after="0"/>
              <w:rPr>
                <w:sz w:val="14"/>
                <w:szCs w:val="14"/>
                <w:color w:val="auto"/>
              </w:rPr>
            </w:pPr>
          </w:p>
        </w:tc>
        <w:tc>
          <w:tcPr>
            <w:tcW w:w="100" w:type="dxa"/>
            <w:vAlign w:val="bottom"/>
            <w:shd w:val="clear" w:color="auto" w:fill="E6EEFF"/>
          </w:tcPr>
          <w:p>
            <w:pPr>
              <w:spacing w:after="0"/>
              <w:rPr>
                <w:sz w:val="14"/>
                <w:szCs w:val="14"/>
                <w:color w:val="auto"/>
              </w:rPr>
            </w:pPr>
          </w:p>
        </w:tc>
        <w:tc>
          <w:tcPr>
            <w:tcW w:w="300" w:type="dxa"/>
            <w:vAlign w:val="bottom"/>
            <w:shd w:val="clear" w:color="auto" w:fill="E6EEFF"/>
          </w:tcPr>
          <w:p>
            <w:pPr>
              <w:spacing w:after="0"/>
              <w:rPr>
                <w:sz w:val="14"/>
                <w:szCs w:val="14"/>
                <w:color w:val="auto"/>
              </w:rPr>
            </w:pPr>
          </w:p>
        </w:tc>
        <w:tc>
          <w:tcPr>
            <w:tcW w:w="94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80" w:type="dxa"/>
            <w:vAlign w:val="bottom"/>
            <w:shd w:val="clear" w:color="auto" w:fill="E6EEFF"/>
          </w:tcPr>
          <w:p>
            <w:pPr>
              <w:spacing w:after="0"/>
              <w:rPr>
                <w:sz w:val="14"/>
                <w:szCs w:val="14"/>
                <w:color w:val="auto"/>
              </w:rPr>
            </w:pPr>
          </w:p>
        </w:tc>
        <w:tc>
          <w:tcPr>
            <w:tcW w:w="106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200" w:type="dxa"/>
            <w:vAlign w:val="bottom"/>
            <w:shd w:val="clear" w:color="auto" w:fill="E6EEFF"/>
          </w:tcPr>
          <w:p>
            <w:pPr>
              <w:spacing w:after="0"/>
              <w:rPr>
                <w:sz w:val="14"/>
                <w:szCs w:val="14"/>
                <w:color w:val="auto"/>
              </w:rPr>
            </w:pPr>
          </w:p>
        </w:tc>
        <w:tc>
          <w:tcPr>
            <w:tcW w:w="1040" w:type="dxa"/>
            <w:vAlign w:val="bottom"/>
            <w:shd w:val="clear" w:color="auto" w:fill="E6EEFF"/>
          </w:tcPr>
          <w:p>
            <w:pPr>
              <w:spacing w:after="0"/>
              <w:rPr>
                <w:sz w:val="14"/>
                <w:szCs w:val="14"/>
                <w:color w:val="auto"/>
              </w:rPr>
            </w:pPr>
          </w:p>
        </w:tc>
        <w:tc>
          <w:tcPr>
            <w:tcW w:w="100" w:type="dxa"/>
            <w:vAlign w:val="bottom"/>
            <w:shd w:val="clear" w:color="auto" w:fill="E6EEFF"/>
          </w:tcPr>
          <w:p>
            <w:pPr>
              <w:spacing w:after="0"/>
              <w:rPr>
                <w:sz w:val="14"/>
                <w:szCs w:val="14"/>
                <w:color w:val="auto"/>
              </w:rPr>
            </w:pPr>
          </w:p>
        </w:tc>
        <w:tc>
          <w:tcPr>
            <w:tcW w:w="1060" w:type="dxa"/>
            <w:vAlign w:val="bottom"/>
            <w:shd w:val="clear" w:color="auto" w:fill="E6EEFF"/>
          </w:tcPr>
          <w:p>
            <w:pPr>
              <w:spacing w:after="0"/>
              <w:rPr>
                <w:sz w:val="14"/>
                <w:szCs w:val="14"/>
                <w:color w:val="auto"/>
              </w:rPr>
            </w:pPr>
          </w:p>
        </w:tc>
        <w:tc>
          <w:tcPr>
            <w:tcW w:w="80" w:type="dxa"/>
            <w:vAlign w:val="bottom"/>
            <w:shd w:val="clear" w:color="auto" w:fill="E6EEFF"/>
          </w:tcPr>
          <w:p>
            <w:pPr>
              <w:spacing w:after="0"/>
              <w:rPr>
                <w:sz w:val="14"/>
                <w:szCs w:val="14"/>
                <w:color w:val="auto"/>
              </w:rPr>
            </w:pPr>
          </w:p>
        </w:tc>
        <w:tc>
          <w:tcPr>
            <w:tcW w:w="1280" w:type="dxa"/>
            <w:vAlign w:val="bottom"/>
            <w:gridSpan w:val="2"/>
            <w:shd w:val="clear" w:color="auto" w:fill="E6EEFF"/>
          </w:tcPr>
          <w:p>
            <w:pPr>
              <w:jc w:val="center"/>
              <w:ind w:right="100"/>
              <w:spacing w:after="0" w:line="173" w:lineRule="exact"/>
              <w:rPr>
                <w:sz w:val="20"/>
                <w:szCs w:val="20"/>
                <w:color w:val="auto"/>
              </w:rPr>
            </w:pPr>
            <w:r>
              <w:rPr>
                <w:rFonts w:ascii="Calibri" w:cs="Calibri" w:eastAsia="Calibri" w:hAnsi="Calibri"/>
                <w:sz w:val="17"/>
                <w:szCs w:val="17"/>
                <w:b w:val="1"/>
                <w:bCs w:val="1"/>
                <w:color w:val="1C4787"/>
                <w:w w:val="95"/>
              </w:rPr>
              <w:t>Weighted</w:t>
            </w:r>
          </w:p>
        </w:tc>
        <w:tc>
          <w:tcPr>
            <w:tcW w:w="1200" w:type="dxa"/>
            <w:vAlign w:val="bottom"/>
            <w:shd w:val="clear" w:color="auto" w:fill="E6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shd w:val="clear" w:color="auto" w:fill="E6EEFF"/>
          </w:tcPr>
          <w:p>
            <w:pPr>
              <w:spacing w:after="0"/>
              <w:rPr>
                <w:sz w:val="14"/>
                <w:szCs w:val="14"/>
                <w:color w:val="auto"/>
              </w:rPr>
            </w:pPr>
          </w:p>
        </w:tc>
        <w:tc>
          <w:tcPr>
            <w:tcW w:w="280" w:type="dxa"/>
            <w:vAlign w:val="bottom"/>
            <w:shd w:val="clear" w:color="auto" w:fill="E6EEFF"/>
          </w:tcPr>
          <w:p>
            <w:pPr>
              <w:spacing w:after="0"/>
              <w:rPr>
                <w:sz w:val="14"/>
                <w:szCs w:val="14"/>
                <w:color w:val="auto"/>
              </w:rPr>
            </w:pPr>
          </w:p>
        </w:tc>
        <w:tc>
          <w:tcPr>
            <w:tcW w:w="1060" w:type="dxa"/>
            <w:vAlign w:val="bottom"/>
            <w:gridSpan w:val="2"/>
            <w:vMerge w:val="restart"/>
            <w:shd w:val="clear" w:color="auto" w:fill="E6EEFF"/>
          </w:tcPr>
          <w:p>
            <w:pPr>
              <w:ind w:left="40"/>
              <w:spacing w:after="0"/>
              <w:rPr>
                <w:sz w:val="20"/>
                <w:szCs w:val="20"/>
                <w:color w:val="auto"/>
              </w:rPr>
            </w:pPr>
            <w:r>
              <w:rPr>
                <w:rFonts w:ascii="Calibri" w:cs="Calibri" w:eastAsia="Calibri" w:hAnsi="Calibri"/>
                <w:sz w:val="17"/>
                <w:szCs w:val="17"/>
                <w:b w:val="1"/>
                <w:bCs w:val="1"/>
                <w:color w:val="1C4787"/>
              </w:rPr>
              <w:t>Principal</w:t>
            </w:r>
          </w:p>
        </w:tc>
        <w:tc>
          <w:tcPr>
            <w:tcW w:w="300" w:type="dxa"/>
            <w:vAlign w:val="bottom"/>
            <w:shd w:val="clear" w:color="auto" w:fill="E6EEFF"/>
          </w:tcPr>
          <w:p>
            <w:pPr>
              <w:spacing w:after="0"/>
              <w:rPr>
                <w:sz w:val="14"/>
                <w:szCs w:val="14"/>
                <w:color w:val="auto"/>
              </w:rPr>
            </w:pPr>
          </w:p>
        </w:tc>
        <w:tc>
          <w:tcPr>
            <w:tcW w:w="94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360" w:type="dxa"/>
            <w:vAlign w:val="bottom"/>
            <w:gridSpan w:val="3"/>
            <w:vMerge w:val="restart"/>
            <w:shd w:val="clear" w:color="auto" w:fill="E6EEFF"/>
          </w:tcPr>
          <w:p>
            <w:pPr>
              <w:ind w:left="40"/>
              <w:spacing w:after="0"/>
              <w:rPr>
                <w:sz w:val="20"/>
                <w:szCs w:val="20"/>
                <w:color w:val="auto"/>
              </w:rPr>
            </w:pPr>
            <w:r>
              <w:rPr>
                <w:rFonts w:ascii="Calibri" w:cs="Calibri" w:eastAsia="Calibri" w:hAnsi="Calibri"/>
                <w:sz w:val="17"/>
                <w:szCs w:val="17"/>
                <w:b w:val="1"/>
                <w:bCs w:val="1"/>
                <w:color w:val="1C4787"/>
              </w:rPr>
              <w:t>Gross Unrealized</w:t>
            </w:r>
          </w:p>
        </w:tc>
        <w:tc>
          <w:tcPr>
            <w:tcW w:w="200" w:type="dxa"/>
            <w:vAlign w:val="bottom"/>
            <w:shd w:val="clear" w:color="auto" w:fill="E6EEFF"/>
          </w:tcPr>
          <w:p>
            <w:pPr>
              <w:spacing w:after="0"/>
              <w:rPr>
                <w:sz w:val="14"/>
                <w:szCs w:val="14"/>
                <w:color w:val="auto"/>
              </w:rPr>
            </w:pPr>
          </w:p>
        </w:tc>
        <w:tc>
          <w:tcPr>
            <w:tcW w:w="1040" w:type="dxa"/>
            <w:vAlign w:val="bottom"/>
            <w:shd w:val="clear" w:color="auto" w:fill="E6EEFF"/>
          </w:tcPr>
          <w:p>
            <w:pPr>
              <w:spacing w:after="0"/>
              <w:rPr>
                <w:sz w:val="14"/>
                <w:szCs w:val="14"/>
                <w:color w:val="auto"/>
              </w:rPr>
            </w:pPr>
          </w:p>
        </w:tc>
        <w:tc>
          <w:tcPr>
            <w:tcW w:w="100" w:type="dxa"/>
            <w:vAlign w:val="bottom"/>
            <w:shd w:val="clear" w:color="auto" w:fill="E6EEFF"/>
          </w:tcPr>
          <w:p>
            <w:pPr>
              <w:spacing w:after="0"/>
              <w:rPr>
                <w:sz w:val="14"/>
                <w:szCs w:val="14"/>
                <w:color w:val="auto"/>
              </w:rPr>
            </w:pPr>
          </w:p>
        </w:tc>
        <w:tc>
          <w:tcPr>
            <w:tcW w:w="1060" w:type="dxa"/>
            <w:vAlign w:val="bottom"/>
            <w:shd w:val="clear" w:color="auto" w:fill="E6EEFF"/>
          </w:tcPr>
          <w:p>
            <w:pPr>
              <w:spacing w:after="0"/>
              <w:rPr>
                <w:sz w:val="14"/>
                <w:szCs w:val="14"/>
                <w:color w:val="auto"/>
              </w:rPr>
            </w:pPr>
          </w:p>
        </w:tc>
        <w:tc>
          <w:tcPr>
            <w:tcW w:w="80" w:type="dxa"/>
            <w:vAlign w:val="bottom"/>
            <w:shd w:val="clear" w:color="auto" w:fill="E6EEFF"/>
          </w:tcPr>
          <w:p>
            <w:pPr>
              <w:spacing w:after="0"/>
              <w:rPr>
                <w:sz w:val="14"/>
                <w:szCs w:val="14"/>
                <w:color w:val="auto"/>
              </w:rPr>
            </w:pPr>
          </w:p>
        </w:tc>
        <w:tc>
          <w:tcPr>
            <w:tcW w:w="1280" w:type="dxa"/>
            <w:vAlign w:val="bottom"/>
            <w:gridSpan w:val="2"/>
            <w:shd w:val="clear" w:color="auto" w:fill="E6EEFF"/>
          </w:tcPr>
          <w:p>
            <w:pPr>
              <w:jc w:val="center"/>
              <w:ind w:right="120"/>
              <w:spacing w:after="0" w:line="167" w:lineRule="exact"/>
              <w:rPr>
                <w:sz w:val="20"/>
                <w:szCs w:val="20"/>
                <w:color w:val="auto"/>
              </w:rPr>
            </w:pPr>
            <w:r>
              <w:rPr>
                <w:rFonts w:ascii="Calibri" w:cs="Calibri" w:eastAsia="Calibri" w:hAnsi="Calibri"/>
                <w:sz w:val="17"/>
                <w:szCs w:val="17"/>
                <w:b w:val="1"/>
                <w:bCs w:val="1"/>
                <w:color w:val="1C4787"/>
                <w:w w:val="96"/>
              </w:rPr>
              <w:t>Average</w:t>
            </w:r>
          </w:p>
        </w:tc>
        <w:tc>
          <w:tcPr>
            <w:tcW w:w="1200" w:type="dxa"/>
            <w:vAlign w:val="bottom"/>
            <w:shd w:val="clear" w:color="auto" w:fill="E6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shd w:val="clear" w:color="auto" w:fill="E6EEFF"/>
          </w:tcPr>
          <w:p>
            <w:pPr>
              <w:spacing w:after="0"/>
              <w:rPr>
                <w:sz w:val="14"/>
                <w:szCs w:val="14"/>
                <w:color w:val="auto"/>
              </w:rPr>
            </w:pPr>
          </w:p>
        </w:tc>
        <w:tc>
          <w:tcPr>
            <w:tcW w:w="280" w:type="dxa"/>
            <w:vAlign w:val="bottom"/>
            <w:shd w:val="clear" w:color="auto" w:fill="E6EEFF"/>
          </w:tcPr>
          <w:p>
            <w:pPr>
              <w:spacing w:after="0"/>
              <w:rPr>
                <w:sz w:val="14"/>
                <w:szCs w:val="14"/>
                <w:color w:val="auto"/>
              </w:rPr>
            </w:pPr>
          </w:p>
        </w:tc>
        <w:tc>
          <w:tcPr>
            <w:tcW w:w="1060" w:type="dxa"/>
            <w:vAlign w:val="bottom"/>
            <w:gridSpan w:val="2"/>
            <w:vMerge w:val="continue"/>
            <w:shd w:val="clear" w:color="auto" w:fill="E6EEFF"/>
          </w:tcPr>
          <w:p>
            <w:pPr>
              <w:spacing w:after="0"/>
              <w:rPr>
                <w:sz w:val="14"/>
                <w:szCs w:val="14"/>
                <w:color w:val="auto"/>
              </w:rPr>
            </w:pPr>
          </w:p>
        </w:tc>
        <w:tc>
          <w:tcPr>
            <w:tcW w:w="300" w:type="dxa"/>
            <w:vAlign w:val="bottom"/>
            <w:shd w:val="clear" w:color="auto" w:fill="E6EEFF"/>
          </w:tcPr>
          <w:p>
            <w:pPr>
              <w:spacing w:after="0"/>
              <w:rPr>
                <w:sz w:val="14"/>
                <w:szCs w:val="14"/>
                <w:color w:val="auto"/>
              </w:rPr>
            </w:pPr>
          </w:p>
        </w:tc>
        <w:tc>
          <w:tcPr>
            <w:tcW w:w="94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360" w:type="dxa"/>
            <w:vAlign w:val="bottom"/>
            <w:gridSpan w:val="3"/>
            <w:vMerge w:val="continue"/>
            <w:shd w:val="clear" w:color="auto" w:fill="E6EEFF"/>
          </w:tcPr>
          <w:p>
            <w:pPr>
              <w:spacing w:after="0"/>
              <w:rPr>
                <w:sz w:val="14"/>
                <w:szCs w:val="14"/>
                <w:color w:val="auto"/>
              </w:rPr>
            </w:pPr>
          </w:p>
        </w:tc>
        <w:tc>
          <w:tcPr>
            <w:tcW w:w="200" w:type="dxa"/>
            <w:vAlign w:val="bottom"/>
            <w:shd w:val="clear" w:color="auto" w:fill="E6EEFF"/>
          </w:tcPr>
          <w:p>
            <w:pPr>
              <w:spacing w:after="0"/>
              <w:rPr>
                <w:sz w:val="14"/>
                <w:szCs w:val="14"/>
                <w:color w:val="auto"/>
              </w:rPr>
            </w:pPr>
          </w:p>
        </w:tc>
        <w:tc>
          <w:tcPr>
            <w:tcW w:w="1040" w:type="dxa"/>
            <w:vAlign w:val="bottom"/>
            <w:shd w:val="clear" w:color="auto" w:fill="E6EEFF"/>
          </w:tcPr>
          <w:p>
            <w:pPr>
              <w:spacing w:after="0"/>
              <w:rPr>
                <w:sz w:val="14"/>
                <w:szCs w:val="14"/>
                <w:color w:val="auto"/>
              </w:rPr>
            </w:pPr>
          </w:p>
        </w:tc>
        <w:tc>
          <w:tcPr>
            <w:tcW w:w="100" w:type="dxa"/>
            <w:vAlign w:val="bottom"/>
            <w:shd w:val="clear" w:color="auto" w:fill="E6EEFF"/>
          </w:tcPr>
          <w:p>
            <w:pPr>
              <w:spacing w:after="0"/>
              <w:rPr>
                <w:sz w:val="14"/>
                <w:szCs w:val="14"/>
                <w:color w:val="auto"/>
              </w:rPr>
            </w:pPr>
          </w:p>
        </w:tc>
        <w:tc>
          <w:tcPr>
            <w:tcW w:w="1060" w:type="dxa"/>
            <w:vAlign w:val="bottom"/>
            <w:shd w:val="clear" w:color="auto" w:fill="E6EEFF"/>
          </w:tcPr>
          <w:p>
            <w:pPr>
              <w:spacing w:after="0"/>
              <w:rPr>
                <w:sz w:val="14"/>
                <w:szCs w:val="14"/>
                <w:color w:val="auto"/>
              </w:rPr>
            </w:pPr>
          </w:p>
        </w:tc>
        <w:tc>
          <w:tcPr>
            <w:tcW w:w="80" w:type="dxa"/>
            <w:vAlign w:val="bottom"/>
            <w:shd w:val="clear" w:color="auto" w:fill="E6EEFF"/>
          </w:tcPr>
          <w:p>
            <w:pPr>
              <w:spacing w:after="0"/>
              <w:rPr>
                <w:sz w:val="14"/>
                <w:szCs w:val="14"/>
                <w:color w:val="auto"/>
              </w:rPr>
            </w:pPr>
          </w:p>
        </w:tc>
        <w:tc>
          <w:tcPr>
            <w:tcW w:w="1280" w:type="dxa"/>
            <w:vAlign w:val="bottom"/>
            <w:gridSpan w:val="2"/>
            <w:shd w:val="clear" w:color="auto" w:fill="E6EEFF"/>
          </w:tcPr>
          <w:p>
            <w:pPr>
              <w:jc w:val="center"/>
              <w:ind w:right="120"/>
              <w:spacing w:after="0" w:line="167" w:lineRule="exact"/>
              <w:rPr>
                <w:sz w:val="20"/>
                <w:szCs w:val="20"/>
                <w:color w:val="auto"/>
              </w:rPr>
            </w:pPr>
            <w:r>
              <w:rPr>
                <w:rFonts w:ascii="Calibri" w:cs="Calibri" w:eastAsia="Calibri" w:hAnsi="Calibri"/>
                <w:sz w:val="17"/>
                <w:szCs w:val="17"/>
                <w:b w:val="1"/>
                <w:bCs w:val="1"/>
                <w:color w:val="1C4787"/>
                <w:w w:val="97"/>
              </w:rPr>
              <w:t>Months to</w:t>
            </w:r>
          </w:p>
        </w:tc>
        <w:tc>
          <w:tcPr>
            <w:tcW w:w="1200" w:type="dxa"/>
            <w:vAlign w:val="bottom"/>
            <w:shd w:val="clear" w:color="auto" w:fill="E6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100" w:type="dxa"/>
            <w:vAlign w:val="bottom"/>
            <w:shd w:val="clear" w:color="auto" w:fill="E6EEFF"/>
          </w:tcPr>
          <w:p>
            <w:pPr>
              <w:ind w:left="32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280" w:type="dxa"/>
            <w:vAlign w:val="bottom"/>
            <w:shd w:val="clear" w:color="auto" w:fill="E6EEFF"/>
          </w:tcPr>
          <w:p>
            <w:pPr>
              <w:spacing w:after="0"/>
              <w:rPr>
                <w:sz w:val="19"/>
                <w:szCs w:val="19"/>
                <w:color w:val="auto"/>
              </w:rPr>
            </w:pPr>
          </w:p>
        </w:tc>
        <w:tc>
          <w:tcPr>
            <w:tcW w:w="1060" w:type="dxa"/>
            <w:vAlign w:val="bottom"/>
            <w:gridSpan w:val="2"/>
            <w:shd w:val="clear" w:color="auto" w:fill="E6EEFF"/>
          </w:tcPr>
          <w:p>
            <w:pPr>
              <w:ind w:left="60"/>
              <w:spacing w:after="0" w:line="205" w:lineRule="exact"/>
              <w:rPr>
                <w:sz w:val="20"/>
                <w:szCs w:val="20"/>
                <w:color w:val="auto"/>
              </w:rPr>
            </w:pPr>
            <w:r>
              <w:rPr>
                <w:rFonts w:ascii="Calibri" w:cs="Calibri" w:eastAsia="Calibri" w:hAnsi="Calibri"/>
                <w:sz w:val="17"/>
                <w:szCs w:val="17"/>
                <w:b w:val="1"/>
                <w:bCs w:val="1"/>
                <w:color w:val="1C4787"/>
              </w:rPr>
              <w:t>Amount</w:t>
            </w:r>
          </w:p>
        </w:tc>
        <w:tc>
          <w:tcPr>
            <w:tcW w:w="1360" w:type="dxa"/>
            <w:vAlign w:val="bottom"/>
            <w:gridSpan w:val="3"/>
            <w:shd w:val="clear" w:color="auto" w:fill="E6EEFF"/>
          </w:tcPr>
          <w:p>
            <w:pPr>
              <w:ind w:left="100"/>
              <w:spacing w:after="0" w:line="205" w:lineRule="exact"/>
              <w:rPr>
                <w:sz w:val="20"/>
                <w:szCs w:val="20"/>
                <w:color w:val="auto"/>
              </w:rPr>
            </w:pPr>
            <w:r>
              <w:rPr>
                <w:rFonts w:ascii="Calibri" w:cs="Calibri" w:eastAsia="Calibri" w:hAnsi="Calibri"/>
                <w:sz w:val="17"/>
                <w:szCs w:val="17"/>
                <w:b w:val="1"/>
                <w:bCs w:val="1"/>
                <w:color w:val="1C4787"/>
              </w:rPr>
              <w:t>Amortzed Cost</w:t>
            </w:r>
          </w:p>
        </w:tc>
        <w:tc>
          <w:tcPr>
            <w:tcW w:w="180" w:type="dxa"/>
            <w:vAlign w:val="bottom"/>
            <w:shd w:val="clear" w:color="auto" w:fill="E6EEFF"/>
          </w:tcPr>
          <w:p>
            <w:pPr>
              <w:spacing w:after="0"/>
              <w:rPr>
                <w:sz w:val="19"/>
                <w:szCs w:val="19"/>
                <w:color w:val="auto"/>
              </w:rPr>
            </w:pPr>
          </w:p>
        </w:tc>
        <w:tc>
          <w:tcPr>
            <w:tcW w:w="1180" w:type="dxa"/>
            <w:vAlign w:val="bottom"/>
            <w:gridSpan w:val="2"/>
            <w:shd w:val="clear" w:color="auto" w:fill="E6EEFF"/>
          </w:tcPr>
          <w:p>
            <w:pPr>
              <w:ind w:left="60"/>
              <w:spacing w:after="0" w:line="205" w:lineRule="exact"/>
              <w:rPr>
                <w:sz w:val="20"/>
                <w:szCs w:val="20"/>
                <w:color w:val="auto"/>
              </w:rPr>
            </w:pPr>
            <w:r>
              <w:rPr>
                <w:rFonts w:ascii="Calibri" w:cs="Calibri" w:eastAsia="Calibri" w:hAnsi="Calibri"/>
                <w:sz w:val="17"/>
                <w:szCs w:val="17"/>
                <w:b w:val="1"/>
                <w:bCs w:val="1"/>
                <w:color w:val="1C4787"/>
              </w:rPr>
              <w:t>Gain (Loss)</w:t>
            </w:r>
          </w:p>
        </w:tc>
        <w:tc>
          <w:tcPr>
            <w:tcW w:w="200" w:type="dxa"/>
            <w:vAlign w:val="bottom"/>
            <w:shd w:val="clear" w:color="auto" w:fill="E6EEFF"/>
          </w:tcPr>
          <w:p>
            <w:pPr>
              <w:spacing w:after="0"/>
              <w:rPr>
                <w:sz w:val="19"/>
                <w:szCs w:val="19"/>
                <w:color w:val="auto"/>
              </w:rPr>
            </w:pPr>
          </w:p>
        </w:tc>
        <w:tc>
          <w:tcPr>
            <w:tcW w:w="1040" w:type="dxa"/>
            <w:vAlign w:val="bottom"/>
            <w:shd w:val="clear" w:color="auto" w:fill="E6EEFF"/>
          </w:tcPr>
          <w:p>
            <w:pPr>
              <w:jc w:val="right"/>
              <w:ind w:right="194"/>
              <w:spacing w:after="0" w:line="205" w:lineRule="exact"/>
              <w:rPr>
                <w:sz w:val="20"/>
                <w:szCs w:val="20"/>
                <w:color w:val="auto"/>
              </w:rPr>
            </w:pPr>
            <w:r>
              <w:rPr>
                <w:rFonts w:ascii="Calibri" w:cs="Calibri" w:eastAsia="Calibri" w:hAnsi="Calibri"/>
                <w:sz w:val="17"/>
                <w:szCs w:val="17"/>
                <w:b w:val="1"/>
                <w:bCs w:val="1"/>
                <w:color w:val="1C4787"/>
              </w:rPr>
              <w:t>Fair Value</w:t>
            </w:r>
          </w:p>
        </w:tc>
        <w:tc>
          <w:tcPr>
            <w:tcW w:w="100" w:type="dxa"/>
            <w:vAlign w:val="bottom"/>
            <w:shd w:val="clear" w:color="auto" w:fill="E6EEFF"/>
          </w:tcPr>
          <w:p>
            <w:pPr>
              <w:spacing w:after="0"/>
              <w:rPr>
                <w:sz w:val="19"/>
                <w:szCs w:val="19"/>
                <w:color w:val="auto"/>
              </w:rPr>
            </w:pPr>
          </w:p>
        </w:tc>
        <w:tc>
          <w:tcPr>
            <w:tcW w:w="1140" w:type="dxa"/>
            <w:vAlign w:val="bottom"/>
            <w:gridSpan w:val="2"/>
            <w:shd w:val="clear" w:color="auto" w:fill="E6EEFF"/>
          </w:tcPr>
          <w:p>
            <w:pPr>
              <w:ind w:left="300"/>
              <w:spacing w:after="0" w:line="228" w:lineRule="exact"/>
              <w:rPr>
                <w:sz w:val="20"/>
                <w:szCs w:val="20"/>
                <w:color w:val="auto"/>
              </w:rPr>
            </w:pPr>
            <w:r>
              <w:rPr>
                <w:rFonts w:ascii="Calibri" w:cs="Calibri" w:eastAsia="Calibri" w:hAnsi="Calibri"/>
                <w:sz w:val="17"/>
                <w:szCs w:val="17"/>
                <w:b w:val="1"/>
                <w:bCs w:val="1"/>
                <w:color w:val="1C4787"/>
              </w:rPr>
              <w:t xml:space="preserve">CPR </w:t>
            </w:r>
            <w:r>
              <w:rPr>
                <w:rFonts w:ascii="Calibri" w:cs="Calibri" w:eastAsia="Calibri" w:hAnsi="Calibri"/>
                <w:sz w:val="22"/>
                <w:szCs w:val="22"/>
                <w:b w:val="1"/>
                <w:bCs w:val="1"/>
                <w:color w:val="1C4787"/>
                <w:vertAlign w:val="superscript"/>
              </w:rPr>
              <w:t>(1)</w:t>
            </w:r>
          </w:p>
        </w:tc>
        <w:tc>
          <w:tcPr>
            <w:tcW w:w="1280" w:type="dxa"/>
            <w:vAlign w:val="bottom"/>
            <w:gridSpan w:val="2"/>
            <w:shd w:val="clear" w:color="auto" w:fill="E6EEFF"/>
          </w:tcPr>
          <w:p>
            <w:pPr>
              <w:jc w:val="center"/>
              <w:ind w:right="100"/>
              <w:spacing w:after="0" w:line="205" w:lineRule="exact"/>
              <w:rPr>
                <w:sz w:val="20"/>
                <w:szCs w:val="20"/>
                <w:color w:val="auto"/>
              </w:rPr>
            </w:pPr>
            <w:r>
              <w:rPr>
                <w:rFonts w:ascii="Calibri" w:cs="Calibri" w:eastAsia="Calibri" w:hAnsi="Calibri"/>
                <w:sz w:val="17"/>
                <w:szCs w:val="17"/>
                <w:b w:val="1"/>
                <w:bCs w:val="1"/>
                <w:color w:val="1C4787"/>
                <w:w w:val="99"/>
              </w:rPr>
              <w:t>Maturity</w:t>
            </w:r>
          </w:p>
        </w:tc>
        <w:tc>
          <w:tcPr>
            <w:tcW w:w="120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b w:val="1"/>
                <w:bCs w:val="1"/>
                <w:color w:val="1C4787"/>
                <w:w w:val="99"/>
              </w:rPr>
              <w:t>Percent of Total</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380" w:type="dxa"/>
            <w:vAlign w:val="bottom"/>
            <w:tcBorders>
              <w:top w:val="single" w:sz="8" w:color="auto"/>
            </w:tcBorders>
            <w:gridSpan w:val="2"/>
          </w:tcPr>
          <w:p>
            <w:pPr>
              <w:ind w:left="20"/>
              <w:spacing w:after="0" w:line="205" w:lineRule="exact"/>
              <w:rPr>
                <w:sz w:val="20"/>
                <w:szCs w:val="20"/>
                <w:color w:val="auto"/>
              </w:rPr>
            </w:pPr>
            <w:r>
              <w:rPr>
                <w:rFonts w:ascii="Calibri" w:cs="Calibri" w:eastAsia="Calibri" w:hAnsi="Calibri"/>
                <w:sz w:val="17"/>
                <w:szCs w:val="17"/>
                <w:b w:val="1"/>
                <w:bCs w:val="1"/>
                <w:color w:val="1C4787"/>
                <w:w w:val="99"/>
              </w:rPr>
              <w:t>Agency Fixed Rates ≤ 180 months</w:t>
            </w: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100" w:type="dxa"/>
            <w:vAlign w:val="bottom"/>
            <w:shd w:val="clear" w:color="auto" w:fill="E6EEFF"/>
          </w:tcPr>
          <w:p>
            <w:pPr>
              <w:ind w:left="120"/>
              <w:spacing w:after="0"/>
              <w:rPr>
                <w:sz w:val="20"/>
                <w:szCs w:val="20"/>
                <w:color w:val="auto"/>
              </w:rPr>
            </w:pPr>
            <w:r>
              <w:rPr>
                <w:rFonts w:ascii="Calibri" w:cs="Calibri" w:eastAsia="Calibri" w:hAnsi="Calibri"/>
                <w:sz w:val="17"/>
                <w:szCs w:val="17"/>
                <w:color w:val="auto"/>
              </w:rPr>
              <w:t>2.5% to 6.0%</w:t>
            </w:r>
          </w:p>
        </w:tc>
        <w:tc>
          <w:tcPr>
            <w:tcW w:w="280" w:type="dxa"/>
            <w:vAlign w:val="bottom"/>
            <w:shd w:val="clear" w:color="auto" w:fill="E6EEFF"/>
          </w:tcPr>
          <w:p>
            <w:pPr>
              <w:jc w:val="right"/>
              <w:ind w:right="94"/>
              <w:spacing w:after="0"/>
              <w:rPr>
                <w:sz w:val="20"/>
                <w:szCs w:val="20"/>
                <w:color w:val="auto"/>
              </w:rPr>
            </w:pPr>
            <w:r>
              <w:rPr>
                <w:rFonts w:ascii="Calibri" w:cs="Calibri" w:eastAsia="Calibri" w:hAnsi="Calibri"/>
                <w:sz w:val="17"/>
                <w:szCs w:val="17"/>
                <w:color w:val="auto"/>
                <w:w w:val="92"/>
              </w:rPr>
              <w:t>$</w:t>
            </w:r>
          </w:p>
        </w:tc>
        <w:tc>
          <w:tcPr>
            <w:tcW w:w="9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14,264</w:t>
            </w:r>
          </w:p>
        </w:tc>
        <w:tc>
          <w:tcPr>
            <w:tcW w:w="100" w:type="dxa"/>
            <w:vAlign w:val="bottom"/>
            <w:shd w:val="clear" w:color="auto" w:fill="E6EEFF"/>
          </w:tcPr>
          <w:p>
            <w:pPr>
              <w:spacing w:after="0"/>
              <w:rPr>
                <w:sz w:val="19"/>
                <w:szCs w:val="19"/>
                <w:color w:val="auto"/>
              </w:rPr>
            </w:pPr>
          </w:p>
        </w:tc>
        <w:tc>
          <w:tcPr>
            <w:tcW w:w="300" w:type="dxa"/>
            <w:vAlign w:val="bottom"/>
            <w:shd w:val="clear" w:color="auto" w:fill="E6EEFF"/>
          </w:tcPr>
          <w:p>
            <w:pPr>
              <w:jc w:val="right"/>
              <w:ind w:right="94"/>
              <w:spacing w:after="0"/>
              <w:rPr>
                <w:sz w:val="20"/>
                <w:szCs w:val="20"/>
                <w:color w:val="auto"/>
              </w:rPr>
            </w:pPr>
            <w:r>
              <w:rPr>
                <w:rFonts w:ascii="Calibri" w:cs="Calibri" w:eastAsia="Calibri" w:hAnsi="Calibri"/>
                <w:sz w:val="17"/>
                <w:szCs w:val="17"/>
                <w:color w:val="auto"/>
              </w:rPr>
              <w:t>$</w:t>
            </w:r>
          </w:p>
        </w:tc>
        <w:tc>
          <w:tcPr>
            <w:tcW w:w="9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14,760</w:t>
            </w:r>
          </w:p>
        </w:tc>
        <w:tc>
          <w:tcPr>
            <w:tcW w:w="120" w:type="dxa"/>
            <w:vAlign w:val="bottom"/>
            <w:shd w:val="clear" w:color="auto" w:fill="E6EEFF"/>
          </w:tcPr>
          <w:p>
            <w:pPr>
              <w:spacing w:after="0"/>
              <w:rPr>
                <w:sz w:val="19"/>
                <w:szCs w:val="19"/>
                <w:color w:val="auto"/>
              </w:rPr>
            </w:pPr>
          </w:p>
        </w:tc>
        <w:tc>
          <w:tcPr>
            <w:tcW w:w="18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w:t>
            </w:r>
          </w:p>
        </w:tc>
        <w:tc>
          <w:tcPr>
            <w:tcW w:w="10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(768)</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jc w:val="right"/>
              <w:ind w:right="14"/>
              <w:spacing w:after="0"/>
              <w:rPr>
                <w:sz w:val="20"/>
                <w:szCs w:val="20"/>
                <w:color w:val="auto"/>
              </w:rPr>
            </w:pPr>
            <w:r>
              <w:rPr>
                <w:rFonts w:ascii="Calibri" w:cs="Calibri" w:eastAsia="Calibri" w:hAnsi="Calibri"/>
                <w:sz w:val="17"/>
                <w:szCs w:val="17"/>
                <w:color w:val="auto"/>
                <w:w w:val="92"/>
              </w:rPr>
              <w:t>$</w:t>
            </w:r>
          </w:p>
        </w:tc>
        <w:tc>
          <w:tcPr>
            <w:tcW w:w="10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13,992</w:t>
            </w:r>
          </w:p>
        </w:tc>
        <w:tc>
          <w:tcPr>
            <w:tcW w:w="116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1.3 %</w:t>
            </w:r>
          </w:p>
        </w:tc>
        <w:tc>
          <w:tcPr>
            <w:tcW w:w="80" w:type="dxa"/>
            <w:vAlign w:val="bottom"/>
            <w:shd w:val="clear" w:color="auto" w:fill="E6EEFF"/>
          </w:tcPr>
          <w:p>
            <w:pPr>
              <w:spacing w:after="0"/>
              <w:rPr>
                <w:sz w:val="19"/>
                <w:szCs w:val="19"/>
                <w:color w:val="auto"/>
              </w:rPr>
            </w:pPr>
          </w:p>
        </w:tc>
        <w:tc>
          <w:tcPr>
            <w:tcW w:w="1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111</w:t>
            </w:r>
          </w:p>
        </w:tc>
        <w:tc>
          <w:tcPr>
            <w:tcW w:w="120" w:type="dxa"/>
            <w:vAlign w:val="bottom"/>
            <w:shd w:val="clear" w:color="auto" w:fill="E6EEFF"/>
          </w:tcPr>
          <w:p>
            <w:pPr>
              <w:spacing w:after="0"/>
              <w:rPr>
                <w:sz w:val="19"/>
                <w:szCs w:val="19"/>
                <w:color w:val="auto"/>
              </w:rPr>
            </w:pPr>
          </w:p>
        </w:tc>
        <w:tc>
          <w:tcPr>
            <w:tcW w:w="12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380" w:type="dxa"/>
            <w:vAlign w:val="bottom"/>
            <w:gridSpan w:val="2"/>
          </w:tcPr>
          <w:p>
            <w:pPr>
              <w:ind w:left="20"/>
              <w:spacing w:after="0" w:line="205" w:lineRule="exact"/>
              <w:rPr>
                <w:sz w:val="20"/>
                <w:szCs w:val="20"/>
                <w:color w:val="auto"/>
              </w:rPr>
            </w:pPr>
            <w:r>
              <w:rPr>
                <w:rFonts w:ascii="Calibri" w:cs="Calibri" w:eastAsia="Calibri" w:hAnsi="Calibri"/>
                <w:sz w:val="17"/>
                <w:szCs w:val="17"/>
                <w:b w:val="1"/>
                <w:bCs w:val="1"/>
                <w:color w:val="1C4787"/>
                <w:w w:val="99"/>
              </w:rPr>
              <w:t>Agency Fixed Rates ≥ 181 months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00" w:type="dxa"/>
            <w:vAlign w:val="bottom"/>
            <w:shd w:val="clear" w:color="auto" w:fill="E6EEFF"/>
          </w:tcPr>
          <w:p>
            <w:pPr>
              <w:ind w:left="120"/>
              <w:spacing w:after="0"/>
              <w:rPr>
                <w:sz w:val="20"/>
                <w:szCs w:val="20"/>
                <w:color w:val="auto"/>
              </w:rPr>
            </w:pPr>
            <w:r>
              <w:rPr>
                <w:rFonts w:ascii="Calibri" w:cs="Calibri" w:eastAsia="Calibri" w:hAnsi="Calibri"/>
                <w:sz w:val="17"/>
                <w:szCs w:val="17"/>
                <w:color w:val="auto"/>
              </w:rPr>
              <w:t>2.0%</w:t>
            </w:r>
          </w:p>
        </w:tc>
        <w:tc>
          <w:tcPr>
            <w:tcW w:w="280" w:type="dxa"/>
            <w:vAlign w:val="bottom"/>
            <w:shd w:val="clear" w:color="auto" w:fill="E6EEFF"/>
          </w:tcPr>
          <w:p>
            <w:pPr>
              <w:spacing w:after="0"/>
              <w:rPr>
                <w:sz w:val="19"/>
                <w:szCs w:val="19"/>
                <w:color w:val="auto"/>
              </w:rPr>
            </w:pPr>
          </w:p>
        </w:tc>
        <w:tc>
          <w:tcPr>
            <w:tcW w:w="9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390,154</w:t>
            </w:r>
          </w:p>
        </w:tc>
        <w:tc>
          <w:tcPr>
            <w:tcW w:w="100" w:type="dxa"/>
            <w:vAlign w:val="bottom"/>
            <w:shd w:val="clear" w:color="auto" w:fill="E6EEFF"/>
          </w:tcPr>
          <w:p>
            <w:pPr>
              <w:spacing w:after="0"/>
              <w:rPr>
                <w:sz w:val="19"/>
                <w:szCs w:val="19"/>
                <w:color w:val="auto"/>
              </w:rPr>
            </w:pPr>
          </w:p>
        </w:tc>
        <w:tc>
          <w:tcPr>
            <w:tcW w:w="300" w:type="dxa"/>
            <w:vAlign w:val="bottom"/>
            <w:shd w:val="clear" w:color="auto" w:fill="E6EEFF"/>
          </w:tcPr>
          <w:p>
            <w:pPr>
              <w:spacing w:after="0"/>
              <w:rPr>
                <w:sz w:val="19"/>
                <w:szCs w:val="19"/>
                <w:color w:val="auto"/>
              </w:rPr>
            </w:pPr>
          </w:p>
        </w:tc>
        <w:tc>
          <w:tcPr>
            <w:tcW w:w="9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397,483</w:t>
            </w:r>
          </w:p>
        </w:tc>
        <w:tc>
          <w:tcPr>
            <w:tcW w:w="120" w:type="dxa"/>
            <w:vAlign w:val="bottom"/>
            <w:shd w:val="clear" w:color="auto" w:fill="E6EEFF"/>
          </w:tcPr>
          <w:p>
            <w:pPr>
              <w:spacing w:after="0"/>
              <w:rPr>
                <w:sz w:val="19"/>
                <w:szCs w:val="19"/>
                <w:color w:val="auto"/>
              </w:rPr>
            </w:pPr>
          </w:p>
        </w:tc>
        <w:tc>
          <w:tcPr>
            <w:tcW w:w="180" w:type="dxa"/>
            <w:vAlign w:val="bottom"/>
            <w:shd w:val="clear" w:color="auto" w:fill="E6EEFF"/>
          </w:tcPr>
          <w:p>
            <w:pPr>
              <w:spacing w:after="0"/>
              <w:rPr>
                <w:sz w:val="19"/>
                <w:szCs w:val="19"/>
                <w:color w:val="auto"/>
              </w:rPr>
            </w:pPr>
          </w:p>
        </w:tc>
        <w:tc>
          <w:tcPr>
            <w:tcW w:w="10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(74,778)</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0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322,705</w:t>
            </w:r>
          </w:p>
        </w:tc>
        <w:tc>
          <w:tcPr>
            <w:tcW w:w="116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7.3 %</w:t>
            </w:r>
          </w:p>
        </w:tc>
        <w:tc>
          <w:tcPr>
            <w:tcW w:w="80" w:type="dxa"/>
            <w:vAlign w:val="bottom"/>
            <w:shd w:val="clear" w:color="auto" w:fill="E6EEFF"/>
          </w:tcPr>
          <w:p>
            <w:pPr>
              <w:spacing w:after="0"/>
              <w:rPr>
                <w:sz w:val="19"/>
                <w:szCs w:val="19"/>
                <w:color w:val="auto"/>
              </w:rPr>
            </w:pPr>
          </w:p>
        </w:tc>
        <w:tc>
          <w:tcPr>
            <w:tcW w:w="1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336</w:t>
            </w:r>
          </w:p>
        </w:tc>
        <w:tc>
          <w:tcPr>
            <w:tcW w:w="120" w:type="dxa"/>
            <w:vAlign w:val="bottom"/>
            <w:shd w:val="clear" w:color="auto" w:fill="E6EEFF"/>
          </w:tcPr>
          <w:p>
            <w:pPr>
              <w:spacing w:after="0"/>
              <w:rPr>
                <w:sz w:val="19"/>
                <w:szCs w:val="19"/>
                <w:color w:val="auto"/>
              </w:rPr>
            </w:pPr>
          </w:p>
        </w:tc>
        <w:tc>
          <w:tcPr>
            <w:tcW w:w="1200" w:type="dxa"/>
            <w:vAlign w:val="bottom"/>
            <w:shd w:val="clear" w:color="auto" w:fill="E6EEFF"/>
          </w:tcPr>
          <w:p>
            <w:pPr>
              <w:jc w:val="right"/>
              <w:ind w:right="94"/>
              <w:spacing w:after="0"/>
              <w:rPr>
                <w:sz w:val="20"/>
                <w:szCs w:val="20"/>
                <w:color w:val="auto"/>
              </w:rPr>
            </w:pPr>
            <w:r>
              <w:rPr>
                <w:rFonts w:ascii="Calibri" w:cs="Calibri" w:eastAsia="Calibri" w:hAnsi="Calibri"/>
                <w:sz w:val="17"/>
                <w:szCs w:val="17"/>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00" w:type="dxa"/>
            <w:vAlign w:val="bottom"/>
          </w:tcPr>
          <w:p>
            <w:pPr>
              <w:ind w:left="120"/>
              <w:spacing w:after="0" w:line="205" w:lineRule="exact"/>
              <w:rPr>
                <w:sz w:val="20"/>
                <w:szCs w:val="20"/>
                <w:color w:val="auto"/>
              </w:rPr>
            </w:pPr>
            <w:r>
              <w:rPr>
                <w:rFonts w:ascii="Calibri" w:cs="Calibri" w:eastAsia="Calibri" w:hAnsi="Calibri"/>
                <w:sz w:val="17"/>
                <w:szCs w:val="17"/>
                <w:color w:val="auto"/>
              </w:rPr>
              <w:t>2.5%</w:t>
            </w:r>
          </w:p>
        </w:tc>
        <w:tc>
          <w:tcPr>
            <w:tcW w:w="280" w:type="dxa"/>
            <w:vAlign w:val="bottom"/>
          </w:tcPr>
          <w:p>
            <w:pPr>
              <w:spacing w:after="0"/>
              <w:rPr>
                <w:sz w:val="18"/>
                <w:szCs w:val="18"/>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608,261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645,600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line="205" w:lineRule="exact"/>
              <w:rPr>
                <w:sz w:val="20"/>
                <w:szCs w:val="20"/>
                <w:color w:val="auto"/>
              </w:rPr>
            </w:pPr>
            <w:r>
              <w:rPr>
                <w:rFonts w:ascii="Calibri" w:cs="Calibri" w:eastAsia="Calibri" w:hAnsi="Calibri"/>
                <w:sz w:val="17"/>
                <w:szCs w:val="17"/>
                <w:color w:val="auto"/>
              </w:rPr>
              <w:t>(119,925)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line="205" w:lineRule="exact"/>
              <w:rPr>
                <w:sz w:val="20"/>
                <w:szCs w:val="20"/>
                <w:color w:val="auto"/>
              </w:rPr>
            </w:pPr>
            <w:r>
              <w:rPr>
                <w:rFonts w:ascii="Calibri" w:cs="Calibri" w:eastAsia="Calibri" w:hAnsi="Calibri"/>
                <w:sz w:val="17"/>
                <w:szCs w:val="17"/>
                <w:color w:val="auto"/>
              </w:rPr>
              <w:t>525,675</w:t>
            </w:r>
          </w:p>
        </w:tc>
        <w:tc>
          <w:tcPr>
            <w:tcW w:w="1160" w:type="dxa"/>
            <w:vAlign w:val="bottom"/>
            <w:gridSpan w:val="2"/>
          </w:tcPr>
          <w:p>
            <w:pPr>
              <w:jc w:val="right"/>
              <w:spacing w:after="0" w:line="205" w:lineRule="exact"/>
              <w:rPr>
                <w:sz w:val="20"/>
                <w:szCs w:val="20"/>
                <w:color w:val="auto"/>
              </w:rPr>
            </w:pPr>
            <w:r>
              <w:rPr>
                <w:rFonts w:ascii="Calibri" w:cs="Calibri" w:eastAsia="Calibri" w:hAnsi="Calibri"/>
                <w:sz w:val="17"/>
                <w:szCs w:val="17"/>
                <w:color w:val="auto"/>
              </w:rPr>
              <w:t>8.3 %</w:t>
            </w:r>
          </w:p>
        </w:tc>
        <w:tc>
          <w:tcPr>
            <w:tcW w:w="80" w:type="dxa"/>
            <w:vAlign w:val="bottom"/>
          </w:tcPr>
          <w:p>
            <w:pPr>
              <w:spacing w:after="0"/>
              <w:rPr>
                <w:sz w:val="18"/>
                <w:szCs w:val="18"/>
                <w:color w:val="auto"/>
              </w:rPr>
            </w:pPr>
          </w:p>
        </w:tc>
        <w:tc>
          <w:tcPr>
            <w:tcW w:w="1160" w:type="dxa"/>
            <w:vAlign w:val="bottom"/>
          </w:tcPr>
          <w:p>
            <w:pPr>
              <w:jc w:val="right"/>
              <w:spacing w:after="0" w:line="205" w:lineRule="exact"/>
              <w:rPr>
                <w:sz w:val="20"/>
                <w:szCs w:val="20"/>
                <w:color w:val="auto"/>
              </w:rPr>
            </w:pPr>
            <w:r>
              <w:rPr>
                <w:rFonts w:ascii="Calibri" w:cs="Calibri" w:eastAsia="Calibri" w:hAnsi="Calibri"/>
                <w:sz w:val="17"/>
                <w:szCs w:val="17"/>
                <w:color w:val="auto"/>
              </w:rPr>
              <w:t>331</w:t>
            </w:r>
          </w:p>
        </w:tc>
        <w:tc>
          <w:tcPr>
            <w:tcW w:w="120" w:type="dxa"/>
            <w:vAlign w:val="bottom"/>
          </w:tcPr>
          <w:p>
            <w:pPr>
              <w:spacing w:after="0"/>
              <w:rPr>
                <w:sz w:val="18"/>
                <w:szCs w:val="18"/>
                <w:color w:val="auto"/>
              </w:rPr>
            </w:pPr>
          </w:p>
        </w:tc>
        <w:tc>
          <w:tcPr>
            <w:tcW w:w="1200" w:type="dxa"/>
            <w:vAlign w:val="bottom"/>
          </w:tcPr>
          <w:p>
            <w:pPr>
              <w:jc w:val="right"/>
              <w:ind w:right="94"/>
              <w:spacing w:after="0" w:line="205" w:lineRule="exact"/>
              <w:rPr>
                <w:sz w:val="20"/>
                <w:szCs w:val="20"/>
                <w:color w:val="auto"/>
              </w:rPr>
            </w:pPr>
            <w:r>
              <w:rPr>
                <w:rFonts w:ascii="Calibri" w:cs="Calibri" w:eastAsia="Calibri" w:hAnsi="Calibri"/>
                <w:sz w:val="17"/>
                <w:szCs w:val="17"/>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00" w:type="dxa"/>
            <w:vAlign w:val="bottom"/>
            <w:shd w:val="clear" w:color="auto" w:fill="E6EEFF"/>
          </w:tcPr>
          <w:p>
            <w:pPr>
              <w:ind w:left="120"/>
              <w:spacing w:after="0"/>
              <w:rPr>
                <w:sz w:val="20"/>
                <w:szCs w:val="20"/>
                <w:color w:val="auto"/>
              </w:rPr>
            </w:pPr>
            <w:r>
              <w:rPr>
                <w:rFonts w:ascii="Calibri" w:cs="Calibri" w:eastAsia="Calibri" w:hAnsi="Calibri"/>
                <w:sz w:val="17"/>
                <w:szCs w:val="17"/>
                <w:color w:val="auto"/>
              </w:rPr>
              <w:t>3.0%</w:t>
            </w:r>
          </w:p>
        </w:tc>
        <w:tc>
          <w:tcPr>
            <w:tcW w:w="280" w:type="dxa"/>
            <w:vAlign w:val="bottom"/>
            <w:shd w:val="clear" w:color="auto" w:fill="E6EEFF"/>
          </w:tcPr>
          <w:p>
            <w:pPr>
              <w:spacing w:after="0"/>
              <w:rPr>
                <w:sz w:val="19"/>
                <w:szCs w:val="19"/>
                <w:color w:val="auto"/>
              </w:rPr>
            </w:pPr>
          </w:p>
        </w:tc>
        <w:tc>
          <w:tcPr>
            <w:tcW w:w="9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969,166</w:t>
            </w:r>
          </w:p>
        </w:tc>
        <w:tc>
          <w:tcPr>
            <w:tcW w:w="100" w:type="dxa"/>
            <w:vAlign w:val="bottom"/>
            <w:shd w:val="clear" w:color="auto" w:fill="E6EEFF"/>
          </w:tcPr>
          <w:p>
            <w:pPr>
              <w:spacing w:after="0"/>
              <w:rPr>
                <w:sz w:val="19"/>
                <w:szCs w:val="19"/>
                <w:color w:val="auto"/>
              </w:rPr>
            </w:pPr>
          </w:p>
        </w:tc>
        <w:tc>
          <w:tcPr>
            <w:tcW w:w="300" w:type="dxa"/>
            <w:vAlign w:val="bottom"/>
            <w:shd w:val="clear" w:color="auto" w:fill="E6EEFF"/>
          </w:tcPr>
          <w:p>
            <w:pPr>
              <w:spacing w:after="0"/>
              <w:rPr>
                <w:sz w:val="19"/>
                <w:szCs w:val="19"/>
                <w:color w:val="auto"/>
              </w:rPr>
            </w:pPr>
          </w:p>
        </w:tc>
        <w:tc>
          <w:tcPr>
            <w:tcW w:w="9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973,560</w:t>
            </w:r>
          </w:p>
        </w:tc>
        <w:tc>
          <w:tcPr>
            <w:tcW w:w="120" w:type="dxa"/>
            <w:vAlign w:val="bottom"/>
            <w:shd w:val="clear" w:color="auto" w:fill="E6EEFF"/>
          </w:tcPr>
          <w:p>
            <w:pPr>
              <w:spacing w:after="0"/>
              <w:rPr>
                <w:sz w:val="19"/>
                <w:szCs w:val="19"/>
                <w:color w:val="auto"/>
              </w:rPr>
            </w:pPr>
          </w:p>
        </w:tc>
        <w:tc>
          <w:tcPr>
            <w:tcW w:w="180" w:type="dxa"/>
            <w:vAlign w:val="bottom"/>
            <w:shd w:val="clear" w:color="auto" w:fill="E6EEFF"/>
          </w:tcPr>
          <w:p>
            <w:pPr>
              <w:spacing w:after="0"/>
              <w:rPr>
                <w:sz w:val="19"/>
                <w:szCs w:val="19"/>
                <w:color w:val="auto"/>
              </w:rPr>
            </w:pPr>
          </w:p>
        </w:tc>
        <w:tc>
          <w:tcPr>
            <w:tcW w:w="10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(120,174)</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0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853,386</w:t>
            </w:r>
          </w:p>
        </w:tc>
        <w:tc>
          <w:tcPr>
            <w:tcW w:w="116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3.9 %</w:t>
            </w:r>
          </w:p>
        </w:tc>
        <w:tc>
          <w:tcPr>
            <w:tcW w:w="80" w:type="dxa"/>
            <w:vAlign w:val="bottom"/>
            <w:shd w:val="clear" w:color="auto" w:fill="E6EEFF"/>
          </w:tcPr>
          <w:p>
            <w:pPr>
              <w:spacing w:after="0"/>
              <w:rPr>
                <w:sz w:val="19"/>
                <w:szCs w:val="19"/>
                <w:color w:val="auto"/>
              </w:rPr>
            </w:pPr>
          </w:p>
        </w:tc>
        <w:tc>
          <w:tcPr>
            <w:tcW w:w="1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349</w:t>
            </w:r>
          </w:p>
        </w:tc>
        <w:tc>
          <w:tcPr>
            <w:tcW w:w="120" w:type="dxa"/>
            <w:vAlign w:val="bottom"/>
            <w:shd w:val="clear" w:color="auto" w:fill="E6EEFF"/>
          </w:tcPr>
          <w:p>
            <w:pPr>
              <w:spacing w:after="0"/>
              <w:rPr>
                <w:sz w:val="19"/>
                <w:szCs w:val="19"/>
                <w:color w:val="auto"/>
              </w:rPr>
            </w:pPr>
          </w:p>
        </w:tc>
        <w:tc>
          <w:tcPr>
            <w:tcW w:w="1200" w:type="dxa"/>
            <w:vAlign w:val="bottom"/>
            <w:shd w:val="clear" w:color="auto" w:fill="E6EEFF"/>
          </w:tcPr>
          <w:p>
            <w:pPr>
              <w:jc w:val="right"/>
              <w:ind w:right="94"/>
              <w:spacing w:after="0"/>
              <w:rPr>
                <w:sz w:val="20"/>
                <w:szCs w:val="20"/>
                <w:color w:val="auto"/>
              </w:rPr>
            </w:pPr>
            <w:r>
              <w:rPr>
                <w:rFonts w:ascii="Calibri" w:cs="Calibri" w:eastAsia="Calibri" w:hAnsi="Calibri"/>
                <w:sz w:val="17"/>
                <w:szCs w:val="17"/>
                <w:color w:val="auto"/>
              </w:rPr>
              <w:t>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00" w:type="dxa"/>
            <w:vAlign w:val="bottom"/>
          </w:tcPr>
          <w:p>
            <w:pPr>
              <w:ind w:left="120"/>
              <w:spacing w:after="0" w:line="205" w:lineRule="exact"/>
              <w:rPr>
                <w:sz w:val="20"/>
                <w:szCs w:val="20"/>
                <w:color w:val="auto"/>
              </w:rPr>
            </w:pPr>
            <w:r>
              <w:rPr>
                <w:rFonts w:ascii="Calibri" w:cs="Calibri" w:eastAsia="Calibri" w:hAnsi="Calibri"/>
                <w:sz w:val="17"/>
                <w:szCs w:val="17"/>
                <w:color w:val="auto"/>
              </w:rPr>
              <w:t>3.5%</w:t>
            </w:r>
          </w:p>
        </w:tc>
        <w:tc>
          <w:tcPr>
            <w:tcW w:w="280" w:type="dxa"/>
            <w:vAlign w:val="bottom"/>
          </w:tcPr>
          <w:p>
            <w:pPr>
              <w:spacing w:after="0"/>
              <w:rPr>
                <w:sz w:val="18"/>
                <w:szCs w:val="18"/>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1,229,970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1,212,939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line="205" w:lineRule="exact"/>
              <w:rPr>
                <w:sz w:val="20"/>
                <w:szCs w:val="20"/>
                <w:color w:val="auto"/>
              </w:rPr>
            </w:pPr>
            <w:r>
              <w:rPr>
                <w:rFonts w:ascii="Calibri" w:cs="Calibri" w:eastAsia="Calibri" w:hAnsi="Calibri"/>
                <w:sz w:val="17"/>
                <w:szCs w:val="17"/>
                <w:color w:val="auto"/>
              </w:rPr>
              <w:t>(91,395)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line="205" w:lineRule="exact"/>
              <w:rPr>
                <w:sz w:val="20"/>
                <w:szCs w:val="20"/>
                <w:color w:val="auto"/>
              </w:rPr>
            </w:pPr>
            <w:r>
              <w:rPr>
                <w:rFonts w:ascii="Calibri" w:cs="Calibri" w:eastAsia="Calibri" w:hAnsi="Calibri"/>
                <w:sz w:val="17"/>
                <w:szCs w:val="17"/>
                <w:color w:val="auto"/>
              </w:rPr>
              <w:t>1,121,544</w:t>
            </w:r>
          </w:p>
        </w:tc>
        <w:tc>
          <w:tcPr>
            <w:tcW w:w="1160" w:type="dxa"/>
            <w:vAlign w:val="bottom"/>
            <w:gridSpan w:val="2"/>
          </w:tcPr>
          <w:p>
            <w:pPr>
              <w:jc w:val="right"/>
              <w:spacing w:after="0" w:line="205" w:lineRule="exact"/>
              <w:rPr>
                <w:sz w:val="20"/>
                <w:szCs w:val="20"/>
                <w:color w:val="auto"/>
              </w:rPr>
            </w:pPr>
            <w:r>
              <w:rPr>
                <w:rFonts w:ascii="Calibri" w:cs="Calibri" w:eastAsia="Calibri" w:hAnsi="Calibri"/>
                <w:sz w:val="17"/>
                <w:szCs w:val="17"/>
                <w:color w:val="auto"/>
              </w:rPr>
              <w:t>3.4 %</w:t>
            </w:r>
          </w:p>
        </w:tc>
        <w:tc>
          <w:tcPr>
            <w:tcW w:w="80" w:type="dxa"/>
            <w:vAlign w:val="bottom"/>
          </w:tcPr>
          <w:p>
            <w:pPr>
              <w:spacing w:after="0"/>
              <w:rPr>
                <w:sz w:val="18"/>
                <w:szCs w:val="18"/>
                <w:color w:val="auto"/>
              </w:rPr>
            </w:pPr>
          </w:p>
        </w:tc>
        <w:tc>
          <w:tcPr>
            <w:tcW w:w="1160" w:type="dxa"/>
            <w:vAlign w:val="bottom"/>
          </w:tcPr>
          <w:p>
            <w:pPr>
              <w:jc w:val="right"/>
              <w:spacing w:after="0" w:line="205" w:lineRule="exact"/>
              <w:rPr>
                <w:sz w:val="20"/>
                <w:szCs w:val="20"/>
                <w:color w:val="auto"/>
              </w:rPr>
            </w:pPr>
            <w:r>
              <w:rPr>
                <w:rFonts w:ascii="Calibri" w:cs="Calibri" w:eastAsia="Calibri" w:hAnsi="Calibri"/>
                <w:sz w:val="17"/>
                <w:szCs w:val="17"/>
                <w:color w:val="auto"/>
              </w:rPr>
              <w:t>352</w:t>
            </w:r>
          </w:p>
        </w:tc>
        <w:tc>
          <w:tcPr>
            <w:tcW w:w="120" w:type="dxa"/>
            <w:vAlign w:val="bottom"/>
          </w:tcPr>
          <w:p>
            <w:pPr>
              <w:spacing w:after="0"/>
              <w:rPr>
                <w:sz w:val="18"/>
                <w:szCs w:val="18"/>
                <w:color w:val="auto"/>
              </w:rPr>
            </w:pPr>
          </w:p>
        </w:tc>
        <w:tc>
          <w:tcPr>
            <w:tcW w:w="1200" w:type="dxa"/>
            <w:vAlign w:val="bottom"/>
          </w:tcPr>
          <w:p>
            <w:pPr>
              <w:jc w:val="right"/>
              <w:ind w:right="94"/>
              <w:spacing w:after="0" w:line="205" w:lineRule="exact"/>
              <w:rPr>
                <w:sz w:val="20"/>
                <w:szCs w:val="20"/>
                <w:color w:val="auto"/>
              </w:rPr>
            </w:pPr>
            <w:r>
              <w:rPr>
                <w:rFonts w:ascii="Calibri" w:cs="Calibri" w:eastAsia="Calibri" w:hAnsi="Calibri"/>
                <w:sz w:val="17"/>
                <w:szCs w:val="17"/>
                <w:color w:val="auto"/>
              </w:rPr>
              <w:t>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00" w:type="dxa"/>
            <w:vAlign w:val="bottom"/>
            <w:shd w:val="clear" w:color="auto" w:fill="E6EEFF"/>
          </w:tcPr>
          <w:p>
            <w:pPr>
              <w:ind w:left="120"/>
              <w:spacing w:after="0"/>
              <w:rPr>
                <w:sz w:val="20"/>
                <w:szCs w:val="20"/>
                <w:color w:val="auto"/>
              </w:rPr>
            </w:pPr>
            <w:r>
              <w:rPr>
                <w:rFonts w:ascii="Calibri" w:cs="Calibri" w:eastAsia="Calibri" w:hAnsi="Calibri"/>
                <w:sz w:val="17"/>
                <w:szCs w:val="17"/>
                <w:color w:val="auto"/>
              </w:rPr>
              <w:t>4.0%</w:t>
            </w:r>
          </w:p>
        </w:tc>
        <w:tc>
          <w:tcPr>
            <w:tcW w:w="280" w:type="dxa"/>
            <w:vAlign w:val="bottom"/>
            <w:shd w:val="clear" w:color="auto" w:fill="E6EEFF"/>
          </w:tcPr>
          <w:p>
            <w:pPr>
              <w:spacing w:after="0"/>
              <w:rPr>
                <w:sz w:val="19"/>
                <w:szCs w:val="19"/>
                <w:color w:val="auto"/>
              </w:rPr>
            </w:pPr>
          </w:p>
        </w:tc>
        <w:tc>
          <w:tcPr>
            <w:tcW w:w="9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1,217,621</w:t>
            </w:r>
          </w:p>
        </w:tc>
        <w:tc>
          <w:tcPr>
            <w:tcW w:w="100" w:type="dxa"/>
            <w:vAlign w:val="bottom"/>
            <w:shd w:val="clear" w:color="auto" w:fill="E6EEFF"/>
          </w:tcPr>
          <w:p>
            <w:pPr>
              <w:spacing w:after="0"/>
              <w:rPr>
                <w:sz w:val="19"/>
                <w:szCs w:val="19"/>
                <w:color w:val="auto"/>
              </w:rPr>
            </w:pPr>
          </w:p>
        </w:tc>
        <w:tc>
          <w:tcPr>
            <w:tcW w:w="300" w:type="dxa"/>
            <w:vAlign w:val="bottom"/>
            <w:shd w:val="clear" w:color="auto" w:fill="E6EEFF"/>
          </w:tcPr>
          <w:p>
            <w:pPr>
              <w:spacing w:after="0"/>
              <w:rPr>
                <w:sz w:val="19"/>
                <w:szCs w:val="19"/>
                <w:color w:val="auto"/>
              </w:rPr>
            </w:pPr>
          </w:p>
        </w:tc>
        <w:tc>
          <w:tcPr>
            <w:tcW w:w="9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1,219,805</w:t>
            </w:r>
          </w:p>
        </w:tc>
        <w:tc>
          <w:tcPr>
            <w:tcW w:w="120" w:type="dxa"/>
            <w:vAlign w:val="bottom"/>
            <w:shd w:val="clear" w:color="auto" w:fill="E6EEFF"/>
          </w:tcPr>
          <w:p>
            <w:pPr>
              <w:spacing w:after="0"/>
              <w:rPr>
                <w:sz w:val="19"/>
                <w:szCs w:val="19"/>
                <w:color w:val="auto"/>
              </w:rPr>
            </w:pPr>
          </w:p>
        </w:tc>
        <w:tc>
          <w:tcPr>
            <w:tcW w:w="180" w:type="dxa"/>
            <w:vAlign w:val="bottom"/>
            <w:shd w:val="clear" w:color="auto" w:fill="E6EEFF"/>
          </w:tcPr>
          <w:p>
            <w:pPr>
              <w:spacing w:after="0"/>
              <w:rPr>
                <w:sz w:val="19"/>
                <w:szCs w:val="19"/>
                <w:color w:val="auto"/>
              </w:rPr>
            </w:pPr>
          </w:p>
        </w:tc>
        <w:tc>
          <w:tcPr>
            <w:tcW w:w="10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(72,499)</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0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1,147,306</w:t>
            </w:r>
          </w:p>
        </w:tc>
        <w:tc>
          <w:tcPr>
            <w:tcW w:w="116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3.8 %</w:t>
            </w:r>
          </w:p>
        </w:tc>
        <w:tc>
          <w:tcPr>
            <w:tcW w:w="80" w:type="dxa"/>
            <w:vAlign w:val="bottom"/>
            <w:shd w:val="clear" w:color="auto" w:fill="E6EEFF"/>
          </w:tcPr>
          <w:p>
            <w:pPr>
              <w:spacing w:after="0"/>
              <w:rPr>
                <w:sz w:val="19"/>
                <w:szCs w:val="19"/>
                <w:color w:val="auto"/>
              </w:rPr>
            </w:pPr>
          </w:p>
        </w:tc>
        <w:tc>
          <w:tcPr>
            <w:tcW w:w="1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352</w:t>
            </w:r>
          </w:p>
        </w:tc>
        <w:tc>
          <w:tcPr>
            <w:tcW w:w="120" w:type="dxa"/>
            <w:vAlign w:val="bottom"/>
            <w:shd w:val="clear" w:color="auto" w:fill="E6EEFF"/>
          </w:tcPr>
          <w:p>
            <w:pPr>
              <w:spacing w:after="0"/>
              <w:rPr>
                <w:sz w:val="19"/>
                <w:szCs w:val="19"/>
                <w:color w:val="auto"/>
              </w:rPr>
            </w:pPr>
          </w:p>
        </w:tc>
        <w:tc>
          <w:tcPr>
            <w:tcW w:w="1200" w:type="dxa"/>
            <w:vAlign w:val="bottom"/>
            <w:shd w:val="clear" w:color="auto" w:fill="E6EEFF"/>
          </w:tcPr>
          <w:p>
            <w:pPr>
              <w:jc w:val="right"/>
              <w:ind w:right="94"/>
              <w:spacing w:after="0"/>
              <w:rPr>
                <w:sz w:val="20"/>
                <w:szCs w:val="20"/>
                <w:color w:val="auto"/>
              </w:rPr>
            </w:pPr>
            <w:r>
              <w:rPr>
                <w:rFonts w:ascii="Calibri" w:cs="Calibri" w:eastAsia="Calibri" w:hAnsi="Calibri"/>
                <w:sz w:val="17"/>
                <w:szCs w:val="17"/>
                <w:color w:val="auto"/>
              </w:rPr>
              <w:t>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00" w:type="dxa"/>
            <w:vAlign w:val="bottom"/>
          </w:tcPr>
          <w:p>
            <w:pPr>
              <w:ind w:left="120"/>
              <w:spacing w:after="0" w:line="205" w:lineRule="exact"/>
              <w:rPr>
                <w:sz w:val="20"/>
                <w:szCs w:val="20"/>
                <w:color w:val="auto"/>
              </w:rPr>
            </w:pPr>
            <w:r>
              <w:rPr>
                <w:rFonts w:ascii="Calibri" w:cs="Calibri" w:eastAsia="Calibri" w:hAnsi="Calibri"/>
                <w:sz w:val="17"/>
                <w:szCs w:val="17"/>
                <w:color w:val="auto"/>
              </w:rPr>
              <w:t>4.5%</w:t>
            </w:r>
          </w:p>
        </w:tc>
        <w:tc>
          <w:tcPr>
            <w:tcW w:w="280" w:type="dxa"/>
            <w:vAlign w:val="bottom"/>
          </w:tcPr>
          <w:p>
            <w:pPr>
              <w:spacing w:after="0"/>
              <w:rPr>
                <w:sz w:val="18"/>
                <w:szCs w:val="18"/>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1,509,102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1,510,336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line="205" w:lineRule="exact"/>
              <w:rPr>
                <w:sz w:val="20"/>
                <w:szCs w:val="20"/>
                <w:color w:val="auto"/>
              </w:rPr>
            </w:pPr>
            <w:r>
              <w:rPr>
                <w:rFonts w:ascii="Calibri" w:cs="Calibri" w:eastAsia="Calibri" w:hAnsi="Calibri"/>
                <w:sz w:val="17"/>
                <w:szCs w:val="17"/>
                <w:color w:val="auto"/>
              </w:rPr>
              <w:t>(52,439)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line="205" w:lineRule="exact"/>
              <w:rPr>
                <w:sz w:val="20"/>
                <w:szCs w:val="20"/>
                <w:color w:val="auto"/>
              </w:rPr>
            </w:pPr>
            <w:r>
              <w:rPr>
                <w:rFonts w:ascii="Calibri" w:cs="Calibri" w:eastAsia="Calibri" w:hAnsi="Calibri"/>
                <w:sz w:val="17"/>
                <w:szCs w:val="17"/>
                <w:color w:val="auto"/>
              </w:rPr>
              <w:t>1,457,897</w:t>
            </w:r>
          </w:p>
        </w:tc>
        <w:tc>
          <w:tcPr>
            <w:tcW w:w="1160" w:type="dxa"/>
            <w:vAlign w:val="bottom"/>
            <w:gridSpan w:val="2"/>
          </w:tcPr>
          <w:p>
            <w:pPr>
              <w:jc w:val="right"/>
              <w:spacing w:after="0" w:line="205" w:lineRule="exact"/>
              <w:rPr>
                <w:sz w:val="20"/>
                <w:szCs w:val="20"/>
                <w:color w:val="auto"/>
              </w:rPr>
            </w:pPr>
            <w:r>
              <w:rPr>
                <w:rFonts w:ascii="Calibri" w:cs="Calibri" w:eastAsia="Calibri" w:hAnsi="Calibri"/>
                <w:sz w:val="17"/>
                <w:szCs w:val="17"/>
                <w:color w:val="auto"/>
              </w:rPr>
              <w:t>4.4 %</w:t>
            </w:r>
          </w:p>
        </w:tc>
        <w:tc>
          <w:tcPr>
            <w:tcW w:w="80" w:type="dxa"/>
            <w:vAlign w:val="bottom"/>
          </w:tcPr>
          <w:p>
            <w:pPr>
              <w:spacing w:after="0"/>
              <w:rPr>
                <w:sz w:val="18"/>
                <w:szCs w:val="18"/>
                <w:color w:val="auto"/>
              </w:rPr>
            </w:pPr>
          </w:p>
        </w:tc>
        <w:tc>
          <w:tcPr>
            <w:tcW w:w="1160" w:type="dxa"/>
            <w:vAlign w:val="bottom"/>
          </w:tcPr>
          <w:p>
            <w:pPr>
              <w:jc w:val="right"/>
              <w:spacing w:after="0" w:line="205" w:lineRule="exact"/>
              <w:rPr>
                <w:sz w:val="20"/>
                <w:szCs w:val="20"/>
                <w:color w:val="auto"/>
              </w:rPr>
            </w:pPr>
            <w:r>
              <w:rPr>
                <w:rFonts w:ascii="Calibri" w:cs="Calibri" w:eastAsia="Calibri" w:hAnsi="Calibri"/>
                <w:sz w:val="17"/>
                <w:szCs w:val="17"/>
                <w:color w:val="auto"/>
              </w:rPr>
              <w:t>350</w:t>
            </w:r>
          </w:p>
        </w:tc>
        <w:tc>
          <w:tcPr>
            <w:tcW w:w="120" w:type="dxa"/>
            <w:vAlign w:val="bottom"/>
          </w:tcPr>
          <w:p>
            <w:pPr>
              <w:spacing w:after="0"/>
              <w:rPr>
                <w:sz w:val="18"/>
                <w:szCs w:val="18"/>
                <w:color w:val="auto"/>
              </w:rPr>
            </w:pPr>
          </w:p>
        </w:tc>
        <w:tc>
          <w:tcPr>
            <w:tcW w:w="1200" w:type="dxa"/>
            <w:vAlign w:val="bottom"/>
          </w:tcPr>
          <w:p>
            <w:pPr>
              <w:jc w:val="right"/>
              <w:ind w:right="94"/>
              <w:spacing w:after="0" w:line="205" w:lineRule="exact"/>
              <w:rPr>
                <w:sz w:val="20"/>
                <w:szCs w:val="20"/>
                <w:color w:val="auto"/>
              </w:rPr>
            </w:pPr>
            <w:r>
              <w:rPr>
                <w:rFonts w:ascii="Calibri" w:cs="Calibri" w:eastAsia="Calibri" w:hAnsi="Calibri"/>
                <w:sz w:val="17"/>
                <w:szCs w:val="17"/>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00" w:type="dxa"/>
            <w:vAlign w:val="bottom"/>
            <w:shd w:val="clear" w:color="auto" w:fill="E6EEFF"/>
          </w:tcPr>
          <w:p>
            <w:pPr>
              <w:ind w:left="120"/>
              <w:spacing w:after="0"/>
              <w:rPr>
                <w:sz w:val="20"/>
                <w:szCs w:val="20"/>
                <w:color w:val="auto"/>
              </w:rPr>
            </w:pPr>
            <w:r>
              <w:rPr>
                <w:rFonts w:ascii="Calibri" w:cs="Calibri" w:eastAsia="Calibri" w:hAnsi="Calibri"/>
                <w:sz w:val="17"/>
                <w:szCs w:val="17"/>
                <w:color w:val="auto"/>
              </w:rPr>
              <w:t>5.0%</w:t>
            </w:r>
          </w:p>
        </w:tc>
        <w:tc>
          <w:tcPr>
            <w:tcW w:w="280" w:type="dxa"/>
            <w:vAlign w:val="bottom"/>
            <w:shd w:val="clear" w:color="auto" w:fill="E6EEFF"/>
          </w:tcPr>
          <w:p>
            <w:pPr>
              <w:spacing w:after="0"/>
              <w:rPr>
                <w:sz w:val="19"/>
                <w:szCs w:val="19"/>
                <w:color w:val="auto"/>
              </w:rPr>
            </w:pPr>
          </w:p>
        </w:tc>
        <w:tc>
          <w:tcPr>
            <w:tcW w:w="9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1,733,644</w:t>
            </w:r>
          </w:p>
        </w:tc>
        <w:tc>
          <w:tcPr>
            <w:tcW w:w="100" w:type="dxa"/>
            <w:vAlign w:val="bottom"/>
            <w:shd w:val="clear" w:color="auto" w:fill="E6EEFF"/>
          </w:tcPr>
          <w:p>
            <w:pPr>
              <w:spacing w:after="0"/>
              <w:rPr>
                <w:sz w:val="19"/>
                <w:szCs w:val="19"/>
                <w:color w:val="auto"/>
              </w:rPr>
            </w:pPr>
          </w:p>
        </w:tc>
        <w:tc>
          <w:tcPr>
            <w:tcW w:w="300" w:type="dxa"/>
            <w:vAlign w:val="bottom"/>
            <w:shd w:val="clear" w:color="auto" w:fill="E6EEFF"/>
          </w:tcPr>
          <w:p>
            <w:pPr>
              <w:spacing w:after="0"/>
              <w:rPr>
                <w:sz w:val="19"/>
                <w:szCs w:val="19"/>
                <w:color w:val="auto"/>
              </w:rPr>
            </w:pPr>
          </w:p>
        </w:tc>
        <w:tc>
          <w:tcPr>
            <w:tcW w:w="9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1,730,097</w:t>
            </w:r>
          </w:p>
        </w:tc>
        <w:tc>
          <w:tcPr>
            <w:tcW w:w="120" w:type="dxa"/>
            <w:vAlign w:val="bottom"/>
            <w:shd w:val="clear" w:color="auto" w:fill="E6EEFF"/>
          </w:tcPr>
          <w:p>
            <w:pPr>
              <w:spacing w:after="0"/>
              <w:rPr>
                <w:sz w:val="19"/>
                <w:szCs w:val="19"/>
                <w:color w:val="auto"/>
              </w:rPr>
            </w:pPr>
          </w:p>
        </w:tc>
        <w:tc>
          <w:tcPr>
            <w:tcW w:w="180" w:type="dxa"/>
            <w:vAlign w:val="bottom"/>
            <w:shd w:val="clear" w:color="auto" w:fill="E6EEFF"/>
          </w:tcPr>
          <w:p>
            <w:pPr>
              <w:spacing w:after="0"/>
              <w:rPr>
                <w:sz w:val="19"/>
                <w:szCs w:val="19"/>
                <w:color w:val="auto"/>
              </w:rPr>
            </w:pPr>
          </w:p>
        </w:tc>
        <w:tc>
          <w:tcPr>
            <w:tcW w:w="10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(17,792)</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0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1,712,305</w:t>
            </w:r>
          </w:p>
        </w:tc>
        <w:tc>
          <w:tcPr>
            <w:tcW w:w="116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4.6 %</w:t>
            </w:r>
          </w:p>
        </w:tc>
        <w:tc>
          <w:tcPr>
            <w:tcW w:w="80" w:type="dxa"/>
            <w:vAlign w:val="bottom"/>
            <w:shd w:val="clear" w:color="auto" w:fill="E6EEFF"/>
          </w:tcPr>
          <w:p>
            <w:pPr>
              <w:spacing w:after="0"/>
              <w:rPr>
                <w:sz w:val="19"/>
                <w:szCs w:val="19"/>
                <w:color w:val="auto"/>
              </w:rPr>
            </w:pPr>
          </w:p>
        </w:tc>
        <w:tc>
          <w:tcPr>
            <w:tcW w:w="1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356</w:t>
            </w:r>
          </w:p>
        </w:tc>
        <w:tc>
          <w:tcPr>
            <w:tcW w:w="120" w:type="dxa"/>
            <w:vAlign w:val="bottom"/>
            <w:shd w:val="clear" w:color="auto" w:fill="E6EEFF"/>
          </w:tcPr>
          <w:p>
            <w:pPr>
              <w:spacing w:after="0"/>
              <w:rPr>
                <w:sz w:val="19"/>
                <w:szCs w:val="19"/>
                <w:color w:val="auto"/>
              </w:rPr>
            </w:pPr>
          </w:p>
        </w:tc>
        <w:tc>
          <w:tcPr>
            <w:tcW w:w="1200" w:type="dxa"/>
            <w:vAlign w:val="bottom"/>
            <w:shd w:val="clear" w:color="auto" w:fill="E6EEFF"/>
          </w:tcPr>
          <w:p>
            <w:pPr>
              <w:jc w:val="right"/>
              <w:ind w:right="94"/>
              <w:spacing w:after="0"/>
              <w:rPr>
                <w:sz w:val="20"/>
                <w:szCs w:val="20"/>
                <w:color w:val="auto"/>
              </w:rPr>
            </w:pPr>
            <w:r>
              <w:rPr>
                <w:rFonts w:ascii="Calibri" w:cs="Calibri" w:eastAsia="Calibri" w:hAnsi="Calibri"/>
                <w:sz w:val="17"/>
                <w:szCs w:val="17"/>
                <w:color w:val="auto"/>
              </w:rPr>
              <w:t>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00" w:type="dxa"/>
            <w:vAlign w:val="bottom"/>
            <w:tcBorders>
              <w:bottom w:val="single" w:sz="8" w:color="E6EEFF"/>
            </w:tcBorders>
          </w:tcPr>
          <w:p>
            <w:pPr>
              <w:ind w:left="120"/>
              <w:spacing w:after="0" w:line="205" w:lineRule="exact"/>
              <w:rPr>
                <w:sz w:val="20"/>
                <w:szCs w:val="20"/>
                <w:color w:val="auto"/>
              </w:rPr>
            </w:pPr>
            <w:r>
              <w:rPr>
                <w:rFonts w:ascii="Calibri" w:cs="Calibri" w:eastAsia="Calibri" w:hAnsi="Calibri"/>
                <w:sz w:val="17"/>
                <w:szCs w:val="17"/>
                <w:color w:val="auto"/>
              </w:rPr>
              <w:t>5.5%</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1,039,085</w:t>
            </w:r>
          </w:p>
        </w:tc>
        <w:tc>
          <w:tcPr>
            <w:tcW w:w="100" w:type="dxa"/>
            <w:vAlign w:val="bottom"/>
            <w:tcBorders>
              <w:bottom w:val="single" w:sz="8" w:color="E6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1,048,377</w:t>
            </w:r>
          </w:p>
        </w:tc>
        <w:tc>
          <w:tcPr>
            <w:tcW w:w="120" w:type="dxa"/>
            <w:vAlign w:val="bottom"/>
            <w:tcBorders>
              <w:bottom w:val="single" w:sz="8" w:color="E6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(4,596)</w:t>
            </w:r>
          </w:p>
        </w:tc>
        <w:tc>
          <w:tcPr>
            <w:tcW w:w="120" w:type="dxa"/>
            <w:vAlign w:val="bottom"/>
            <w:tcBorders>
              <w:bottom w:val="single" w:sz="8" w:color="E6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1,043,781</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E6EEFF"/>
            </w:tcBorders>
            <w:gridSpan w:val="2"/>
          </w:tcPr>
          <w:p>
            <w:pPr>
              <w:jc w:val="right"/>
              <w:ind w:right="100"/>
              <w:spacing w:after="0" w:line="205" w:lineRule="exact"/>
              <w:rPr>
                <w:sz w:val="20"/>
                <w:szCs w:val="20"/>
                <w:color w:val="auto"/>
              </w:rPr>
            </w:pPr>
            <w:r>
              <w:rPr>
                <w:rFonts w:ascii="Calibri" w:cs="Calibri" w:eastAsia="Calibri" w:hAnsi="Calibri"/>
                <w:sz w:val="17"/>
                <w:szCs w:val="17"/>
                <w:color w:val="auto"/>
              </w:rPr>
              <w:t>— %</w:t>
            </w:r>
          </w:p>
        </w:tc>
        <w:tc>
          <w:tcPr>
            <w:tcW w:w="1160" w:type="dxa"/>
            <w:vAlign w:val="bottom"/>
            <w:tcBorders>
              <w:bottom w:val="single" w:sz="8" w:color="E6EEFF"/>
            </w:tcBorders>
          </w:tcPr>
          <w:p>
            <w:pPr>
              <w:jc w:val="right"/>
              <w:spacing w:after="0" w:line="205" w:lineRule="exact"/>
              <w:rPr>
                <w:sz w:val="20"/>
                <w:szCs w:val="20"/>
                <w:color w:val="auto"/>
              </w:rPr>
            </w:pPr>
            <w:r>
              <w:rPr>
                <w:rFonts w:ascii="Calibri" w:cs="Calibri" w:eastAsia="Calibri" w:hAnsi="Calibri"/>
                <w:sz w:val="17"/>
                <w:szCs w:val="17"/>
                <w:color w:val="auto"/>
              </w:rPr>
              <w:t>357</w:t>
            </w:r>
          </w:p>
        </w:tc>
        <w:tc>
          <w:tcPr>
            <w:tcW w:w="120" w:type="dxa"/>
            <w:vAlign w:val="bottom"/>
            <w:tcBorders>
              <w:bottom w:val="single" w:sz="8" w:color="E6EEFF"/>
            </w:tcBorders>
          </w:tcPr>
          <w:p>
            <w:pPr>
              <w:spacing w:after="0"/>
              <w:rPr>
                <w:sz w:val="18"/>
                <w:szCs w:val="18"/>
                <w:color w:val="auto"/>
              </w:rPr>
            </w:pPr>
          </w:p>
        </w:tc>
        <w:tc>
          <w:tcPr>
            <w:tcW w:w="1200" w:type="dxa"/>
            <w:vAlign w:val="bottom"/>
            <w:tcBorders>
              <w:bottom w:val="single" w:sz="8" w:color="auto"/>
            </w:tcBorders>
          </w:tcPr>
          <w:p>
            <w:pPr>
              <w:jc w:val="right"/>
              <w:ind w:right="94"/>
              <w:spacing w:after="0" w:line="205" w:lineRule="exact"/>
              <w:rPr>
                <w:sz w:val="20"/>
                <w:szCs w:val="20"/>
                <w:color w:val="auto"/>
              </w:rPr>
            </w:pPr>
            <w:r>
              <w:rPr>
                <w:rFonts w:ascii="Calibri" w:cs="Calibri" w:eastAsia="Calibri" w:hAnsi="Calibri"/>
                <w:sz w:val="17"/>
                <w:szCs w:val="17"/>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100" w:type="dxa"/>
            <w:vAlign w:val="bottom"/>
            <w:tcBorders>
              <w:bottom w:val="single" w:sz="8" w:color="E6EEFF"/>
            </w:tcBorders>
            <w:shd w:val="clear" w:color="auto" w:fill="E6EEFF"/>
          </w:tcPr>
          <w:p>
            <w:pPr>
              <w:ind w:left="20"/>
              <w:spacing w:after="0"/>
              <w:rPr>
                <w:sz w:val="20"/>
                <w:szCs w:val="20"/>
                <w:color w:val="auto"/>
              </w:rPr>
            </w:pPr>
            <w:r>
              <w:rPr>
                <w:rFonts w:ascii="Calibri" w:cs="Calibri" w:eastAsia="Calibri" w:hAnsi="Calibri"/>
                <w:sz w:val="17"/>
                <w:szCs w:val="17"/>
                <w:b w:val="1"/>
                <w:bCs w:val="1"/>
                <w:color w:val="1C4787"/>
              </w:rPr>
              <w:t>Total Agency Securites</w:t>
            </w:r>
          </w:p>
        </w:tc>
        <w:tc>
          <w:tcPr>
            <w:tcW w:w="280" w:type="dxa"/>
            <w:vAlign w:val="bottom"/>
            <w:tcBorders>
              <w:bottom w:val="single" w:sz="8" w:color="auto"/>
            </w:tcBorders>
            <w:shd w:val="clear" w:color="auto" w:fill="E6EEFF"/>
          </w:tcPr>
          <w:p>
            <w:pPr>
              <w:jc w:val="right"/>
              <w:ind w:right="94"/>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8,711,267</w:t>
            </w:r>
          </w:p>
        </w:tc>
        <w:tc>
          <w:tcPr>
            <w:tcW w:w="100" w:type="dxa"/>
            <w:vAlign w:val="bottom"/>
            <w:tcBorders>
              <w:bottom w:val="single" w:sz="8" w:color="E6EEFF"/>
            </w:tcBorders>
            <w:shd w:val="clear" w:color="auto" w:fill="E6EEFF"/>
          </w:tcPr>
          <w:p>
            <w:pPr>
              <w:spacing w:after="0"/>
              <w:rPr>
                <w:sz w:val="20"/>
                <w:szCs w:val="20"/>
                <w:color w:val="auto"/>
              </w:rPr>
            </w:pPr>
          </w:p>
        </w:tc>
        <w:tc>
          <w:tcPr>
            <w:tcW w:w="300" w:type="dxa"/>
            <w:vAlign w:val="bottom"/>
            <w:tcBorders>
              <w:bottom w:val="single" w:sz="8" w:color="auto"/>
            </w:tcBorders>
            <w:shd w:val="clear" w:color="auto" w:fill="E6EEFF"/>
          </w:tcPr>
          <w:p>
            <w:pPr>
              <w:jc w:val="right"/>
              <w:ind w:right="94"/>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8,752,957</w:t>
            </w:r>
          </w:p>
        </w:tc>
        <w:tc>
          <w:tcPr>
            <w:tcW w:w="120" w:type="dxa"/>
            <w:vAlign w:val="bottom"/>
            <w:tcBorders>
              <w:bottom w:val="single" w:sz="8" w:color="E6EEFF"/>
            </w:tcBorders>
            <w:shd w:val="clear" w:color="auto" w:fill="E6EEFF"/>
          </w:tcPr>
          <w:p>
            <w:pPr>
              <w:spacing w:after="0"/>
              <w:rPr>
                <w:sz w:val="20"/>
                <w:szCs w:val="20"/>
                <w:color w:val="auto"/>
              </w:rPr>
            </w:pPr>
          </w:p>
        </w:tc>
        <w:tc>
          <w:tcPr>
            <w:tcW w:w="180" w:type="dxa"/>
            <w:vAlign w:val="bottom"/>
            <w:tcBorders>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0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(554,366)</w:t>
            </w:r>
          </w:p>
        </w:tc>
        <w:tc>
          <w:tcPr>
            <w:tcW w:w="120" w:type="dxa"/>
            <w:vAlign w:val="bottom"/>
            <w:tcBorders>
              <w:bottom w:val="single" w:sz="8" w:color="E6EEFF"/>
            </w:tcBorders>
            <w:shd w:val="clear" w:color="auto" w:fill="E6EEFF"/>
          </w:tcPr>
          <w:p>
            <w:pPr>
              <w:spacing w:after="0"/>
              <w:rPr>
                <w:sz w:val="20"/>
                <w:szCs w:val="20"/>
                <w:color w:val="auto"/>
              </w:rPr>
            </w:pPr>
          </w:p>
        </w:tc>
        <w:tc>
          <w:tcPr>
            <w:tcW w:w="200" w:type="dxa"/>
            <w:vAlign w:val="bottom"/>
            <w:tcBorders>
              <w:bottom w:val="single" w:sz="8" w:color="auto"/>
            </w:tcBorders>
            <w:shd w:val="clear" w:color="auto" w:fill="E6EEFF"/>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0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8,198,591</w:t>
            </w:r>
          </w:p>
        </w:tc>
        <w:tc>
          <w:tcPr>
            <w:tcW w:w="1160" w:type="dxa"/>
            <w:vAlign w:val="bottom"/>
            <w:tcBorders>
              <w:bottom w:val="single" w:sz="8" w:color="E6EEFF"/>
            </w:tcBorders>
            <w:gridSpan w:val="2"/>
            <w:shd w:val="clear" w:color="auto" w:fill="E6EEFF"/>
          </w:tcPr>
          <w:p>
            <w:pPr>
              <w:jc w:val="right"/>
              <w:spacing w:after="0"/>
              <w:rPr>
                <w:sz w:val="20"/>
                <w:szCs w:val="20"/>
                <w:color w:val="auto"/>
              </w:rPr>
            </w:pPr>
            <w:r>
              <w:rPr>
                <w:rFonts w:ascii="Calibri" w:cs="Calibri" w:eastAsia="Calibri" w:hAnsi="Calibri"/>
                <w:sz w:val="17"/>
                <w:szCs w:val="17"/>
                <w:color w:val="auto"/>
              </w:rPr>
              <w:t>4.0 %</w:t>
            </w:r>
          </w:p>
        </w:tc>
        <w:tc>
          <w:tcPr>
            <w:tcW w:w="80" w:type="dxa"/>
            <w:vAlign w:val="bottom"/>
            <w:tcBorders>
              <w:bottom w:val="single" w:sz="8" w:color="E6EEFF"/>
            </w:tcBorders>
            <w:shd w:val="clear" w:color="auto" w:fill="E6EEFF"/>
          </w:tcPr>
          <w:p>
            <w:pPr>
              <w:spacing w:after="0"/>
              <w:rPr>
                <w:sz w:val="20"/>
                <w:szCs w:val="20"/>
                <w:color w:val="auto"/>
              </w:rPr>
            </w:pPr>
          </w:p>
        </w:tc>
        <w:tc>
          <w:tcPr>
            <w:tcW w:w="116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351</w:t>
            </w:r>
          </w:p>
        </w:tc>
        <w:tc>
          <w:tcPr>
            <w:tcW w:w="120" w:type="dxa"/>
            <w:vAlign w:val="bottom"/>
            <w:tcBorders>
              <w:bottom w:val="single" w:sz="8" w:color="E6EEFF"/>
            </w:tcBorders>
            <w:shd w:val="clear" w:color="auto" w:fill="E6EEFF"/>
          </w:tcPr>
          <w:p>
            <w:pPr>
              <w:spacing w:after="0"/>
              <w:rPr>
                <w:sz w:val="20"/>
                <w:szCs w:val="20"/>
                <w:color w:val="auto"/>
              </w:rPr>
            </w:pPr>
          </w:p>
        </w:tc>
        <w:tc>
          <w:tcPr>
            <w:tcW w:w="120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91.3 %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E6EEFF"/>
              <w:bottom w:val="single" w:sz="8" w:color="E6EEFF"/>
            </w:tcBorders>
            <w:vMerge w:val="restart"/>
          </w:tcPr>
          <w:p>
            <w:pPr>
              <w:ind w:left="20"/>
              <w:spacing w:after="0" w:line="198" w:lineRule="exact"/>
              <w:rPr>
                <w:sz w:val="20"/>
                <w:szCs w:val="20"/>
                <w:color w:val="auto"/>
              </w:rPr>
            </w:pPr>
            <w:r>
              <w:rPr>
                <w:rFonts w:ascii="Calibri" w:cs="Calibri" w:eastAsia="Calibri" w:hAnsi="Calibri"/>
                <w:sz w:val="17"/>
                <w:szCs w:val="17"/>
                <w:b w:val="1"/>
                <w:bCs w:val="1"/>
                <w:color w:val="1C4787"/>
              </w:rPr>
              <w:t>TBA Agency Securites:</w:t>
            </w:r>
          </w:p>
        </w:tc>
        <w:tc>
          <w:tcPr>
            <w:tcW w:w="280" w:type="dxa"/>
            <w:vAlign w:val="bottom"/>
            <w:tcBorders>
              <w:top w:val="single" w:sz="8" w:color="E6EEFF"/>
              <w:bottom w:val="single" w:sz="8" w:color="auto"/>
            </w:tcBorders>
          </w:tcPr>
          <w:p>
            <w:pPr>
              <w:spacing w:after="0" w:line="20" w:lineRule="exact"/>
              <w:rPr>
                <w:sz w:val="1"/>
                <w:szCs w:val="1"/>
                <w:color w:val="auto"/>
              </w:rPr>
            </w:pPr>
          </w:p>
        </w:tc>
        <w:tc>
          <w:tcPr>
            <w:tcW w:w="96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30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80" w:type="dxa"/>
            <w:vAlign w:val="bottom"/>
            <w:tcBorders>
              <w:top w:val="single" w:sz="8" w:color="E6EEFF"/>
              <w:bottom w:val="single" w:sz="8" w:color="auto"/>
            </w:tcBorders>
          </w:tcPr>
          <w:p>
            <w:pPr>
              <w:spacing w:after="0" w:line="20" w:lineRule="exact"/>
              <w:rPr>
                <w:sz w:val="1"/>
                <w:szCs w:val="1"/>
                <w:color w:val="auto"/>
              </w:rPr>
            </w:pPr>
          </w:p>
        </w:tc>
        <w:tc>
          <w:tcPr>
            <w:tcW w:w="106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200" w:type="dxa"/>
            <w:vAlign w:val="bottom"/>
            <w:tcBorders>
              <w:top w:val="single" w:sz="8" w:color="E6EEFF"/>
              <w:bottom w:val="single" w:sz="8" w:color="auto"/>
            </w:tcBorders>
          </w:tcPr>
          <w:p>
            <w:pPr>
              <w:spacing w:after="0" w:line="20" w:lineRule="exact"/>
              <w:rPr>
                <w:sz w:val="1"/>
                <w:szCs w:val="1"/>
                <w:color w:val="auto"/>
              </w:rPr>
            </w:pPr>
          </w:p>
        </w:tc>
        <w:tc>
          <w:tcPr>
            <w:tcW w:w="104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060" w:type="dxa"/>
            <w:vAlign w:val="bottom"/>
            <w:tcBorders>
              <w:top w:val="single" w:sz="8" w:color="E6EEFF"/>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116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200" w:type="dxa"/>
            <w:vAlign w:val="bottom"/>
            <w:tcBorders>
              <w:top w:val="single" w:sz="8" w:color="E6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100" w:type="dxa"/>
            <w:vAlign w:val="bottom"/>
            <w:shd w:val="clear" w:color="auto" w:fill="E6EEFF"/>
          </w:tcPr>
          <w:p>
            <w:pPr>
              <w:ind w:left="40"/>
              <w:spacing w:after="0" w:line="227" w:lineRule="exact"/>
              <w:rPr>
                <w:sz w:val="20"/>
                <w:szCs w:val="20"/>
                <w:color w:val="auto"/>
              </w:rPr>
            </w:pPr>
            <w:r>
              <w:rPr>
                <w:rFonts w:ascii="Calibri" w:cs="Calibri" w:eastAsia="Calibri" w:hAnsi="Calibri"/>
                <w:sz w:val="17"/>
                <w:szCs w:val="17"/>
                <w:color w:val="auto"/>
              </w:rPr>
              <w:t xml:space="preserve">30 Year </w:t>
            </w:r>
            <w:r>
              <w:rPr>
                <w:rFonts w:ascii="Calibri" w:cs="Calibri" w:eastAsia="Calibri" w:hAnsi="Calibri"/>
                <w:sz w:val="22"/>
                <w:szCs w:val="22"/>
                <w:color w:val="auto"/>
                <w:vertAlign w:val="superscript"/>
              </w:rPr>
              <w:t>(2)</w:t>
            </w:r>
          </w:p>
        </w:tc>
        <w:tc>
          <w:tcPr>
            <w:tcW w:w="280" w:type="dxa"/>
            <w:vAlign w:val="bottom"/>
            <w:shd w:val="clear" w:color="auto" w:fill="E6EEFF"/>
          </w:tcPr>
          <w:p>
            <w:pPr>
              <w:spacing w:after="0"/>
              <w:rPr>
                <w:sz w:val="19"/>
                <w:szCs w:val="19"/>
                <w:color w:val="auto"/>
              </w:rPr>
            </w:pPr>
          </w:p>
        </w:tc>
        <w:tc>
          <w:tcPr>
            <w:tcW w:w="96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300" w:type="dxa"/>
            <w:vAlign w:val="bottom"/>
            <w:shd w:val="clear" w:color="auto" w:fill="E6EEFF"/>
          </w:tcPr>
          <w:p>
            <w:pPr>
              <w:spacing w:after="0"/>
              <w:rPr>
                <w:sz w:val="19"/>
                <w:szCs w:val="19"/>
                <w:color w:val="auto"/>
              </w:rPr>
            </w:pPr>
          </w:p>
        </w:tc>
        <w:tc>
          <w:tcPr>
            <w:tcW w:w="94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80" w:type="dxa"/>
            <w:vAlign w:val="bottom"/>
            <w:shd w:val="clear" w:color="auto" w:fill="E6EEFF"/>
          </w:tcPr>
          <w:p>
            <w:pPr>
              <w:spacing w:after="0"/>
              <w:rPr>
                <w:sz w:val="19"/>
                <w:szCs w:val="19"/>
                <w:color w:val="auto"/>
              </w:rPr>
            </w:pPr>
          </w:p>
        </w:tc>
        <w:tc>
          <w:tcPr>
            <w:tcW w:w="106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04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1060" w:type="dxa"/>
            <w:vAlign w:val="bottom"/>
            <w:shd w:val="clear" w:color="auto" w:fill="E6EEFF"/>
          </w:tcPr>
          <w:p>
            <w:pPr>
              <w:spacing w:after="0"/>
              <w:rPr>
                <w:sz w:val="19"/>
                <w:szCs w:val="19"/>
                <w:color w:val="auto"/>
              </w:rPr>
            </w:pPr>
          </w:p>
        </w:tc>
        <w:tc>
          <w:tcPr>
            <w:tcW w:w="80" w:type="dxa"/>
            <w:vAlign w:val="bottom"/>
            <w:shd w:val="clear" w:color="auto" w:fill="E6EEFF"/>
          </w:tcPr>
          <w:p>
            <w:pPr>
              <w:spacing w:after="0"/>
              <w:rPr>
                <w:sz w:val="19"/>
                <w:szCs w:val="19"/>
                <w:color w:val="auto"/>
              </w:rPr>
            </w:pPr>
          </w:p>
        </w:tc>
        <w:tc>
          <w:tcPr>
            <w:tcW w:w="116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200" w:type="dxa"/>
            <w:vAlign w:val="bottom"/>
            <w:shd w:val="clear" w:color="auto" w:fill="E6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00" w:type="dxa"/>
            <w:vAlign w:val="bottom"/>
          </w:tcPr>
          <w:p>
            <w:pPr>
              <w:ind w:left="140"/>
              <w:spacing w:after="0" w:line="205" w:lineRule="exact"/>
              <w:rPr>
                <w:sz w:val="20"/>
                <w:szCs w:val="20"/>
                <w:color w:val="auto"/>
              </w:rPr>
            </w:pPr>
            <w:r>
              <w:rPr>
                <w:rFonts w:ascii="Calibri" w:cs="Calibri" w:eastAsia="Calibri" w:hAnsi="Calibri"/>
                <w:sz w:val="17"/>
                <w:szCs w:val="17"/>
                <w:color w:val="auto"/>
              </w:rPr>
              <w:t>4.5%</w:t>
            </w:r>
          </w:p>
        </w:tc>
        <w:tc>
          <w:tcPr>
            <w:tcW w:w="280" w:type="dxa"/>
            <w:vAlign w:val="bottom"/>
          </w:tcPr>
          <w:p>
            <w:pPr>
              <w:jc w:val="right"/>
              <w:ind w:right="94"/>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500,000</w:t>
            </w:r>
          </w:p>
        </w:tc>
        <w:tc>
          <w:tcPr>
            <w:tcW w:w="100" w:type="dxa"/>
            <w:vAlign w:val="bottom"/>
          </w:tcPr>
          <w:p>
            <w:pPr>
              <w:spacing w:after="0"/>
              <w:rPr>
                <w:sz w:val="18"/>
                <w:szCs w:val="18"/>
                <w:color w:val="auto"/>
              </w:rPr>
            </w:pPr>
          </w:p>
        </w:tc>
        <w:tc>
          <w:tcPr>
            <w:tcW w:w="300" w:type="dxa"/>
            <w:vAlign w:val="bottom"/>
          </w:tcPr>
          <w:p>
            <w:pPr>
              <w:jc w:val="right"/>
              <w:ind w:right="94"/>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489,805</w:t>
            </w:r>
          </w:p>
        </w:tc>
        <w:tc>
          <w:tcPr>
            <w:tcW w:w="120" w:type="dxa"/>
            <w:vAlign w:val="bottom"/>
          </w:tcPr>
          <w:p>
            <w:pPr>
              <w:spacing w:after="0"/>
              <w:rPr>
                <w:sz w:val="18"/>
                <w:szCs w:val="18"/>
                <w:color w:val="auto"/>
              </w:rPr>
            </w:pPr>
          </w:p>
        </w:tc>
        <w:tc>
          <w:tcPr>
            <w:tcW w:w="180" w:type="dxa"/>
            <w:vAlign w:val="bottom"/>
          </w:tcPr>
          <w:p>
            <w:pPr>
              <w:ind w:left="20"/>
              <w:spacing w:after="0" w:line="205" w:lineRule="exact"/>
              <w:rPr>
                <w:sz w:val="20"/>
                <w:szCs w:val="20"/>
                <w:color w:val="auto"/>
              </w:rPr>
            </w:pPr>
            <w:r>
              <w:rPr>
                <w:rFonts w:ascii="Calibri" w:cs="Calibri" w:eastAsia="Calibri" w:hAnsi="Calibri"/>
                <w:sz w:val="17"/>
                <w:szCs w:val="17"/>
                <w:color w:val="auto"/>
              </w:rPr>
              <w:t>$</w:t>
            </w:r>
          </w:p>
        </w:tc>
        <w:tc>
          <w:tcPr>
            <w:tcW w:w="1060" w:type="dxa"/>
            <w:vAlign w:val="bottom"/>
          </w:tcPr>
          <w:p>
            <w:pPr>
              <w:jc w:val="right"/>
              <w:spacing w:after="0" w:line="205" w:lineRule="exact"/>
              <w:rPr>
                <w:sz w:val="20"/>
                <w:szCs w:val="20"/>
                <w:color w:val="auto"/>
              </w:rPr>
            </w:pPr>
            <w:r>
              <w:rPr>
                <w:rFonts w:ascii="Calibri" w:cs="Calibri" w:eastAsia="Calibri" w:hAnsi="Calibri"/>
                <w:sz w:val="17"/>
                <w:szCs w:val="17"/>
                <w:color w:val="auto"/>
              </w:rPr>
              <w:t>(8,164)</w:t>
            </w:r>
          </w:p>
        </w:tc>
        <w:tc>
          <w:tcPr>
            <w:tcW w:w="120" w:type="dxa"/>
            <w:vAlign w:val="bottom"/>
          </w:tcPr>
          <w:p>
            <w:pPr>
              <w:spacing w:after="0"/>
              <w:rPr>
                <w:sz w:val="18"/>
                <w:szCs w:val="18"/>
                <w:color w:val="auto"/>
              </w:rPr>
            </w:pPr>
          </w:p>
        </w:tc>
        <w:tc>
          <w:tcPr>
            <w:tcW w:w="200" w:type="dxa"/>
            <w:vAlign w:val="bottom"/>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040" w:type="dxa"/>
            <w:vAlign w:val="bottom"/>
          </w:tcPr>
          <w:p>
            <w:pPr>
              <w:jc w:val="right"/>
              <w:spacing w:after="0" w:line="205" w:lineRule="exact"/>
              <w:rPr>
                <w:sz w:val="20"/>
                <w:szCs w:val="20"/>
                <w:color w:val="auto"/>
              </w:rPr>
            </w:pPr>
            <w:r>
              <w:rPr>
                <w:rFonts w:ascii="Calibri" w:cs="Calibri" w:eastAsia="Calibri" w:hAnsi="Calibri"/>
                <w:sz w:val="17"/>
                <w:szCs w:val="17"/>
                <w:color w:val="auto"/>
              </w:rPr>
              <w:t>481,641</w:t>
            </w:r>
          </w:p>
        </w:tc>
        <w:tc>
          <w:tcPr>
            <w:tcW w:w="100" w:type="dxa"/>
            <w:vAlign w:val="bottom"/>
          </w:tcPr>
          <w:p>
            <w:pPr>
              <w:spacing w:after="0"/>
              <w:rPr>
                <w:sz w:val="18"/>
                <w:szCs w:val="18"/>
                <w:color w:val="auto"/>
              </w:rPr>
            </w:pPr>
          </w:p>
        </w:tc>
        <w:tc>
          <w:tcPr>
            <w:tcW w:w="1140" w:type="dxa"/>
            <w:vAlign w:val="bottom"/>
            <w:gridSpan w:val="2"/>
          </w:tcPr>
          <w:p>
            <w:pPr>
              <w:ind w:left="800"/>
              <w:spacing w:after="0" w:line="205" w:lineRule="exact"/>
              <w:rPr>
                <w:sz w:val="20"/>
                <w:szCs w:val="20"/>
                <w:color w:val="auto"/>
              </w:rPr>
            </w:pPr>
            <w:r>
              <w:rPr>
                <w:rFonts w:ascii="Calibri" w:cs="Calibri" w:eastAsia="Calibri" w:hAnsi="Calibri"/>
                <w:sz w:val="17"/>
                <w:szCs w:val="17"/>
                <w:color w:val="auto"/>
              </w:rPr>
              <w:t>n/a</w:t>
            </w:r>
          </w:p>
        </w:tc>
        <w:tc>
          <w:tcPr>
            <w:tcW w:w="1280" w:type="dxa"/>
            <w:vAlign w:val="bottom"/>
            <w:gridSpan w:val="2"/>
          </w:tcPr>
          <w:p>
            <w:pPr>
              <w:jc w:val="right"/>
              <w:ind w:right="120"/>
              <w:spacing w:after="0" w:line="205" w:lineRule="exact"/>
              <w:rPr>
                <w:sz w:val="20"/>
                <w:szCs w:val="20"/>
                <w:color w:val="auto"/>
              </w:rPr>
            </w:pPr>
            <w:r>
              <w:rPr>
                <w:rFonts w:ascii="Calibri" w:cs="Calibri" w:eastAsia="Calibri" w:hAnsi="Calibri"/>
                <w:sz w:val="17"/>
                <w:szCs w:val="17"/>
                <w:color w:val="auto"/>
              </w:rPr>
              <w:t>n/a</w:t>
            </w:r>
          </w:p>
        </w:tc>
        <w:tc>
          <w:tcPr>
            <w:tcW w:w="1200" w:type="dxa"/>
            <w:vAlign w:val="bottom"/>
          </w:tcPr>
          <w:p>
            <w:pPr>
              <w:jc w:val="right"/>
              <w:ind w:right="94"/>
              <w:spacing w:after="0" w:line="205" w:lineRule="exact"/>
              <w:rPr>
                <w:sz w:val="20"/>
                <w:szCs w:val="20"/>
                <w:color w:val="auto"/>
              </w:rPr>
            </w:pPr>
            <w:r>
              <w:rPr>
                <w:rFonts w:ascii="Calibri" w:cs="Calibri" w:eastAsia="Calibri" w:hAnsi="Calibri"/>
                <w:sz w:val="17"/>
                <w:szCs w:val="17"/>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00" w:type="dxa"/>
            <w:vAlign w:val="bottom"/>
            <w:shd w:val="clear" w:color="auto" w:fill="E6EEFF"/>
          </w:tcPr>
          <w:p>
            <w:pPr>
              <w:ind w:left="140"/>
              <w:spacing w:after="0"/>
              <w:rPr>
                <w:sz w:val="20"/>
                <w:szCs w:val="20"/>
                <w:color w:val="auto"/>
              </w:rPr>
            </w:pPr>
            <w:r>
              <w:rPr>
                <w:rFonts w:ascii="Calibri" w:cs="Calibri" w:eastAsia="Calibri" w:hAnsi="Calibri"/>
                <w:sz w:val="17"/>
                <w:szCs w:val="17"/>
                <w:color w:val="auto"/>
              </w:rPr>
              <w:t>5.0%</w:t>
            </w:r>
          </w:p>
        </w:tc>
        <w:tc>
          <w:tcPr>
            <w:tcW w:w="280" w:type="dxa"/>
            <w:vAlign w:val="bottom"/>
            <w:tcBorders>
              <w:bottom w:val="single" w:sz="8" w:color="auto"/>
            </w:tcBorders>
            <w:shd w:val="clear" w:color="auto" w:fill="E6EEFF"/>
          </w:tcPr>
          <w:p>
            <w:pPr>
              <w:jc w:val="right"/>
              <w:ind w:right="94"/>
              <w:spacing w:after="0"/>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300,000</w:t>
            </w:r>
          </w:p>
        </w:tc>
        <w:tc>
          <w:tcPr>
            <w:tcW w:w="100" w:type="dxa"/>
            <w:vAlign w:val="bottom"/>
            <w:shd w:val="clear" w:color="auto" w:fill="E6EEFF"/>
          </w:tcPr>
          <w:p>
            <w:pPr>
              <w:spacing w:after="0"/>
              <w:rPr>
                <w:sz w:val="19"/>
                <w:szCs w:val="19"/>
                <w:color w:val="auto"/>
              </w:rPr>
            </w:pPr>
          </w:p>
        </w:tc>
        <w:tc>
          <w:tcPr>
            <w:tcW w:w="300" w:type="dxa"/>
            <w:vAlign w:val="bottom"/>
            <w:tcBorders>
              <w:bottom w:val="single" w:sz="8" w:color="auto"/>
            </w:tcBorders>
            <w:shd w:val="clear" w:color="auto" w:fill="E6EEFF"/>
          </w:tcPr>
          <w:p>
            <w:pPr>
              <w:jc w:val="right"/>
              <w:ind w:right="94"/>
              <w:spacing w:after="0"/>
              <w:rPr>
                <w:sz w:val="20"/>
                <w:szCs w:val="20"/>
                <w:color w:val="auto"/>
              </w:rPr>
            </w:pPr>
            <w:r>
              <w:rPr>
                <w:rFonts w:ascii="Calibri" w:cs="Calibri" w:eastAsia="Calibri" w:hAnsi="Calibri"/>
                <w:sz w:val="17"/>
                <w:szCs w:val="17"/>
                <w:color w:val="auto"/>
              </w:rPr>
              <w:t>$</w:t>
            </w:r>
          </w:p>
        </w:tc>
        <w:tc>
          <w:tcPr>
            <w:tcW w:w="9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300,164</w:t>
            </w:r>
          </w:p>
        </w:tc>
        <w:tc>
          <w:tcPr>
            <w:tcW w:w="120" w:type="dxa"/>
            <w:vAlign w:val="bottom"/>
            <w:shd w:val="clear" w:color="auto" w:fill="E6EEFF"/>
          </w:tcPr>
          <w:p>
            <w:pPr>
              <w:spacing w:after="0"/>
              <w:rPr>
                <w:sz w:val="19"/>
                <w:szCs w:val="19"/>
                <w:color w:val="auto"/>
              </w:rPr>
            </w:pPr>
          </w:p>
        </w:tc>
        <w:tc>
          <w:tcPr>
            <w:tcW w:w="180" w:type="dxa"/>
            <w:vAlign w:val="bottom"/>
            <w:tcBorders>
              <w:bottom w:val="single" w:sz="8" w:color="auto"/>
            </w:tcBorders>
            <w:shd w:val="clear" w:color="auto" w:fill="E6EEFF"/>
          </w:tcPr>
          <w:p>
            <w:pPr>
              <w:ind w:left="20"/>
              <w:spacing w:after="0"/>
              <w:rPr>
                <w:sz w:val="20"/>
                <w:szCs w:val="20"/>
                <w:color w:val="auto"/>
              </w:rPr>
            </w:pPr>
            <w:r>
              <w:rPr>
                <w:rFonts w:ascii="Calibri" w:cs="Calibri" w:eastAsia="Calibri" w:hAnsi="Calibri"/>
                <w:sz w:val="17"/>
                <w:szCs w:val="17"/>
                <w:color w:val="auto"/>
              </w:rPr>
              <w:t>$</w:t>
            </w:r>
          </w:p>
        </w:tc>
        <w:tc>
          <w:tcPr>
            <w:tcW w:w="106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(4,336)</w:t>
            </w:r>
          </w:p>
        </w:tc>
        <w:tc>
          <w:tcPr>
            <w:tcW w:w="120" w:type="dxa"/>
            <w:vAlign w:val="bottom"/>
            <w:shd w:val="clear" w:color="auto" w:fill="E6EEFF"/>
          </w:tcPr>
          <w:p>
            <w:pPr>
              <w:spacing w:after="0"/>
              <w:rPr>
                <w:sz w:val="19"/>
                <w:szCs w:val="19"/>
                <w:color w:val="auto"/>
              </w:rPr>
            </w:pPr>
          </w:p>
        </w:tc>
        <w:tc>
          <w:tcPr>
            <w:tcW w:w="200" w:type="dxa"/>
            <w:vAlign w:val="bottom"/>
            <w:tcBorders>
              <w:bottom w:val="single" w:sz="8" w:color="auto"/>
            </w:tcBorders>
            <w:shd w:val="clear" w:color="auto" w:fill="E6EEFF"/>
          </w:tcPr>
          <w:p>
            <w:pPr>
              <w:jc w:val="right"/>
              <w:ind w:right="14"/>
              <w:spacing w:after="0"/>
              <w:rPr>
                <w:sz w:val="20"/>
                <w:szCs w:val="20"/>
                <w:color w:val="auto"/>
              </w:rPr>
            </w:pPr>
            <w:r>
              <w:rPr>
                <w:rFonts w:ascii="Calibri" w:cs="Calibri" w:eastAsia="Calibri" w:hAnsi="Calibri"/>
                <w:sz w:val="17"/>
                <w:szCs w:val="17"/>
                <w:color w:val="auto"/>
                <w:w w:val="92"/>
              </w:rPr>
              <w:t>$</w:t>
            </w:r>
          </w:p>
        </w:tc>
        <w:tc>
          <w:tcPr>
            <w:tcW w:w="10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295,828</w:t>
            </w:r>
          </w:p>
        </w:tc>
        <w:tc>
          <w:tcPr>
            <w:tcW w:w="100" w:type="dxa"/>
            <w:vAlign w:val="bottom"/>
            <w:shd w:val="clear" w:color="auto" w:fill="E6EEFF"/>
          </w:tcPr>
          <w:p>
            <w:pPr>
              <w:spacing w:after="0"/>
              <w:rPr>
                <w:sz w:val="19"/>
                <w:szCs w:val="19"/>
                <w:color w:val="auto"/>
              </w:rPr>
            </w:pPr>
          </w:p>
        </w:tc>
        <w:tc>
          <w:tcPr>
            <w:tcW w:w="1140" w:type="dxa"/>
            <w:vAlign w:val="bottom"/>
            <w:gridSpan w:val="2"/>
            <w:shd w:val="clear" w:color="auto" w:fill="E6EEFF"/>
          </w:tcPr>
          <w:p>
            <w:pPr>
              <w:ind w:left="800"/>
              <w:spacing w:after="0"/>
              <w:rPr>
                <w:sz w:val="20"/>
                <w:szCs w:val="20"/>
                <w:color w:val="auto"/>
              </w:rPr>
            </w:pPr>
            <w:r>
              <w:rPr>
                <w:rFonts w:ascii="Calibri" w:cs="Calibri" w:eastAsia="Calibri" w:hAnsi="Calibri"/>
                <w:sz w:val="17"/>
                <w:szCs w:val="17"/>
                <w:color w:val="auto"/>
              </w:rPr>
              <w:t>n/a</w:t>
            </w:r>
          </w:p>
        </w:tc>
        <w:tc>
          <w:tcPr>
            <w:tcW w:w="1280" w:type="dxa"/>
            <w:vAlign w:val="bottom"/>
            <w:gridSpan w:val="2"/>
            <w:shd w:val="clear" w:color="auto" w:fill="E6EEFF"/>
          </w:tcPr>
          <w:p>
            <w:pPr>
              <w:jc w:val="right"/>
              <w:ind w:right="120"/>
              <w:spacing w:after="0"/>
              <w:rPr>
                <w:sz w:val="20"/>
                <w:szCs w:val="20"/>
                <w:color w:val="auto"/>
              </w:rPr>
            </w:pPr>
            <w:r>
              <w:rPr>
                <w:rFonts w:ascii="Calibri" w:cs="Calibri" w:eastAsia="Calibri" w:hAnsi="Calibri"/>
                <w:sz w:val="17"/>
                <w:szCs w:val="17"/>
                <w:color w:val="auto"/>
              </w:rPr>
              <w:t>n/a</w:t>
            </w:r>
          </w:p>
        </w:tc>
        <w:tc>
          <w:tcPr>
            <w:tcW w:w="1200" w:type="dxa"/>
            <w:vAlign w:val="bottom"/>
            <w:tcBorders>
              <w:bottom w:val="single" w:sz="8" w:color="auto"/>
            </w:tcBorders>
            <w:shd w:val="clear" w:color="auto" w:fill="E6EEFF"/>
          </w:tcPr>
          <w:p>
            <w:pPr>
              <w:jc w:val="right"/>
              <w:ind w:right="94"/>
              <w:spacing w:after="0"/>
              <w:rPr>
                <w:sz w:val="20"/>
                <w:szCs w:val="20"/>
                <w:color w:val="auto"/>
              </w:rPr>
            </w:pPr>
            <w:r>
              <w:rPr>
                <w:rFonts w:ascii="Calibri" w:cs="Calibri" w:eastAsia="Calibri" w:hAnsi="Calibri"/>
                <w:sz w:val="17"/>
                <w:szCs w:val="17"/>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100" w:type="dxa"/>
            <w:vAlign w:val="bottom"/>
            <w:tcBorders>
              <w:bottom w:val="single" w:sz="8" w:color="E6EEFF"/>
            </w:tcBorders>
          </w:tcPr>
          <w:p>
            <w:pPr>
              <w:ind w:left="20"/>
              <w:spacing w:after="0" w:line="190" w:lineRule="exact"/>
              <w:rPr>
                <w:sz w:val="20"/>
                <w:szCs w:val="20"/>
                <w:color w:val="auto"/>
              </w:rPr>
            </w:pPr>
            <w:r>
              <w:rPr>
                <w:rFonts w:ascii="Calibri" w:cs="Calibri" w:eastAsia="Calibri" w:hAnsi="Calibri"/>
                <w:sz w:val="17"/>
                <w:szCs w:val="17"/>
                <w:b w:val="1"/>
                <w:bCs w:val="1"/>
                <w:color w:val="1C4787"/>
              </w:rPr>
              <w:t>Total TBA Agency Securites</w:t>
            </w:r>
          </w:p>
        </w:tc>
        <w:tc>
          <w:tcPr>
            <w:tcW w:w="280" w:type="dxa"/>
            <w:vAlign w:val="bottom"/>
            <w:tcBorders>
              <w:bottom w:val="single" w:sz="8" w:color="auto"/>
            </w:tcBorders>
          </w:tcPr>
          <w:p>
            <w:pPr>
              <w:jc w:val="right"/>
              <w:ind w:right="94"/>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800,000</w:t>
            </w:r>
          </w:p>
        </w:tc>
        <w:tc>
          <w:tcPr>
            <w:tcW w:w="100" w:type="dxa"/>
            <w:vAlign w:val="bottom"/>
            <w:tcBorders>
              <w:bottom w:val="single" w:sz="8" w:color="E6EEFF"/>
            </w:tcBorders>
          </w:tcPr>
          <w:p>
            <w:pPr>
              <w:spacing w:after="0"/>
              <w:rPr>
                <w:sz w:val="17"/>
                <w:szCs w:val="17"/>
                <w:color w:val="auto"/>
              </w:rPr>
            </w:pPr>
          </w:p>
        </w:tc>
        <w:tc>
          <w:tcPr>
            <w:tcW w:w="300" w:type="dxa"/>
            <w:vAlign w:val="bottom"/>
            <w:tcBorders>
              <w:bottom w:val="single" w:sz="8" w:color="auto"/>
            </w:tcBorders>
          </w:tcPr>
          <w:p>
            <w:pPr>
              <w:jc w:val="right"/>
              <w:ind w:right="94"/>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789,969</w:t>
            </w:r>
          </w:p>
        </w:tc>
        <w:tc>
          <w:tcPr>
            <w:tcW w:w="120" w:type="dxa"/>
            <w:vAlign w:val="bottom"/>
            <w:tcBorders>
              <w:bottom w:val="single" w:sz="8" w:color="E6EEFF"/>
            </w:tcBorders>
          </w:tcPr>
          <w:p>
            <w:pPr>
              <w:spacing w:after="0"/>
              <w:rPr>
                <w:sz w:val="17"/>
                <w:szCs w:val="17"/>
                <w:color w:val="auto"/>
              </w:rPr>
            </w:pPr>
          </w:p>
        </w:tc>
        <w:tc>
          <w:tcPr>
            <w:tcW w:w="18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w:t>
            </w:r>
          </w:p>
        </w:tc>
        <w:tc>
          <w:tcPr>
            <w:tcW w:w="10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(12,500)</w:t>
            </w:r>
          </w:p>
        </w:tc>
        <w:tc>
          <w:tcPr>
            <w:tcW w:w="120" w:type="dxa"/>
            <w:vAlign w:val="bottom"/>
            <w:tcBorders>
              <w:bottom w:val="single" w:sz="8" w:color="E6EEFF"/>
            </w:tcBorders>
          </w:tcPr>
          <w:p>
            <w:pPr>
              <w:spacing w:after="0"/>
              <w:rPr>
                <w:sz w:val="17"/>
                <w:szCs w:val="17"/>
                <w:color w:val="auto"/>
              </w:rPr>
            </w:pPr>
          </w:p>
        </w:tc>
        <w:tc>
          <w:tcPr>
            <w:tcW w:w="200" w:type="dxa"/>
            <w:vAlign w:val="bottom"/>
            <w:tcBorders>
              <w:bottom w:val="single" w:sz="8" w:color="auto"/>
            </w:tcBorders>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0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777,469</w:t>
            </w:r>
          </w:p>
        </w:tc>
        <w:tc>
          <w:tcPr>
            <w:tcW w:w="100" w:type="dxa"/>
            <w:vAlign w:val="bottom"/>
            <w:tcBorders>
              <w:bottom w:val="single" w:sz="8" w:color="E6EEFF"/>
            </w:tcBorders>
          </w:tcPr>
          <w:p>
            <w:pPr>
              <w:spacing w:after="0"/>
              <w:rPr>
                <w:sz w:val="17"/>
                <w:szCs w:val="17"/>
                <w:color w:val="auto"/>
              </w:rPr>
            </w:pPr>
          </w:p>
        </w:tc>
        <w:tc>
          <w:tcPr>
            <w:tcW w:w="1140" w:type="dxa"/>
            <w:vAlign w:val="bottom"/>
            <w:tcBorders>
              <w:bottom w:val="single" w:sz="8" w:color="E6EEFF"/>
            </w:tcBorders>
            <w:gridSpan w:val="2"/>
          </w:tcPr>
          <w:p>
            <w:pPr>
              <w:ind w:left="800"/>
              <w:spacing w:after="0" w:line="190" w:lineRule="exact"/>
              <w:rPr>
                <w:sz w:val="20"/>
                <w:szCs w:val="20"/>
                <w:color w:val="auto"/>
              </w:rPr>
            </w:pPr>
            <w:r>
              <w:rPr>
                <w:rFonts w:ascii="Calibri" w:cs="Calibri" w:eastAsia="Calibri" w:hAnsi="Calibri"/>
                <w:sz w:val="17"/>
                <w:szCs w:val="17"/>
                <w:color w:val="auto"/>
              </w:rPr>
              <w:t>n/a</w:t>
            </w:r>
          </w:p>
        </w:tc>
        <w:tc>
          <w:tcPr>
            <w:tcW w:w="1280" w:type="dxa"/>
            <w:vAlign w:val="bottom"/>
            <w:tcBorders>
              <w:bottom w:val="single" w:sz="8" w:color="E6EEFF"/>
            </w:tcBorders>
            <w:gridSpan w:val="2"/>
          </w:tcPr>
          <w:p>
            <w:pPr>
              <w:jc w:val="right"/>
              <w:ind w:right="120"/>
              <w:spacing w:after="0" w:line="190" w:lineRule="exact"/>
              <w:rPr>
                <w:sz w:val="20"/>
                <w:szCs w:val="20"/>
                <w:color w:val="auto"/>
              </w:rPr>
            </w:pPr>
            <w:r>
              <w:rPr>
                <w:rFonts w:ascii="Calibri" w:cs="Calibri" w:eastAsia="Calibri" w:hAnsi="Calibri"/>
                <w:sz w:val="17"/>
                <w:szCs w:val="17"/>
                <w:color w:val="auto"/>
              </w:rPr>
              <w:t>n/a</w:t>
            </w:r>
          </w:p>
        </w:tc>
        <w:tc>
          <w:tcPr>
            <w:tcW w:w="12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8.7 %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100" w:type="dxa"/>
            <w:vAlign w:val="bottom"/>
            <w:shd w:val="clear" w:color="auto" w:fill="E6EEFF"/>
          </w:tcPr>
          <w:p>
            <w:pPr>
              <w:ind w:left="20"/>
              <w:spacing w:after="0" w:line="160" w:lineRule="exact"/>
              <w:rPr>
                <w:sz w:val="20"/>
                <w:szCs w:val="20"/>
                <w:color w:val="auto"/>
              </w:rPr>
            </w:pPr>
            <w:r>
              <w:rPr>
                <w:rFonts w:ascii="Calibri" w:cs="Calibri" w:eastAsia="Calibri" w:hAnsi="Calibri"/>
                <w:sz w:val="17"/>
                <w:szCs w:val="17"/>
                <w:b w:val="1"/>
                <w:bCs w:val="1"/>
                <w:color w:val="1C4787"/>
              </w:rPr>
              <w:t>Total Investments in</w:t>
            </w:r>
          </w:p>
        </w:tc>
        <w:tc>
          <w:tcPr>
            <w:tcW w:w="280" w:type="dxa"/>
            <w:vAlign w:val="bottom"/>
            <w:vMerge w:val="restart"/>
            <w:shd w:val="clear" w:color="auto" w:fill="E6EEFF"/>
          </w:tcPr>
          <w:p>
            <w:pPr>
              <w:jc w:val="right"/>
              <w:ind w:right="94"/>
              <w:spacing w:after="0"/>
              <w:rPr>
                <w:sz w:val="20"/>
                <w:szCs w:val="20"/>
                <w:color w:val="auto"/>
              </w:rPr>
            </w:pPr>
            <w:r>
              <w:rPr>
                <w:rFonts w:ascii="Calibri" w:cs="Calibri" w:eastAsia="Calibri" w:hAnsi="Calibri"/>
                <w:sz w:val="17"/>
                <w:szCs w:val="17"/>
                <w:color w:val="auto"/>
                <w:w w:val="92"/>
              </w:rPr>
              <w:t>$</w:t>
            </w:r>
          </w:p>
        </w:tc>
        <w:tc>
          <w:tcPr>
            <w:tcW w:w="960" w:type="dxa"/>
            <w:vAlign w:val="bottom"/>
            <w:vMerge w:val="restart"/>
            <w:shd w:val="clear" w:color="auto" w:fill="E6EEFF"/>
          </w:tcPr>
          <w:p>
            <w:pPr>
              <w:jc w:val="right"/>
              <w:spacing w:after="0"/>
              <w:rPr>
                <w:sz w:val="20"/>
                <w:szCs w:val="20"/>
                <w:color w:val="auto"/>
              </w:rPr>
            </w:pPr>
            <w:r>
              <w:rPr>
                <w:rFonts w:ascii="Calibri" w:cs="Calibri" w:eastAsia="Calibri" w:hAnsi="Calibri"/>
                <w:sz w:val="17"/>
                <w:szCs w:val="17"/>
                <w:color w:val="auto"/>
              </w:rPr>
              <w:t>9,511,267</w:t>
            </w:r>
          </w:p>
        </w:tc>
        <w:tc>
          <w:tcPr>
            <w:tcW w:w="100" w:type="dxa"/>
            <w:vAlign w:val="bottom"/>
            <w:shd w:val="clear" w:color="auto" w:fill="E6EEFF"/>
          </w:tcPr>
          <w:p>
            <w:pPr>
              <w:spacing w:after="0"/>
              <w:rPr>
                <w:sz w:val="13"/>
                <w:szCs w:val="13"/>
                <w:color w:val="auto"/>
              </w:rPr>
            </w:pPr>
          </w:p>
        </w:tc>
        <w:tc>
          <w:tcPr>
            <w:tcW w:w="300" w:type="dxa"/>
            <w:vAlign w:val="bottom"/>
            <w:vMerge w:val="restart"/>
            <w:shd w:val="clear" w:color="auto" w:fill="E6EEFF"/>
          </w:tcPr>
          <w:p>
            <w:pPr>
              <w:jc w:val="right"/>
              <w:ind w:right="94"/>
              <w:spacing w:after="0"/>
              <w:rPr>
                <w:sz w:val="20"/>
                <w:szCs w:val="20"/>
                <w:color w:val="auto"/>
              </w:rPr>
            </w:pPr>
            <w:r>
              <w:rPr>
                <w:rFonts w:ascii="Calibri" w:cs="Calibri" w:eastAsia="Calibri" w:hAnsi="Calibri"/>
                <w:sz w:val="17"/>
                <w:szCs w:val="17"/>
                <w:color w:val="auto"/>
              </w:rPr>
              <w:t>$</w:t>
            </w:r>
          </w:p>
        </w:tc>
        <w:tc>
          <w:tcPr>
            <w:tcW w:w="940" w:type="dxa"/>
            <w:vAlign w:val="bottom"/>
            <w:vMerge w:val="restart"/>
            <w:shd w:val="clear" w:color="auto" w:fill="E6EEFF"/>
          </w:tcPr>
          <w:p>
            <w:pPr>
              <w:jc w:val="right"/>
              <w:spacing w:after="0"/>
              <w:rPr>
                <w:sz w:val="20"/>
                <w:szCs w:val="20"/>
                <w:color w:val="auto"/>
              </w:rPr>
            </w:pPr>
            <w:r>
              <w:rPr>
                <w:rFonts w:ascii="Calibri" w:cs="Calibri" w:eastAsia="Calibri" w:hAnsi="Calibri"/>
                <w:sz w:val="17"/>
                <w:szCs w:val="17"/>
                <w:color w:val="auto"/>
              </w:rPr>
              <w:t>9,542,926</w:t>
            </w:r>
          </w:p>
        </w:tc>
        <w:tc>
          <w:tcPr>
            <w:tcW w:w="120" w:type="dxa"/>
            <w:vAlign w:val="bottom"/>
            <w:shd w:val="clear" w:color="auto" w:fill="E6EEFF"/>
          </w:tcPr>
          <w:p>
            <w:pPr>
              <w:spacing w:after="0"/>
              <w:rPr>
                <w:sz w:val="13"/>
                <w:szCs w:val="13"/>
                <w:color w:val="auto"/>
              </w:rPr>
            </w:pPr>
          </w:p>
        </w:tc>
        <w:tc>
          <w:tcPr>
            <w:tcW w:w="180" w:type="dxa"/>
            <w:vAlign w:val="bottom"/>
            <w:vMerge w:val="restart"/>
            <w:shd w:val="clear" w:color="auto" w:fill="E6EEFF"/>
          </w:tcPr>
          <w:p>
            <w:pPr>
              <w:ind w:left="20"/>
              <w:spacing w:after="0"/>
              <w:rPr>
                <w:sz w:val="20"/>
                <w:szCs w:val="20"/>
                <w:color w:val="auto"/>
              </w:rPr>
            </w:pPr>
            <w:r>
              <w:rPr>
                <w:rFonts w:ascii="Calibri" w:cs="Calibri" w:eastAsia="Calibri" w:hAnsi="Calibri"/>
                <w:sz w:val="17"/>
                <w:szCs w:val="17"/>
                <w:color w:val="auto"/>
              </w:rPr>
              <w:t>$</w:t>
            </w:r>
          </w:p>
        </w:tc>
        <w:tc>
          <w:tcPr>
            <w:tcW w:w="1060" w:type="dxa"/>
            <w:vAlign w:val="bottom"/>
            <w:vMerge w:val="restart"/>
            <w:shd w:val="clear" w:color="auto" w:fill="E6EEFF"/>
          </w:tcPr>
          <w:p>
            <w:pPr>
              <w:jc w:val="right"/>
              <w:spacing w:after="0"/>
              <w:rPr>
                <w:sz w:val="20"/>
                <w:szCs w:val="20"/>
                <w:color w:val="auto"/>
              </w:rPr>
            </w:pPr>
            <w:r>
              <w:rPr>
                <w:rFonts w:ascii="Calibri" w:cs="Calibri" w:eastAsia="Calibri" w:hAnsi="Calibri"/>
                <w:sz w:val="17"/>
                <w:szCs w:val="17"/>
                <w:color w:val="auto"/>
              </w:rPr>
              <w:t>(566,866)</w:t>
            </w:r>
          </w:p>
        </w:tc>
        <w:tc>
          <w:tcPr>
            <w:tcW w:w="120" w:type="dxa"/>
            <w:vAlign w:val="bottom"/>
            <w:shd w:val="clear" w:color="auto" w:fill="E6EEFF"/>
          </w:tcPr>
          <w:p>
            <w:pPr>
              <w:spacing w:after="0"/>
              <w:rPr>
                <w:sz w:val="13"/>
                <w:szCs w:val="13"/>
                <w:color w:val="auto"/>
              </w:rPr>
            </w:pPr>
          </w:p>
        </w:tc>
        <w:tc>
          <w:tcPr>
            <w:tcW w:w="200" w:type="dxa"/>
            <w:vAlign w:val="bottom"/>
            <w:vMerge w:val="restart"/>
            <w:shd w:val="clear" w:color="auto" w:fill="E6EEFF"/>
          </w:tcPr>
          <w:p>
            <w:pPr>
              <w:jc w:val="right"/>
              <w:ind w:right="14"/>
              <w:spacing w:after="0"/>
              <w:rPr>
                <w:sz w:val="20"/>
                <w:szCs w:val="20"/>
                <w:color w:val="auto"/>
              </w:rPr>
            </w:pPr>
            <w:r>
              <w:rPr>
                <w:rFonts w:ascii="Calibri" w:cs="Calibri" w:eastAsia="Calibri" w:hAnsi="Calibri"/>
                <w:sz w:val="17"/>
                <w:szCs w:val="17"/>
                <w:color w:val="auto"/>
                <w:w w:val="92"/>
              </w:rPr>
              <w:t>$</w:t>
            </w:r>
          </w:p>
        </w:tc>
        <w:tc>
          <w:tcPr>
            <w:tcW w:w="1040" w:type="dxa"/>
            <w:vAlign w:val="bottom"/>
            <w:vMerge w:val="restart"/>
            <w:shd w:val="clear" w:color="auto" w:fill="E6EEFF"/>
          </w:tcPr>
          <w:p>
            <w:pPr>
              <w:jc w:val="right"/>
              <w:spacing w:after="0"/>
              <w:rPr>
                <w:sz w:val="20"/>
                <w:szCs w:val="20"/>
                <w:color w:val="auto"/>
              </w:rPr>
            </w:pPr>
            <w:r>
              <w:rPr>
                <w:rFonts w:ascii="Calibri" w:cs="Calibri" w:eastAsia="Calibri" w:hAnsi="Calibri"/>
                <w:sz w:val="17"/>
                <w:szCs w:val="17"/>
                <w:color w:val="auto"/>
              </w:rPr>
              <w:t>8,976,060</w:t>
            </w:r>
          </w:p>
        </w:tc>
        <w:tc>
          <w:tcPr>
            <w:tcW w:w="100" w:type="dxa"/>
            <w:vAlign w:val="bottom"/>
            <w:shd w:val="clear" w:color="auto" w:fill="E6EEFF"/>
          </w:tcPr>
          <w:p>
            <w:pPr>
              <w:spacing w:after="0"/>
              <w:rPr>
                <w:sz w:val="13"/>
                <w:szCs w:val="13"/>
                <w:color w:val="auto"/>
              </w:rPr>
            </w:pPr>
          </w:p>
        </w:tc>
        <w:tc>
          <w:tcPr>
            <w:tcW w:w="1060" w:type="dxa"/>
            <w:vAlign w:val="bottom"/>
            <w:shd w:val="clear" w:color="auto" w:fill="E6EEFF"/>
          </w:tcPr>
          <w:p>
            <w:pPr>
              <w:spacing w:after="0"/>
              <w:rPr>
                <w:sz w:val="13"/>
                <w:szCs w:val="13"/>
                <w:color w:val="auto"/>
              </w:rPr>
            </w:pPr>
          </w:p>
        </w:tc>
        <w:tc>
          <w:tcPr>
            <w:tcW w:w="80" w:type="dxa"/>
            <w:vAlign w:val="bottom"/>
            <w:shd w:val="clear" w:color="auto" w:fill="E6EEFF"/>
          </w:tcPr>
          <w:p>
            <w:pPr>
              <w:spacing w:after="0"/>
              <w:rPr>
                <w:sz w:val="13"/>
                <w:szCs w:val="13"/>
                <w:color w:val="auto"/>
              </w:rPr>
            </w:pPr>
          </w:p>
        </w:tc>
        <w:tc>
          <w:tcPr>
            <w:tcW w:w="1160" w:type="dxa"/>
            <w:vAlign w:val="bottom"/>
            <w:shd w:val="clear" w:color="auto" w:fill="E6EEFF"/>
          </w:tcPr>
          <w:p>
            <w:pPr>
              <w:spacing w:after="0"/>
              <w:rPr>
                <w:sz w:val="13"/>
                <w:szCs w:val="13"/>
                <w:color w:val="auto"/>
              </w:rPr>
            </w:pPr>
          </w:p>
        </w:tc>
        <w:tc>
          <w:tcPr>
            <w:tcW w:w="120" w:type="dxa"/>
            <w:vAlign w:val="bottom"/>
            <w:shd w:val="clear" w:color="auto" w:fill="E6EEFF"/>
          </w:tcPr>
          <w:p>
            <w:pPr>
              <w:spacing w:after="0"/>
              <w:rPr>
                <w:sz w:val="13"/>
                <w:szCs w:val="13"/>
                <w:color w:val="auto"/>
              </w:rPr>
            </w:pPr>
          </w:p>
        </w:tc>
        <w:tc>
          <w:tcPr>
            <w:tcW w:w="1200" w:type="dxa"/>
            <w:vAlign w:val="bottom"/>
            <w:vMerge w:val="restart"/>
            <w:shd w:val="clear" w:color="auto" w:fill="E6EEFF"/>
          </w:tcPr>
          <w:p>
            <w:pPr>
              <w:jc w:val="right"/>
              <w:spacing w:after="0"/>
              <w:rPr>
                <w:sz w:val="20"/>
                <w:szCs w:val="20"/>
                <w:color w:val="auto"/>
              </w:rPr>
            </w:pPr>
            <w:r>
              <w:rPr>
                <w:rFonts w:ascii="Calibri" w:cs="Calibri" w:eastAsia="Calibri" w:hAnsi="Calibri"/>
                <w:sz w:val="17"/>
                <w:szCs w:val="17"/>
                <w:color w:val="auto"/>
              </w:rPr>
              <w:t>100.0 %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100" w:type="dxa"/>
            <w:vAlign w:val="bottom"/>
            <w:tcBorders>
              <w:bottom w:val="single" w:sz="8" w:color="E6EEFF"/>
            </w:tcBorders>
            <w:shd w:val="clear" w:color="auto" w:fill="E6EEFF"/>
          </w:tcPr>
          <w:p>
            <w:pPr>
              <w:ind w:left="20"/>
              <w:spacing w:after="0" w:line="202" w:lineRule="exact"/>
              <w:rPr>
                <w:sz w:val="20"/>
                <w:szCs w:val="20"/>
                <w:color w:val="auto"/>
              </w:rPr>
            </w:pPr>
            <w:r>
              <w:rPr>
                <w:rFonts w:ascii="Calibri" w:cs="Calibri" w:eastAsia="Calibri" w:hAnsi="Calibri"/>
                <w:sz w:val="17"/>
                <w:szCs w:val="17"/>
                <w:b w:val="1"/>
                <w:bCs w:val="1"/>
                <w:color w:val="1C4787"/>
              </w:rPr>
              <w:t>Securites</w:t>
            </w:r>
          </w:p>
        </w:tc>
        <w:tc>
          <w:tcPr>
            <w:tcW w:w="280" w:type="dxa"/>
            <w:vAlign w:val="bottom"/>
            <w:tcBorders>
              <w:bottom w:val="single" w:sz="8" w:color="auto"/>
            </w:tcBorders>
            <w:vMerge w:val="continue"/>
            <w:shd w:val="clear" w:color="auto" w:fill="E6EEFF"/>
          </w:tcPr>
          <w:p>
            <w:pPr>
              <w:spacing w:after="0"/>
              <w:rPr>
                <w:sz w:val="19"/>
                <w:szCs w:val="19"/>
                <w:color w:val="auto"/>
              </w:rPr>
            </w:pPr>
          </w:p>
        </w:tc>
        <w:tc>
          <w:tcPr>
            <w:tcW w:w="960" w:type="dxa"/>
            <w:vAlign w:val="bottom"/>
            <w:tcBorders>
              <w:bottom w:val="single" w:sz="8" w:color="auto"/>
            </w:tcBorders>
            <w:vMerge w:val="continue"/>
            <w:shd w:val="clear" w:color="auto" w:fill="E6EEFF"/>
          </w:tcPr>
          <w:p>
            <w:pPr>
              <w:spacing w:after="0"/>
              <w:rPr>
                <w:sz w:val="19"/>
                <w:szCs w:val="19"/>
                <w:color w:val="auto"/>
              </w:rPr>
            </w:pPr>
          </w:p>
        </w:tc>
        <w:tc>
          <w:tcPr>
            <w:tcW w:w="100" w:type="dxa"/>
            <w:vAlign w:val="bottom"/>
            <w:tcBorders>
              <w:bottom w:val="single" w:sz="8" w:color="E6EEFF"/>
            </w:tcBorders>
            <w:shd w:val="clear" w:color="auto" w:fill="E6EEFF"/>
          </w:tcPr>
          <w:p>
            <w:pPr>
              <w:spacing w:after="0"/>
              <w:rPr>
                <w:sz w:val="19"/>
                <w:szCs w:val="19"/>
                <w:color w:val="auto"/>
              </w:rPr>
            </w:pPr>
          </w:p>
        </w:tc>
        <w:tc>
          <w:tcPr>
            <w:tcW w:w="300" w:type="dxa"/>
            <w:vAlign w:val="bottom"/>
            <w:tcBorders>
              <w:bottom w:val="single" w:sz="8" w:color="auto"/>
            </w:tcBorders>
            <w:vMerge w:val="continue"/>
            <w:shd w:val="clear" w:color="auto" w:fill="E6EEFF"/>
          </w:tcPr>
          <w:p>
            <w:pPr>
              <w:spacing w:after="0"/>
              <w:rPr>
                <w:sz w:val="19"/>
                <w:szCs w:val="19"/>
                <w:color w:val="auto"/>
              </w:rPr>
            </w:pPr>
          </w:p>
        </w:tc>
        <w:tc>
          <w:tcPr>
            <w:tcW w:w="940" w:type="dxa"/>
            <w:vAlign w:val="bottom"/>
            <w:tcBorders>
              <w:bottom w:val="single" w:sz="8" w:color="auto"/>
            </w:tcBorders>
            <w:vMerge w:val="continue"/>
            <w:shd w:val="clear" w:color="auto" w:fill="E6EEFF"/>
          </w:tcPr>
          <w:p>
            <w:pPr>
              <w:spacing w:after="0"/>
              <w:rPr>
                <w:sz w:val="19"/>
                <w:szCs w:val="19"/>
                <w:color w:val="auto"/>
              </w:rPr>
            </w:pPr>
          </w:p>
        </w:tc>
        <w:tc>
          <w:tcPr>
            <w:tcW w:w="120" w:type="dxa"/>
            <w:vAlign w:val="bottom"/>
            <w:tcBorders>
              <w:bottom w:val="single" w:sz="8" w:color="E6EEFF"/>
            </w:tcBorders>
            <w:shd w:val="clear" w:color="auto" w:fill="E6EEFF"/>
          </w:tcPr>
          <w:p>
            <w:pPr>
              <w:spacing w:after="0"/>
              <w:rPr>
                <w:sz w:val="19"/>
                <w:szCs w:val="19"/>
                <w:color w:val="auto"/>
              </w:rPr>
            </w:pPr>
          </w:p>
        </w:tc>
        <w:tc>
          <w:tcPr>
            <w:tcW w:w="180" w:type="dxa"/>
            <w:vAlign w:val="bottom"/>
            <w:tcBorders>
              <w:bottom w:val="single" w:sz="8" w:color="auto"/>
            </w:tcBorders>
            <w:vMerge w:val="continue"/>
            <w:shd w:val="clear" w:color="auto" w:fill="E6EEFF"/>
          </w:tcPr>
          <w:p>
            <w:pPr>
              <w:spacing w:after="0"/>
              <w:rPr>
                <w:sz w:val="19"/>
                <w:szCs w:val="19"/>
                <w:color w:val="auto"/>
              </w:rPr>
            </w:pPr>
          </w:p>
        </w:tc>
        <w:tc>
          <w:tcPr>
            <w:tcW w:w="1060" w:type="dxa"/>
            <w:vAlign w:val="bottom"/>
            <w:tcBorders>
              <w:bottom w:val="single" w:sz="8" w:color="auto"/>
            </w:tcBorders>
            <w:vMerge w:val="continue"/>
            <w:shd w:val="clear" w:color="auto" w:fill="E6EEFF"/>
          </w:tcPr>
          <w:p>
            <w:pPr>
              <w:spacing w:after="0"/>
              <w:rPr>
                <w:sz w:val="19"/>
                <w:szCs w:val="19"/>
                <w:color w:val="auto"/>
              </w:rPr>
            </w:pPr>
          </w:p>
        </w:tc>
        <w:tc>
          <w:tcPr>
            <w:tcW w:w="120" w:type="dxa"/>
            <w:vAlign w:val="bottom"/>
            <w:tcBorders>
              <w:bottom w:val="single" w:sz="8" w:color="E6EEFF"/>
            </w:tcBorders>
            <w:shd w:val="clear" w:color="auto" w:fill="E6EEFF"/>
          </w:tcPr>
          <w:p>
            <w:pPr>
              <w:spacing w:after="0"/>
              <w:rPr>
                <w:sz w:val="19"/>
                <w:szCs w:val="19"/>
                <w:color w:val="auto"/>
              </w:rPr>
            </w:pPr>
          </w:p>
        </w:tc>
        <w:tc>
          <w:tcPr>
            <w:tcW w:w="200" w:type="dxa"/>
            <w:vAlign w:val="bottom"/>
            <w:tcBorders>
              <w:bottom w:val="single" w:sz="8" w:color="auto"/>
            </w:tcBorders>
            <w:vMerge w:val="continue"/>
            <w:shd w:val="clear" w:color="auto" w:fill="E6EEFF"/>
          </w:tcPr>
          <w:p>
            <w:pPr>
              <w:spacing w:after="0"/>
              <w:rPr>
                <w:sz w:val="19"/>
                <w:szCs w:val="19"/>
                <w:color w:val="auto"/>
              </w:rPr>
            </w:pPr>
          </w:p>
        </w:tc>
        <w:tc>
          <w:tcPr>
            <w:tcW w:w="1040" w:type="dxa"/>
            <w:vAlign w:val="bottom"/>
            <w:tcBorders>
              <w:bottom w:val="single" w:sz="8" w:color="auto"/>
            </w:tcBorders>
            <w:vMerge w:val="continue"/>
            <w:shd w:val="clear" w:color="auto" w:fill="E6EEFF"/>
          </w:tcPr>
          <w:p>
            <w:pPr>
              <w:spacing w:after="0"/>
              <w:rPr>
                <w:sz w:val="19"/>
                <w:szCs w:val="19"/>
                <w:color w:val="auto"/>
              </w:rPr>
            </w:pPr>
          </w:p>
        </w:tc>
        <w:tc>
          <w:tcPr>
            <w:tcW w:w="100" w:type="dxa"/>
            <w:vAlign w:val="bottom"/>
            <w:tcBorders>
              <w:bottom w:val="single" w:sz="8" w:color="E6EEFF"/>
            </w:tcBorders>
            <w:shd w:val="clear" w:color="auto" w:fill="E6EEFF"/>
          </w:tcPr>
          <w:p>
            <w:pPr>
              <w:spacing w:after="0"/>
              <w:rPr>
                <w:sz w:val="19"/>
                <w:szCs w:val="19"/>
                <w:color w:val="auto"/>
              </w:rPr>
            </w:pPr>
          </w:p>
        </w:tc>
        <w:tc>
          <w:tcPr>
            <w:tcW w:w="1060" w:type="dxa"/>
            <w:vAlign w:val="bottom"/>
            <w:tcBorders>
              <w:bottom w:val="single" w:sz="8" w:color="E6EEFF"/>
            </w:tcBorders>
            <w:shd w:val="clear" w:color="auto" w:fill="E6EEFF"/>
          </w:tcPr>
          <w:p>
            <w:pPr>
              <w:spacing w:after="0"/>
              <w:rPr>
                <w:sz w:val="19"/>
                <w:szCs w:val="19"/>
                <w:color w:val="auto"/>
              </w:rPr>
            </w:pPr>
          </w:p>
        </w:tc>
        <w:tc>
          <w:tcPr>
            <w:tcW w:w="80" w:type="dxa"/>
            <w:vAlign w:val="bottom"/>
            <w:tcBorders>
              <w:bottom w:val="single" w:sz="8" w:color="E6EEFF"/>
            </w:tcBorders>
            <w:shd w:val="clear" w:color="auto" w:fill="E6EEFF"/>
          </w:tcPr>
          <w:p>
            <w:pPr>
              <w:spacing w:after="0"/>
              <w:rPr>
                <w:sz w:val="19"/>
                <w:szCs w:val="19"/>
                <w:color w:val="auto"/>
              </w:rPr>
            </w:pPr>
          </w:p>
        </w:tc>
        <w:tc>
          <w:tcPr>
            <w:tcW w:w="1160" w:type="dxa"/>
            <w:vAlign w:val="bottom"/>
            <w:tcBorders>
              <w:bottom w:val="single" w:sz="8" w:color="E6EEFF"/>
            </w:tcBorders>
            <w:shd w:val="clear" w:color="auto" w:fill="E6EEFF"/>
          </w:tcPr>
          <w:p>
            <w:pPr>
              <w:spacing w:after="0"/>
              <w:rPr>
                <w:sz w:val="19"/>
                <w:szCs w:val="19"/>
                <w:color w:val="auto"/>
              </w:rPr>
            </w:pPr>
          </w:p>
        </w:tc>
        <w:tc>
          <w:tcPr>
            <w:tcW w:w="120" w:type="dxa"/>
            <w:vAlign w:val="bottom"/>
            <w:tcBorders>
              <w:bottom w:val="single" w:sz="8" w:color="E6EEFF"/>
            </w:tcBorders>
            <w:shd w:val="clear" w:color="auto" w:fill="E6EEFF"/>
          </w:tcPr>
          <w:p>
            <w:pPr>
              <w:spacing w:after="0"/>
              <w:rPr>
                <w:sz w:val="19"/>
                <w:szCs w:val="19"/>
                <w:color w:val="auto"/>
              </w:rPr>
            </w:pPr>
          </w:p>
        </w:tc>
        <w:tc>
          <w:tcPr>
            <w:tcW w:w="1200" w:type="dxa"/>
            <w:vAlign w:val="bottom"/>
            <w:tcBorders>
              <w:bottom w:val="single" w:sz="8" w:color="auto"/>
            </w:tcBorders>
            <w:vMerge w:val="continue"/>
            <w:shd w:val="clear" w:color="auto" w:fill="E6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E6EEFF"/>
            </w:tcBorders>
          </w:tcPr>
          <w:p>
            <w:pPr>
              <w:spacing w:after="0" w:line="20" w:lineRule="exact"/>
              <w:rPr>
                <w:sz w:val="1"/>
                <w:szCs w:val="1"/>
                <w:color w:val="auto"/>
              </w:rPr>
            </w:pPr>
          </w:p>
        </w:tc>
        <w:tc>
          <w:tcPr>
            <w:tcW w:w="280" w:type="dxa"/>
            <w:vAlign w:val="bottom"/>
            <w:tcBorders>
              <w:top w:val="single" w:sz="8" w:color="E6EEFF"/>
              <w:bottom w:val="single" w:sz="8" w:color="auto"/>
            </w:tcBorders>
          </w:tcPr>
          <w:p>
            <w:pPr>
              <w:spacing w:after="0" w:line="20" w:lineRule="exact"/>
              <w:rPr>
                <w:sz w:val="1"/>
                <w:szCs w:val="1"/>
                <w:color w:val="auto"/>
              </w:rPr>
            </w:pPr>
          </w:p>
        </w:tc>
        <w:tc>
          <w:tcPr>
            <w:tcW w:w="96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30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80" w:type="dxa"/>
            <w:vAlign w:val="bottom"/>
            <w:tcBorders>
              <w:top w:val="single" w:sz="8" w:color="E6EEFF"/>
              <w:bottom w:val="single" w:sz="8" w:color="auto"/>
            </w:tcBorders>
          </w:tcPr>
          <w:p>
            <w:pPr>
              <w:spacing w:after="0" w:line="20" w:lineRule="exact"/>
              <w:rPr>
                <w:sz w:val="1"/>
                <w:szCs w:val="1"/>
                <w:color w:val="auto"/>
              </w:rPr>
            </w:pPr>
          </w:p>
        </w:tc>
        <w:tc>
          <w:tcPr>
            <w:tcW w:w="106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200" w:type="dxa"/>
            <w:vAlign w:val="bottom"/>
            <w:tcBorders>
              <w:top w:val="single" w:sz="8" w:color="E6EEFF"/>
              <w:bottom w:val="single" w:sz="8" w:color="auto"/>
            </w:tcBorders>
          </w:tcPr>
          <w:p>
            <w:pPr>
              <w:spacing w:after="0" w:line="20" w:lineRule="exact"/>
              <w:rPr>
                <w:sz w:val="1"/>
                <w:szCs w:val="1"/>
                <w:color w:val="auto"/>
              </w:rPr>
            </w:pPr>
          </w:p>
        </w:tc>
        <w:tc>
          <w:tcPr>
            <w:tcW w:w="104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060" w:type="dxa"/>
            <w:vAlign w:val="bottom"/>
            <w:tcBorders>
              <w:top w:val="single" w:sz="8" w:color="E6EEFF"/>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116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200" w:type="dxa"/>
            <w:vAlign w:val="bottom"/>
            <w:tcBorders>
              <w:top w:val="single" w:sz="8" w:color="E6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00" w:hanging="297"/>
        <w:spacing w:after="0"/>
        <w:tabs>
          <w:tab w:leader="none" w:pos="300" w:val="left"/>
        </w:tabs>
        <w:numPr>
          <w:ilvl w:val="0"/>
          <w:numId w:val="23"/>
        </w:numPr>
        <w:rPr>
          <w:rFonts w:ascii="Calibri" w:cs="Calibri" w:eastAsia="Calibri" w:hAnsi="Calibri"/>
          <w:sz w:val="17"/>
          <w:szCs w:val="17"/>
          <w:color w:val="auto"/>
        </w:rPr>
      </w:pPr>
      <w:r>
        <w:rPr>
          <w:rFonts w:ascii="Calibri" w:cs="Calibri" w:eastAsia="Calibri" w:hAnsi="Calibri"/>
          <w:sz w:val="17"/>
          <w:szCs w:val="17"/>
          <w:color w:val="auto"/>
        </w:rPr>
        <w:t>Weighted average CPR during the fourth quarter for the securites owned at December 31, 2022.</w:t>
      </w:r>
    </w:p>
    <w:p>
      <w:pPr>
        <w:spacing w:after="0" w:line="52" w:lineRule="exact"/>
        <w:rPr>
          <w:rFonts w:ascii="Calibri" w:cs="Calibri" w:eastAsia="Calibri" w:hAnsi="Calibri"/>
          <w:sz w:val="17"/>
          <w:szCs w:val="17"/>
          <w:color w:val="auto"/>
        </w:rPr>
      </w:pPr>
    </w:p>
    <w:p>
      <w:pPr>
        <w:jc w:val="both"/>
        <w:ind w:left="320" w:hanging="317"/>
        <w:spacing w:after="0" w:line="238" w:lineRule="auto"/>
        <w:tabs>
          <w:tab w:leader="none" w:pos="313" w:val="left"/>
        </w:tabs>
        <w:numPr>
          <w:ilvl w:val="0"/>
          <w:numId w:val="23"/>
        </w:numPr>
        <w:rPr>
          <w:rFonts w:ascii="Calibri" w:cs="Calibri" w:eastAsia="Calibri" w:hAnsi="Calibri"/>
          <w:sz w:val="17"/>
          <w:szCs w:val="17"/>
          <w:color w:val="auto"/>
        </w:rPr>
      </w:pPr>
      <w:r>
        <w:rPr>
          <w:rFonts w:ascii="Calibri" w:cs="Calibri" w:eastAsia="Calibri" w:hAnsi="Calibri"/>
          <w:sz w:val="17"/>
          <w:szCs w:val="17"/>
          <w:color w:val="auto"/>
        </w:rPr>
        <w:t>Our TBA Agency Securites were recorded as derivatve instruments in our accompanying consolidated fnancial statements. Our TBA Agency Securites were reported at net carrying values of $(11,797), at December 31, 2022 and were reported in Derivatves, at fair value on our consolidated balance sheets (see Note 7 to the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1163955</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440055</wp:posOffset>
            </wp:positionV>
            <wp:extent cx="458470" cy="5073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8" w:name="page59"/>
    <w:bookmarkEnd w:id="58"/>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57</w:t>
      </w:r>
    </w:p>
    <w:p>
      <w:pPr>
        <w:spacing w:after="0" w:line="200" w:lineRule="exact"/>
        <w:rPr>
          <w:sz w:val="20"/>
          <w:szCs w:val="20"/>
          <w:color w:val="auto"/>
        </w:rPr>
      </w:pPr>
    </w:p>
    <w:p>
      <w:pPr>
        <w:spacing w:after="0" w:line="3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following tables summarize our investment in securites and collateral sold as of December 31, 2023 and December 31, 2022, excluding TBA Agency Securites (see Note 7 to the consolidated fnancial statements).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360" w:type="dxa"/>
            <w:vAlign w:val="bottom"/>
            <w:shd w:val="clear" w:color="auto" w:fill="E6EEFF"/>
          </w:tcPr>
          <w:p>
            <w:pPr>
              <w:spacing w:after="0"/>
              <w:rPr>
                <w:sz w:val="18"/>
                <w:szCs w:val="18"/>
                <w:color w:val="auto"/>
              </w:rPr>
            </w:pPr>
          </w:p>
        </w:tc>
        <w:tc>
          <w:tcPr>
            <w:tcW w:w="100" w:type="dxa"/>
            <w:vAlign w:val="bottom"/>
            <w:shd w:val="clear" w:color="auto" w:fill="E6EEFF"/>
          </w:tcPr>
          <w:p>
            <w:pPr>
              <w:spacing w:after="0"/>
              <w:rPr>
                <w:sz w:val="18"/>
                <w:szCs w:val="18"/>
                <w:color w:val="auto"/>
              </w:rPr>
            </w:pPr>
          </w:p>
        </w:tc>
        <w:tc>
          <w:tcPr>
            <w:tcW w:w="140" w:type="dxa"/>
            <w:vAlign w:val="bottom"/>
            <w:shd w:val="clear" w:color="auto" w:fill="E6EEFF"/>
          </w:tcPr>
          <w:p>
            <w:pPr>
              <w:spacing w:after="0"/>
              <w:rPr>
                <w:sz w:val="18"/>
                <w:szCs w:val="18"/>
                <w:color w:val="auto"/>
              </w:rPr>
            </w:pPr>
          </w:p>
        </w:tc>
        <w:tc>
          <w:tcPr>
            <w:tcW w:w="1500" w:type="dxa"/>
            <w:vAlign w:val="bottom"/>
            <w:gridSpan w:val="2"/>
            <w:shd w:val="clear" w:color="auto" w:fill="E6EEFF"/>
          </w:tcPr>
          <w:p>
            <w:pPr>
              <w:jc w:val="center"/>
              <w:ind w:right="260"/>
              <w:spacing w:after="0"/>
              <w:rPr>
                <w:sz w:val="20"/>
                <w:szCs w:val="20"/>
                <w:color w:val="auto"/>
              </w:rPr>
            </w:pPr>
            <w:r>
              <w:rPr>
                <w:rFonts w:ascii="Calibri" w:cs="Calibri" w:eastAsia="Calibri" w:hAnsi="Calibri"/>
                <w:sz w:val="17"/>
                <w:szCs w:val="17"/>
                <w:b w:val="1"/>
                <w:bCs w:val="1"/>
                <w:color w:val="1C4787"/>
                <w:w w:val="97"/>
              </w:rPr>
              <w:t>Available for Sale</w:t>
            </w:r>
          </w:p>
        </w:tc>
        <w:tc>
          <w:tcPr>
            <w:tcW w:w="340" w:type="dxa"/>
            <w:vAlign w:val="bottom"/>
            <w:shd w:val="clear" w:color="auto" w:fill="E6EEFF"/>
          </w:tcPr>
          <w:p>
            <w:pPr>
              <w:spacing w:after="0"/>
              <w:rPr>
                <w:sz w:val="18"/>
                <w:szCs w:val="18"/>
                <w:color w:val="auto"/>
              </w:rPr>
            </w:pPr>
          </w:p>
        </w:tc>
        <w:tc>
          <w:tcPr>
            <w:tcW w:w="132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200" w:type="dxa"/>
            <w:vAlign w:val="bottom"/>
            <w:shd w:val="clear" w:color="auto" w:fill="E6EEFF"/>
          </w:tcPr>
          <w:p>
            <w:pPr>
              <w:spacing w:after="0"/>
              <w:rPr>
                <w:sz w:val="18"/>
                <w:szCs w:val="18"/>
                <w:color w:val="auto"/>
              </w:rPr>
            </w:pPr>
          </w:p>
        </w:tc>
        <w:tc>
          <w:tcPr>
            <w:tcW w:w="142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200" w:type="dxa"/>
            <w:vAlign w:val="bottom"/>
            <w:shd w:val="clear" w:color="auto" w:fill="E6EEFF"/>
          </w:tcPr>
          <w:p>
            <w:pPr>
              <w:spacing w:after="0"/>
              <w:rPr>
                <w:sz w:val="18"/>
                <w:szCs w:val="18"/>
                <w:color w:val="auto"/>
              </w:rPr>
            </w:pPr>
          </w:p>
        </w:tc>
        <w:tc>
          <w:tcPr>
            <w:tcW w:w="1320" w:type="dxa"/>
            <w:vAlign w:val="bottom"/>
            <w:shd w:val="clear" w:color="auto" w:fill="E6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360" w:type="dxa"/>
            <w:vAlign w:val="bottom"/>
            <w:tcBorders>
              <w:bottom w:val="single" w:sz="8" w:color="E6EEFF"/>
            </w:tcBorders>
            <w:shd w:val="clear" w:color="auto" w:fill="E6EEFF"/>
          </w:tcPr>
          <w:p>
            <w:pPr>
              <w:spacing w:after="0"/>
              <w:rPr>
                <w:sz w:val="20"/>
                <w:szCs w:val="20"/>
                <w:color w:val="auto"/>
              </w:rPr>
            </w:pPr>
          </w:p>
        </w:tc>
        <w:tc>
          <w:tcPr>
            <w:tcW w:w="100" w:type="dxa"/>
            <w:vAlign w:val="bottom"/>
            <w:tcBorders>
              <w:bottom w:val="single" w:sz="8" w:color="E6EEFF"/>
            </w:tcBorders>
            <w:shd w:val="clear" w:color="auto" w:fill="E6EEFF"/>
          </w:tcPr>
          <w:p>
            <w:pPr>
              <w:spacing w:after="0"/>
              <w:rPr>
                <w:sz w:val="20"/>
                <w:szCs w:val="20"/>
                <w:color w:val="auto"/>
              </w:rPr>
            </w:pPr>
          </w:p>
        </w:tc>
        <w:tc>
          <w:tcPr>
            <w:tcW w:w="140" w:type="dxa"/>
            <w:vAlign w:val="bottom"/>
            <w:tcBorders>
              <w:bottom w:val="single" w:sz="8" w:color="E6EEFF"/>
            </w:tcBorders>
            <w:shd w:val="clear" w:color="auto" w:fill="E6EEFF"/>
          </w:tcPr>
          <w:p>
            <w:pPr>
              <w:spacing w:after="0"/>
              <w:rPr>
                <w:sz w:val="20"/>
                <w:szCs w:val="20"/>
                <w:color w:val="auto"/>
              </w:rPr>
            </w:pPr>
          </w:p>
        </w:tc>
        <w:tc>
          <w:tcPr>
            <w:tcW w:w="1500" w:type="dxa"/>
            <w:vAlign w:val="bottom"/>
            <w:tcBorders>
              <w:bottom w:val="single" w:sz="8" w:color="E6EEFF"/>
            </w:tcBorders>
            <w:gridSpan w:val="2"/>
            <w:shd w:val="clear" w:color="auto" w:fill="E6EEFF"/>
          </w:tcPr>
          <w:p>
            <w:pPr>
              <w:jc w:val="center"/>
              <w:ind w:right="260"/>
              <w:spacing w:after="0" w:line="205" w:lineRule="exact"/>
              <w:rPr>
                <w:sz w:val="20"/>
                <w:szCs w:val="20"/>
                <w:color w:val="auto"/>
              </w:rPr>
            </w:pPr>
            <w:r>
              <w:rPr>
                <w:rFonts w:ascii="Calibri" w:cs="Calibri" w:eastAsia="Calibri" w:hAnsi="Calibri"/>
                <w:sz w:val="17"/>
                <w:szCs w:val="17"/>
                <w:b w:val="1"/>
                <w:bCs w:val="1"/>
                <w:color w:val="1C4787"/>
              </w:rPr>
              <w:t>Securites</w:t>
            </w:r>
          </w:p>
        </w:tc>
        <w:tc>
          <w:tcPr>
            <w:tcW w:w="340" w:type="dxa"/>
            <w:vAlign w:val="bottom"/>
            <w:tcBorders>
              <w:bottom w:val="single" w:sz="8" w:color="E6EEFF"/>
            </w:tcBorders>
            <w:shd w:val="clear" w:color="auto" w:fill="E6EEFF"/>
          </w:tcPr>
          <w:p>
            <w:pPr>
              <w:spacing w:after="0"/>
              <w:rPr>
                <w:sz w:val="20"/>
                <w:szCs w:val="20"/>
                <w:color w:val="auto"/>
              </w:rPr>
            </w:pPr>
          </w:p>
        </w:tc>
        <w:tc>
          <w:tcPr>
            <w:tcW w:w="3180" w:type="dxa"/>
            <w:vAlign w:val="bottom"/>
            <w:tcBorders>
              <w:bottom w:val="single" w:sz="8" w:color="E6EEFF"/>
            </w:tcBorders>
            <w:gridSpan w:val="5"/>
            <w:shd w:val="clear" w:color="auto" w:fill="E6EEFF"/>
          </w:tcPr>
          <w:p>
            <w:pPr>
              <w:ind w:left="740"/>
              <w:spacing w:after="0"/>
              <w:rPr>
                <w:sz w:val="20"/>
                <w:szCs w:val="20"/>
                <w:color w:val="auto"/>
              </w:rPr>
            </w:pPr>
            <w:r>
              <w:rPr>
                <w:rFonts w:ascii="Calibri" w:cs="Calibri" w:eastAsia="Calibri" w:hAnsi="Calibri"/>
                <w:sz w:val="17"/>
                <w:szCs w:val="17"/>
                <w:b w:val="1"/>
                <w:bCs w:val="1"/>
                <w:color w:val="1C4787"/>
              </w:rPr>
              <w:t>Trading Securites</w:t>
            </w:r>
          </w:p>
        </w:tc>
        <w:tc>
          <w:tcPr>
            <w:tcW w:w="200" w:type="dxa"/>
            <w:vAlign w:val="bottom"/>
            <w:tcBorders>
              <w:bottom w:val="single" w:sz="8" w:color="E6EEFF"/>
            </w:tcBorders>
            <w:shd w:val="clear" w:color="auto" w:fill="E6EEFF"/>
          </w:tcPr>
          <w:p>
            <w:pPr>
              <w:spacing w:after="0"/>
              <w:rPr>
                <w:sz w:val="20"/>
                <w:szCs w:val="20"/>
                <w:color w:val="auto"/>
              </w:rPr>
            </w:pPr>
          </w:p>
        </w:tc>
        <w:tc>
          <w:tcPr>
            <w:tcW w:w="1320" w:type="dxa"/>
            <w:vAlign w:val="bottom"/>
            <w:tcBorders>
              <w:bottom w:val="single" w:sz="8" w:color="E6EEFF"/>
            </w:tcBorders>
            <w:shd w:val="clear" w:color="auto" w:fill="E6EEFF"/>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215"/>
              <w:spacing w:after="0" w:line="139" w:lineRule="exact"/>
              <w:rPr>
                <w:sz w:val="20"/>
                <w:szCs w:val="20"/>
                <w:color w:val="auto"/>
              </w:rPr>
            </w:pPr>
            <w:r>
              <w:rPr>
                <w:rFonts w:ascii="Calibri" w:cs="Calibri" w:eastAsia="Calibri" w:hAnsi="Calibri"/>
                <w:sz w:val="15"/>
                <w:szCs w:val="15"/>
                <w:b w:val="1"/>
                <w:bCs w:val="1"/>
                <w:color w:val="1C4787"/>
              </w:rPr>
              <w:t>U.S. Treasury</w:t>
            </w:r>
          </w:p>
        </w:tc>
        <w:tc>
          <w:tcPr>
            <w:tcW w:w="0" w:type="dxa"/>
            <w:vAlign w:val="bottom"/>
          </w:tcPr>
          <w:p>
            <w:pPr>
              <w:spacing w:after="0"/>
              <w:rPr>
                <w:sz w:val="1"/>
                <w:szCs w:val="1"/>
                <w:color w:val="auto"/>
              </w:rPr>
            </w:pPr>
          </w:p>
        </w:tc>
      </w:tr>
      <w:tr>
        <w:trPr>
          <w:trHeight w:val="218"/>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Calibri" w:cs="Calibri" w:eastAsia="Calibri" w:hAnsi="Calibri"/>
                <w:sz w:val="17"/>
                <w:szCs w:val="17"/>
                <w:b w:val="1"/>
                <w:bCs w:val="1"/>
                <w:color w:val="1C4787"/>
                <w:w w:val="97"/>
              </w:rPr>
              <w:t>Agency</w:t>
            </w:r>
          </w:p>
        </w:tc>
        <w:tc>
          <w:tcPr>
            <w:tcW w:w="34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Calibri" w:cs="Calibri" w:eastAsia="Calibri" w:hAnsi="Calibri"/>
                <w:sz w:val="17"/>
                <w:szCs w:val="17"/>
                <w:b w:val="1"/>
                <w:bCs w:val="1"/>
                <w:color w:val="1C4787"/>
              </w:rPr>
              <w:t>Agency</w:t>
            </w: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Calibri" w:cs="Calibri" w:eastAsia="Calibri" w:hAnsi="Calibri"/>
                <w:sz w:val="17"/>
                <w:szCs w:val="17"/>
                <w:b w:val="1"/>
                <w:bCs w:val="1"/>
                <w:color w:val="1C4787"/>
              </w:rPr>
              <w:t>U.S. Treasuries</w:t>
            </w:r>
          </w:p>
        </w:tc>
        <w:tc>
          <w:tcPr>
            <w:tcW w:w="1520" w:type="dxa"/>
            <w:vAlign w:val="bottom"/>
            <w:gridSpan w:val="2"/>
          </w:tcPr>
          <w:p>
            <w:pPr>
              <w:jc w:val="right"/>
              <w:spacing w:after="0" w:line="205" w:lineRule="exact"/>
              <w:rPr>
                <w:sz w:val="20"/>
                <w:szCs w:val="20"/>
                <w:color w:val="auto"/>
              </w:rPr>
            </w:pPr>
            <w:r>
              <w:rPr>
                <w:rFonts w:ascii="Calibri" w:cs="Calibri" w:eastAsia="Calibri" w:hAnsi="Calibri"/>
                <w:sz w:val="17"/>
                <w:szCs w:val="17"/>
                <w:b w:val="1"/>
                <w:bCs w:val="1"/>
                <w:color w:val="1C4787"/>
              </w:rPr>
              <w:t>Securites Sold Short</w:t>
            </w:r>
          </w:p>
        </w:tc>
        <w:tc>
          <w:tcPr>
            <w:tcW w:w="0" w:type="dxa"/>
            <w:vAlign w:val="bottom"/>
          </w:tcPr>
          <w:p>
            <w:pPr>
              <w:spacing w:after="0"/>
              <w:rPr>
                <w:sz w:val="1"/>
                <w:szCs w:val="1"/>
                <w:color w:val="auto"/>
              </w:rPr>
            </w:pPr>
          </w:p>
        </w:tc>
      </w:tr>
      <w:tr>
        <w:trPr>
          <w:trHeight w:val="22"/>
        </w:trPr>
        <w:tc>
          <w:tcPr>
            <w:tcW w:w="4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4360" w:type="dxa"/>
            <w:vAlign w:val="bottom"/>
            <w:tcBorders>
              <w:bottom w:val="single" w:sz="8" w:color="auto"/>
            </w:tcBorders>
            <w:shd w:val="clear" w:color="auto" w:fill="E6EEFF"/>
          </w:tcPr>
          <w:p>
            <w:pPr>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00" w:type="dxa"/>
            <w:vAlign w:val="bottom"/>
            <w:shd w:val="clear" w:color="auto" w:fill="E6EEFF"/>
          </w:tcPr>
          <w:p>
            <w:pPr>
              <w:spacing w:after="0"/>
              <w:rPr>
                <w:sz w:val="18"/>
                <w:szCs w:val="18"/>
                <w:color w:val="auto"/>
              </w:rPr>
            </w:pPr>
          </w:p>
        </w:tc>
        <w:tc>
          <w:tcPr>
            <w:tcW w:w="140" w:type="dxa"/>
            <w:vAlign w:val="bottom"/>
            <w:shd w:val="clear" w:color="auto" w:fill="E6EEFF"/>
          </w:tcPr>
          <w:p>
            <w:pPr>
              <w:spacing w:after="0"/>
              <w:rPr>
                <w:sz w:val="18"/>
                <w:szCs w:val="18"/>
                <w:color w:val="auto"/>
              </w:rPr>
            </w:pPr>
          </w:p>
        </w:tc>
        <w:tc>
          <w:tcPr>
            <w:tcW w:w="138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340" w:type="dxa"/>
            <w:vAlign w:val="bottom"/>
            <w:shd w:val="clear" w:color="auto" w:fill="E6EEFF"/>
          </w:tcPr>
          <w:p>
            <w:pPr>
              <w:spacing w:after="0"/>
              <w:rPr>
                <w:sz w:val="18"/>
                <w:szCs w:val="18"/>
                <w:color w:val="auto"/>
              </w:rPr>
            </w:pPr>
          </w:p>
        </w:tc>
        <w:tc>
          <w:tcPr>
            <w:tcW w:w="132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200" w:type="dxa"/>
            <w:vAlign w:val="bottom"/>
            <w:shd w:val="clear" w:color="auto" w:fill="E6EEFF"/>
          </w:tcPr>
          <w:p>
            <w:pPr>
              <w:spacing w:after="0"/>
              <w:rPr>
                <w:sz w:val="18"/>
                <w:szCs w:val="18"/>
                <w:color w:val="auto"/>
              </w:rPr>
            </w:pPr>
          </w:p>
        </w:tc>
        <w:tc>
          <w:tcPr>
            <w:tcW w:w="142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200" w:type="dxa"/>
            <w:vAlign w:val="bottom"/>
            <w:shd w:val="clear" w:color="auto" w:fill="E6EEFF"/>
          </w:tcPr>
          <w:p>
            <w:pPr>
              <w:spacing w:after="0"/>
              <w:rPr>
                <w:sz w:val="18"/>
                <w:szCs w:val="18"/>
                <w:color w:val="auto"/>
              </w:rPr>
            </w:pPr>
          </w:p>
        </w:tc>
        <w:tc>
          <w:tcPr>
            <w:tcW w:w="1320" w:type="dxa"/>
            <w:vAlign w:val="bottom"/>
            <w:shd w:val="clear" w:color="auto" w:fill="E6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60" w:type="dxa"/>
            <w:vAlign w:val="bottom"/>
          </w:tcPr>
          <w:p>
            <w:pPr>
              <w:spacing w:after="0" w:line="205" w:lineRule="exact"/>
              <w:rPr>
                <w:sz w:val="20"/>
                <w:szCs w:val="20"/>
                <w:color w:val="auto"/>
              </w:rPr>
            </w:pPr>
            <w:r>
              <w:rPr>
                <w:rFonts w:ascii="Calibri" w:cs="Calibri" w:eastAsia="Calibri" w:hAnsi="Calibri"/>
                <w:sz w:val="17"/>
                <w:szCs w:val="17"/>
                <w:b w:val="1"/>
                <w:bCs w:val="1"/>
                <w:color w:val="1C4787"/>
              </w:rPr>
              <w:t>Balance, December 31, 2022</w:t>
            </w:r>
          </w:p>
        </w:tc>
        <w:tc>
          <w:tcPr>
            <w:tcW w:w="100" w:type="dxa"/>
            <w:vAlign w:val="bottom"/>
          </w:tcPr>
          <w:p>
            <w:pPr>
              <w:spacing w:after="0"/>
              <w:rPr>
                <w:sz w:val="17"/>
                <w:szCs w:val="17"/>
                <w:color w:val="auto"/>
              </w:rPr>
            </w:pPr>
          </w:p>
        </w:tc>
        <w:tc>
          <w:tcPr>
            <w:tcW w:w="140" w:type="dxa"/>
            <w:vAlign w:val="bottom"/>
          </w:tcPr>
          <w:p>
            <w:pPr>
              <w:jc w:val="right"/>
              <w:spacing w:after="0" w:line="190" w:lineRule="exact"/>
              <w:rPr>
                <w:sz w:val="20"/>
                <w:szCs w:val="20"/>
                <w:color w:val="auto"/>
              </w:rPr>
            </w:pPr>
            <w:r>
              <w:rPr>
                <w:rFonts w:ascii="Calibri" w:cs="Calibri" w:eastAsia="Calibri" w:hAnsi="Calibri"/>
                <w:sz w:val="17"/>
                <w:szCs w:val="17"/>
                <w:color w:val="auto"/>
                <w:w w:val="92"/>
              </w:rPr>
              <w:t>$</w:t>
            </w:r>
          </w:p>
        </w:tc>
        <w:tc>
          <w:tcPr>
            <w:tcW w:w="1380" w:type="dxa"/>
            <w:vAlign w:val="bottom"/>
          </w:tcPr>
          <w:p>
            <w:pPr>
              <w:jc w:val="right"/>
              <w:ind w:right="94"/>
              <w:spacing w:after="0" w:line="190" w:lineRule="exact"/>
              <w:rPr>
                <w:sz w:val="20"/>
                <w:szCs w:val="20"/>
                <w:color w:val="auto"/>
              </w:rPr>
            </w:pPr>
            <w:r>
              <w:rPr>
                <w:rFonts w:ascii="Calibri" w:cs="Calibri" w:eastAsia="Calibri" w:hAnsi="Calibri"/>
                <w:sz w:val="17"/>
                <w:szCs w:val="17"/>
                <w:color w:val="auto"/>
              </w:rPr>
              <w:t>187,944</w:t>
            </w:r>
          </w:p>
        </w:tc>
        <w:tc>
          <w:tcPr>
            <w:tcW w:w="120" w:type="dxa"/>
            <w:vAlign w:val="bottom"/>
          </w:tcPr>
          <w:p>
            <w:pPr>
              <w:spacing w:after="0"/>
              <w:rPr>
                <w:sz w:val="17"/>
                <w:szCs w:val="17"/>
                <w:color w:val="auto"/>
              </w:rPr>
            </w:pPr>
          </w:p>
        </w:tc>
        <w:tc>
          <w:tcPr>
            <w:tcW w:w="340" w:type="dxa"/>
            <w:vAlign w:val="bottom"/>
          </w:tcPr>
          <w:p>
            <w:pPr>
              <w:jc w:val="right"/>
              <w:ind w:right="154"/>
              <w:spacing w:after="0" w:line="190" w:lineRule="exact"/>
              <w:rPr>
                <w:sz w:val="20"/>
                <w:szCs w:val="20"/>
                <w:color w:val="auto"/>
              </w:rPr>
            </w:pPr>
            <w:r>
              <w:rPr>
                <w:rFonts w:ascii="Calibri" w:cs="Calibri" w:eastAsia="Calibri" w:hAnsi="Calibri"/>
                <w:sz w:val="17"/>
                <w:szCs w:val="17"/>
                <w:color w:val="auto"/>
                <w:w w:val="92"/>
              </w:rPr>
              <w:t>$</w:t>
            </w:r>
          </w:p>
        </w:tc>
        <w:tc>
          <w:tcPr>
            <w:tcW w:w="1320" w:type="dxa"/>
            <w:vAlign w:val="bottom"/>
          </w:tcPr>
          <w:p>
            <w:pPr>
              <w:jc w:val="right"/>
              <w:ind w:right="94"/>
              <w:spacing w:after="0" w:line="190" w:lineRule="exact"/>
              <w:rPr>
                <w:sz w:val="20"/>
                <w:szCs w:val="20"/>
                <w:color w:val="auto"/>
              </w:rPr>
            </w:pPr>
            <w:r>
              <w:rPr>
                <w:rFonts w:ascii="Calibri" w:cs="Calibri" w:eastAsia="Calibri" w:hAnsi="Calibri"/>
                <w:sz w:val="17"/>
                <w:szCs w:val="17"/>
                <w:color w:val="auto"/>
              </w:rPr>
              <w:t>8,010,647</w:t>
            </w:r>
          </w:p>
        </w:tc>
        <w:tc>
          <w:tcPr>
            <w:tcW w:w="120" w:type="dxa"/>
            <w:vAlign w:val="bottom"/>
          </w:tcPr>
          <w:p>
            <w:pPr>
              <w:spacing w:after="0"/>
              <w:rPr>
                <w:sz w:val="17"/>
                <w:szCs w:val="17"/>
                <w:color w:val="auto"/>
              </w:rPr>
            </w:pPr>
          </w:p>
        </w:tc>
        <w:tc>
          <w:tcPr>
            <w:tcW w:w="200" w:type="dxa"/>
            <w:vAlign w:val="bottom"/>
          </w:tcPr>
          <w:p>
            <w:pPr>
              <w:jc w:val="right"/>
              <w:ind w:right="39"/>
              <w:spacing w:after="0" w:line="189" w:lineRule="exact"/>
              <w:rPr>
                <w:sz w:val="20"/>
                <w:szCs w:val="20"/>
                <w:color w:val="auto"/>
              </w:rPr>
            </w:pPr>
            <w:r>
              <w:rPr>
                <w:rFonts w:ascii="Calibri" w:cs="Calibri" w:eastAsia="Calibri" w:hAnsi="Calibri"/>
                <w:sz w:val="16"/>
                <w:szCs w:val="16"/>
                <w:color w:val="auto"/>
                <w:w w:val="73"/>
              </w:rPr>
              <w:t>$</w:t>
            </w:r>
          </w:p>
        </w:tc>
        <w:tc>
          <w:tcPr>
            <w:tcW w:w="1540" w:type="dxa"/>
            <w:vAlign w:val="bottom"/>
            <w:gridSpan w:val="2"/>
          </w:tcPr>
          <w:p>
            <w:pPr>
              <w:jc w:val="right"/>
              <w:ind w:right="300"/>
              <w:spacing w:after="0" w:line="190" w:lineRule="exact"/>
              <w:rPr>
                <w:sz w:val="20"/>
                <w:szCs w:val="20"/>
                <w:color w:val="auto"/>
              </w:rPr>
            </w:pPr>
            <w:r>
              <w:rPr>
                <w:rFonts w:ascii="Calibri" w:cs="Calibri" w:eastAsia="Calibri" w:hAnsi="Calibri"/>
                <w:sz w:val="17"/>
                <w:szCs w:val="17"/>
                <w:color w:val="auto"/>
              </w:rPr>
              <w:t>—</w:t>
            </w:r>
          </w:p>
        </w:tc>
        <w:tc>
          <w:tcPr>
            <w:tcW w:w="200" w:type="dxa"/>
            <w:vAlign w:val="bottom"/>
          </w:tcPr>
          <w:p>
            <w:pPr>
              <w:spacing w:after="0"/>
              <w:rPr>
                <w:sz w:val="17"/>
                <w:szCs w:val="17"/>
                <w:color w:val="auto"/>
              </w:rPr>
            </w:pPr>
          </w:p>
        </w:tc>
        <w:tc>
          <w:tcPr>
            <w:tcW w:w="1320" w:type="dxa"/>
            <w:vAlign w:val="bottom"/>
          </w:tcPr>
          <w:p>
            <w:pPr>
              <w:jc w:val="right"/>
              <w:spacing w:after="0" w:line="190" w:lineRule="exact"/>
              <w:rPr>
                <w:sz w:val="20"/>
                <w:szCs w:val="20"/>
                <w:color w:val="auto"/>
              </w:rPr>
            </w:pPr>
            <w:r>
              <w:rPr>
                <w:rFonts w:ascii="Calibri" w:cs="Calibri" w:eastAsia="Calibri" w:hAnsi="Calibri"/>
                <w:sz w:val="17"/>
                <w:szCs w:val="17"/>
                <w:color w:val="auto"/>
              </w:rPr>
              <w:t>(506,074)</w:t>
            </w:r>
          </w:p>
        </w:tc>
        <w:tc>
          <w:tcPr>
            <w:tcW w:w="0" w:type="dxa"/>
            <w:vAlign w:val="bottom"/>
          </w:tcPr>
          <w:p>
            <w:pPr>
              <w:spacing w:after="0"/>
              <w:rPr>
                <w:sz w:val="1"/>
                <w:szCs w:val="1"/>
                <w:color w:val="auto"/>
              </w:rPr>
            </w:pPr>
          </w:p>
        </w:tc>
      </w:tr>
      <w:tr>
        <w:trPr>
          <w:trHeight w:val="226"/>
        </w:trPr>
        <w:tc>
          <w:tcPr>
            <w:tcW w:w="4460" w:type="dxa"/>
            <w:vAlign w:val="bottom"/>
            <w:gridSpan w:val="2"/>
            <w:shd w:val="clear" w:color="auto" w:fill="E6EEFF"/>
          </w:tcPr>
          <w:p>
            <w:pPr>
              <w:ind w:left="120"/>
              <w:spacing w:after="0" w:line="227" w:lineRule="exact"/>
              <w:rPr>
                <w:sz w:val="20"/>
                <w:szCs w:val="20"/>
                <w:color w:val="auto"/>
              </w:rPr>
            </w:pPr>
            <w:r>
              <w:rPr>
                <w:rFonts w:ascii="Calibri" w:cs="Calibri" w:eastAsia="Calibri" w:hAnsi="Calibri"/>
                <w:sz w:val="17"/>
                <w:szCs w:val="17"/>
                <w:color w:val="auto"/>
              </w:rPr>
              <w:t xml:space="preserve">Purchases </w:t>
            </w:r>
            <w:r>
              <w:rPr>
                <w:rFonts w:ascii="Calibri" w:cs="Calibri" w:eastAsia="Calibri" w:hAnsi="Calibri"/>
                <w:sz w:val="22"/>
                <w:szCs w:val="22"/>
                <w:color w:val="auto"/>
                <w:vertAlign w:val="superscript"/>
              </w:rPr>
              <w:t>(1)</w:t>
            </w:r>
          </w:p>
        </w:tc>
        <w:tc>
          <w:tcPr>
            <w:tcW w:w="140" w:type="dxa"/>
            <w:vAlign w:val="bottom"/>
            <w:shd w:val="clear" w:color="auto" w:fill="E6EEFF"/>
          </w:tcPr>
          <w:p>
            <w:pPr>
              <w:spacing w:after="0"/>
              <w:rPr>
                <w:sz w:val="19"/>
                <w:szCs w:val="19"/>
                <w:color w:val="auto"/>
              </w:rPr>
            </w:pPr>
          </w:p>
        </w:tc>
        <w:tc>
          <w:tcPr>
            <w:tcW w:w="1500" w:type="dxa"/>
            <w:vAlign w:val="bottom"/>
            <w:gridSpan w:val="2"/>
            <w:shd w:val="clear" w:color="auto" w:fill="E6EEFF"/>
          </w:tcPr>
          <w:p>
            <w:pPr>
              <w:jc w:val="right"/>
              <w:ind w:right="300"/>
              <w:spacing w:after="0"/>
              <w:rPr>
                <w:sz w:val="20"/>
                <w:szCs w:val="20"/>
                <w:color w:val="auto"/>
              </w:rPr>
            </w:pPr>
            <w:r>
              <w:rPr>
                <w:rFonts w:ascii="Calibri" w:cs="Calibri" w:eastAsia="Calibri" w:hAnsi="Calibri"/>
                <w:sz w:val="17"/>
                <w:szCs w:val="17"/>
                <w:color w:val="auto"/>
              </w:rPr>
              <w:t>—</w:t>
            </w:r>
          </w:p>
        </w:tc>
        <w:tc>
          <w:tcPr>
            <w:tcW w:w="340" w:type="dxa"/>
            <w:vAlign w:val="bottom"/>
            <w:shd w:val="clear" w:color="auto" w:fill="E6EEFF"/>
          </w:tcPr>
          <w:p>
            <w:pPr>
              <w:spacing w:after="0"/>
              <w:rPr>
                <w:sz w:val="19"/>
                <w:szCs w:val="19"/>
                <w:color w:val="auto"/>
              </w:rPr>
            </w:pPr>
          </w:p>
        </w:tc>
        <w:tc>
          <w:tcPr>
            <w:tcW w:w="1320" w:type="dxa"/>
            <w:vAlign w:val="bottom"/>
            <w:shd w:val="clear" w:color="auto" w:fill="E6EEFF"/>
          </w:tcPr>
          <w:p>
            <w:pPr>
              <w:jc w:val="right"/>
              <w:ind w:right="94"/>
              <w:spacing w:after="0"/>
              <w:rPr>
                <w:sz w:val="20"/>
                <w:szCs w:val="20"/>
                <w:color w:val="auto"/>
              </w:rPr>
            </w:pPr>
            <w:r>
              <w:rPr>
                <w:rFonts w:ascii="Calibri" w:cs="Calibri" w:eastAsia="Calibri" w:hAnsi="Calibri"/>
                <w:sz w:val="17"/>
                <w:szCs w:val="17"/>
                <w:color w:val="auto"/>
              </w:rPr>
              <w:t>10,106,910</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420" w:type="dxa"/>
            <w:vAlign w:val="bottom"/>
            <w:shd w:val="clear" w:color="auto" w:fill="E6EEFF"/>
          </w:tcPr>
          <w:p>
            <w:pPr>
              <w:jc w:val="right"/>
              <w:ind w:right="94"/>
              <w:spacing w:after="0"/>
              <w:rPr>
                <w:sz w:val="20"/>
                <w:szCs w:val="20"/>
                <w:color w:val="auto"/>
              </w:rPr>
            </w:pPr>
            <w:r>
              <w:rPr>
                <w:rFonts w:ascii="Calibri" w:cs="Calibri" w:eastAsia="Calibri" w:hAnsi="Calibri"/>
                <w:sz w:val="17"/>
                <w:szCs w:val="17"/>
                <w:color w:val="auto"/>
              </w:rPr>
              <w:t>624,039</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3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841,709</w:t>
            </w:r>
          </w:p>
        </w:tc>
        <w:tc>
          <w:tcPr>
            <w:tcW w:w="0" w:type="dxa"/>
            <w:vAlign w:val="bottom"/>
          </w:tcPr>
          <w:p>
            <w:pPr>
              <w:spacing w:after="0"/>
              <w:rPr>
                <w:sz w:val="1"/>
                <w:szCs w:val="1"/>
                <w:color w:val="auto"/>
              </w:rPr>
            </w:pPr>
          </w:p>
        </w:tc>
      </w:tr>
      <w:tr>
        <w:trPr>
          <w:trHeight w:val="212"/>
        </w:trPr>
        <w:tc>
          <w:tcPr>
            <w:tcW w:w="4460" w:type="dxa"/>
            <w:vAlign w:val="bottom"/>
            <w:gridSpan w:val="2"/>
          </w:tcPr>
          <w:p>
            <w:pPr>
              <w:ind w:left="120"/>
              <w:spacing w:after="0" w:line="205" w:lineRule="exact"/>
              <w:rPr>
                <w:sz w:val="20"/>
                <w:szCs w:val="20"/>
                <w:color w:val="auto"/>
              </w:rPr>
            </w:pPr>
            <w:r>
              <w:rPr>
                <w:rFonts w:ascii="Calibri" w:cs="Calibri" w:eastAsia="Calibri" w:hAnsi="Calibri"/>
                <w:sz w:val="17"/>
                <w:szCs w:val="17"/>
                <w:color w:val="auto"/>
              </w:rPr>
              <w:t>Proceeds from sales</w:t>
            </w:r>
          </w:p>
        </w:tc>
        <w:tc>
          <w:tcPr>
            <w:tcW w:w="140" w:type="dxa"/>
            <w:vAlign w:val="bottom"/>
          </w:tcPr>
          <w:p>
            <w:pPr>
              <w:spacing w:after="0"/>
              <w:rPr>
                <w:sz w:val="18"/>
                <w:szCs w:val="18"/>
                <w:color w:val="auto"/>
              </w:rPr>
            </w:pPr>
          </w:p>
        </w:tc>
        <w:tc>
          <w:tcPr>
            <w:tcW w:w="1380" w:type="dxa"/>
            <w:vAlign w:val="bottom"/>
          </w:tcPr>
          <w:p>
            <w:pPr>
              <w:jc w:val="right"/>
              <w:ind w:right="54"/>
              <w:spacing w:after="0" w:line="205" w:lineRule="exact"/>
              <w:rPr>
                <w:sz w:val="20"/>
                <w:szCs w:val="20"/>
                <w:color w:val="auto"/>
              </w:rPr>
            </w:pPr>
            <w:r>
              <w:rPr>
                <w:rFonts w:ascii="Calibri" w:cs="Calibri" w:eastAsia="Calibri" w:hAnsi="Calibri"/>
                <w:sz w:val="17"/>
                <w:szCs w:val="17"/>
                <w:color w:val="auto"/>
              </w:rPr>
              <w:t>(189,931)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74"/>
              <w:spacing w:after="0" w:line="205" w:lineRule="exact"/>
              <w:rPr>
                <w:sz w:val="20"/>
                <w:szCs w:val="20"/>
                <w:color w:val="auto"/>
              </w:rPr>
            </w:pPr>
            <w:r>
              <w:rPr>
                <w:rFonts w:ascii="Calibri" w:cs="Calibri" w:eastAsia="Calibri" w:hAnsi="Calibri"/>
                <w:sz w:val="17"/>
                <w:szCs w:val="17"/>
                <w:color w:val="auto"/>
              </w:rPr>
              <w:t>(6,100,661)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4"/>
              <w:spacing w:after="0" w:line="205" w:lineRule="exact"/>
              <w:rPr>
                <w:sz w:val="20"/>
                <w:szCs w:val="20"/>
                <w:color w:val="auto"/>
              </w:rPr>
            </w:pPr>
            <w:r>
              <w:rPr>
                <w:rFonts w:ascii="Calibri" w:cs="Calibri" w:eastAsia="Calibri" w:hAnsi="Calibri"/>
                <w:sz w:val="17"/>
                <w:szCs w:val="17"/>
                <w:color w:val="auto"/>
              </w:rPr>
              <w:t>(618,520)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line="205" w:lineRule="exact"/>
              <w:rPr>
                <w:sz w:val="20"/>
                <w:szCs w:val="20"/>
                <w:color w:val="auto"/>
              </w:rPr>
            </w:pPr>
            <w:r>
              <w:rPr>
                <w:rFonts w:ascii="Calibri" w:cs="Calibri" w:eastAsia="Calibri" w:hAnsi="Calibri"/>
                <w:sz w:val="17"/>
                <w:szCs w:val="17"/>
                <w:color w:val="auto"/>
              </w:rPr>
              <w:t>(651,621)</w:t>
            </w:r>
          </w:p>
        </w:tc>
        <w:tc>
          <w:tcPr>
            <w:tcW w:w="0" w:type="dxa"/>
            <w:vAlign w:val="bottom"/>
          </w:tcPr>
          <w:p>
            <w:pPr>
              <w:spacing w:after="0"/>
              <w:rPr>
                <w:sz w:val="1"/>
                <w:szCs w:val="1"/>
                <w:color w:val="auto"/>
              </w:rPr>
            </w:pPr>
          </w:p>
        </w:tc>
      </w:tr>
      <w:tr>
        <w:trPr>
          <w:trHeight w:val="226"/>
        </w:trPr>
        <w:tc>
          <w:tcPr>
            <w:tcW w:w="4460" w:type="dxa"/>
            <w:vAlign w:val="bottom"/>
            <w:gridSpan w:val="2"/>
            <w:shd w:val="clear" w:color="auto" w:fill="E6EEFF"/>
          </w:tcPr>
          <w:p>
            <w:pPr>
              <w:ind w:left="120"/>
              <w:spacing w:after="0"/>
              <w:rPr>
                <w:sz w:val="20"/>
                <w:szCs w:val="20"/>
                <w:color w:val="auto"/>
              </w:rPr>
            </w:pPr>
            <w:r>
              <w:rPr>
                <w:rFonts w:ascii="Calibri" w:cs="Calibri" w:eastAsia="Calibri" w:hAnsi="Calibri"/>
                <w:sz w:val="17"/>
                <w:szCs w:val="17"/>
                <w:color w:val="auto"/>
              </w:rPr>
              <w:t>Principal repayments</w:t>
            </w:r>
          </w:p>
        </w:tc>
        <w:tc>
          <w:tcPr>
            <w:tcW w:w="140" w:type="dxa"/>
            <w:vAlign w:val="bottom"/>
            <w:shd w:val="clear" w:color="auto" w:fill="E6EEFF"/>
          </w:tcPr>
          <w:p>
            <w:pPr>
              <w:spacing w:after="0"/>
              <w:rPr>
                <w:sz w:val="19"/>
                <w:szCs w:val="19"/>
                <w:color w:val="auto"/>
              </w:rPr>
            </w:pPr>
          </w:p>
        </w:tc>
        <w:tc>
          <w:tcPr>
            <w:tcW w:w="1380" w:type="dxa"/>
            <w:vAlign w:val="bottom"/>
            <w:shd w:val="clear" w:color="auto" w:fill="E6EEFF"/>
          </w:tcPr>
          <w:p>
            <w:pPr>
              <w:jc w:val="right"/>
              <w:ind w:right="54"/>
              <w:spacing w:after="0"/>
              <w:rPr>
                <w:sz w:val="20"/>
                <w:szCs w:val="20"/>
                <w:color w:val="auto"/>
              </w:rPr>
            </w:pPr>
            <w:r>
              <w:rPr>
                <w:rFonts w:ascii="Calibri" w:cs="Calibri" w:eastAsia="Calibri" w:hAnsi="Calibri"/>
                <w:sz w:val="17"/>
                <w:szCs w:val="17"/>
                <w:color w:val="auto"/>
              </w:rPr>
              <w:t>(1,997)</w:t>
            </w:r>
          </w:p>
        </w:tc>
        <w:tc>
          <w:tcPr>
            <w:tcW w:w="120" w:type="dxa"/>
            <w:vAlign w:val="bottom"/>
            <w:shd w:val="clear" w:color="auto" w:fill="E6EEFF"/>
          </w:tcPr>
          <w:p>
            <w:pPr>
              <w:spacing w:after="0"/>
              <w:rPr>
                <w:sz w:val="19"/>
                <w:szCs w:val="19"/>
                <w:color w:val="auto"/>
              </w:rPr>
            </w:pPr>
          </w:p>
        </w:tc>
        <w:tc>
          <w:tcPr>
            <w:tcW w:w="340" w:type="dxa"/>
            <w:vAlign w:val="bottom"/>
            <w:shd w:val="clear" w:color="auto" w:fill="E6EEFF"/>
          </w:tcPr>
          <w:p>
            <w:pPr>
              <w:spacing w:after="0"/>
              <w:rPr>
                <w:sz w:val="19"/>
                <w:szCs w:val="19"/>
                <w:color w:val="auto"/>
              </w:rPr>
            </w:pPr>
          </w:p>
        </w:tc>
        <w:tc>
          <w:tcPr>
            <w:tcW w:w="1320" w:type="dxa"/>
            <w:vAlign w:val="bottom"/>
            <w:shd w:val="clear" w:color="auto" w:fill="E6EEFF"/>
          </w:tcPr>
          <w:p>
            <w:pPr>
              <w:jc w:val="right"/>
              <w:ind w:right="74"/>
              <w:spacing w:after="0"/>
              <w:rPr>
                <w:sz w:val="20"/>
                <w:szCs w:val="20"/>
                <w:color w:val="auto"/>
              </w:rPr>
            </w:pPr>
            <w:r>
              <w:rPr>
                <w:rFonts w:ascii="Calibri" w:cs="Calibri" w:eastAsia="Calibri" w:hAnsi="Calibri"/>
                <w:sz w:val="17"/>
                <w:szCs w:val="17"/>
                <w:color w:val="auto"/>
              </w:rPr>
              <w:t>(801,161)</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540" w:type="dxa"/>
            <w:vAlign w:val="bottom"/>
            <w:gridSpan w:val="2"/>
            <w:shd w:val="clear" w:color="auto" w:fill="E6EEFF"/>
          </w:tcPr>
          <w:p>
            <w:pPr>
              <w:jc w:val="right"/>
              <w:ind w:right="300"/>
              <w:spacing w:after="0"/>
              <w:rPr>
                <w:sz w:val="20"/>
                <w:szCs w:val="20"/>
                <w:color w:val="auto"/>
              </w:rPr>
            </w:pPr>
            <w:r>
              <w:rPr>
                <w:rFonts w:ascii="Calibri" w:cs="Calibri" w:eastAsia="Calibri" w:hAnsi="Calibri"/>
                <w:sz w:val="17"/>
                <w:szCs w:val="17"/>
                <w:color w:val="auto"/>
              </w:rPr>
              <w:t>—</w:t>
            </w:r>
          </w:p>
        </w:tc>
        <w:tc>
          <w:tcPr>
            <w:tcW w:w="200" w:type="dxa"/>
            <w:vAlign w:val="bottom"/>
            <w:shd w:val="clear" w:color="auto" w:fill="E6EEFF"/>
          </w:tcPr>
          <w:p>
            <w:pPr>
              <w:spacing w:after="0"/>
              <w:rPr>
                <w:sz w:val="19"/>
                <w:szCs w:val="19"/>
                <w:color w:val="auto"/>
              </w:rPr>
            </w:pPr>
          </w:p>
        </w:tc>
        <w:tc>
          <w:tcPr>
            <w:tcW w:w="13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12"/>
        </w:trPr>
        <w:tc>
          <w:tcPr>
            <w:tcW w:w="4460" w:type="dxa"/>
            <w:vAlign w:val="bottom"/>
            <w:gridSpan w:val="2"/>
          </w:tcPr>
          <w:p>
            <w:pPr>
              <w:ind w:left="120"/>
              <w:spacing w:after="0" w:line="205" w:lineRule="exact"/>
              <w:rPr>
                <w:sz w:val="20"/>
                <w:szCs w:val="20"/>
                <w:color w:val="auto"/>
              </w:rPr>
            </w:pPr>
            <w:r>
              <w:rPr>
                <w:rFonts w:ascii="Calibri" w:cs="Calibri" w:eastAsia="Calibri" w:hAnsi="Calibri"/>
                <w:sz w:val="17"/>
                <w:szCs w:val="17"/>
                <w:color w:val="auto"/>
              </w:rPr>
              <w:t>Current gains (losses)</w:t>
            </w:r>
          </w:p>
        </w:tc>
        <w:tc>
          <w:tcPr>
            <w:tcW w:w="140" w:type="dxa"/>
            <w:vAlign w:val="bottom"/>
          </w:tcPr>
          <w:p>
            <w:pPr>
              <w:spacing w:after="0"/>
              <w:rPr>
                <w:sz w:val="18"/>
                <w:szCs w:val="18"/>
                <w:color w:val="auto"/>
              </w:rPr>
            </w:pPr>
          </w:p>
        </w:tc>
        <w:tc>
          <w:tcPr>
            <w:tcW w:w="1380" w:type="dxa"/>
            <w:vAlign w:val="bottom"/>
          </w:tcPr>
          <w:p>
            <w:pPr>
              <w:jc w:val="right"/>
              <w:ind w:right="94"/>
              <w:spacing w:after="0" w:line="205" w:lineRule="exact"/>
              <w:rPr>
                <w:sz w:val="20"/>
                <w:szCs w:val="20"/>
                <w:color w:val="auto"/>
              </w:rPr>
            </w:pPr>
            <w:r>
              <w:rPr>
                <w:rFonts w:ascii="Calibri" w:cs="Calibri" w:eastAsia="Calibri" w:hAnsi="Calibri"/>
                <w:sz w:val="17"/>
                <w:szCs w:val="17"/>
                <w:color w:val="auto"/>
              </w:rPr>
              <w:t>3,946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74"/>
              <w:spacing w:after="0" w:line="205" w:lineRule="exact"/>
              <w:rPr>
                <w:sz w:val="20"/>
                <w:szCs w:val="20"/>
                <w:color w:val="auto"/>
              </w:rPr>
            </w:pPr>
            <w:r>
              <w:rPr>
                <w:rFonts w:ascii="Calibri" w:cs="Calibri" w:eastAsia="Calibri" w:hAnsi="Calibri"/>
                <w:sz w:val="17"/>
                <w:szCs w:val="17"/>
                <w:color w:val="auto"/>
              </w:rPr>
              <w:t>(81,964)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4"/>
              <w:spacing w:after="0" w:line="205" w:lineRule="exact"/>
              <w:rPr>
                <w:sz w:val="20"/>
                <w:szCs w:val="20"/>
                <w:color w:val="auto"/>
              </w:rPr>
            </w:pPr>
            <w:r>
              <w:rPr>
                <w:rFonts w:ascii="Calibri" w:cs="Calibri" w:eastAsia="Calibri" w:hAnsi="Calibri"/>
                <w:sz w:val="17"/>
                <w:szCs w:val="17"/>
                <w:color w:val="auto"/>
              </w:rPr>
              <w:t>(5,393)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line="205" w:lineRule="exact"/>
              <w:rPr>
                <w:sz w:val="20"/>
                <w:szCs w:val="20"/>
                <w:color w:val="auto"/>
              </w:rPr>
            </w:pPr>
            <w:r>
              <w:rPr>
                <w:rFonts w:ascii="Calibri" w:cs="Calibri" w:eastAsia="Calibri" w:hAnsi="Calibri"/>
                <w:sz w:val="17"/>
                <w:szCs w:val="17"/>
                <w:color w:val="auto"/>
              </w:rPr>
              <w:t>(37,705)</w:t>
            </w:r>
          </w:p>
        </w:tc>
        <w:tc>
          <w:tcPr>
            <w:tcW w:w="0" w:type="dxa"/>
            <w:vAlign w:val="bottom"/>
          </w:tcPr>
          <w:p>
            <w:pPr>
              <w:spacing w:after="0"/>
              <w:rPr>
                <w:sz w:val="1"/>
                <w:szCs w:val="1"/>
                <w:color w:val="auto"/>
              </w:rPr>
            </w:pPr>
          </w:p>
        </w:tc>
      </w:tr>
      <w:tr>
        <w:trPr>
          <w:trHeight w:val="226"/>
        </w:trPr>
        <w:tc>
          <w:tcPr>
            <w:tcW w:w="4460" w:type="dxa"/>
            <w:vAlign w:val="bottom"/>
            <w:gridSpan w:val="2"/>
            <w:shd w:val="clear" w:color="auto" w:fill="E6EEFF"/>
          </w:tcPr>
          <w:p>
            <w:pPr>
              <w:ind w:left="120"/>
              <w:spacing w:after="0"/>
              <w:rPr>
                <w:sz w:val="20"/>
                <w:szCs w:val="20"/>
                <w:color w:val="auto"/>
              </w:rPr>
            </w:pPr>
            <w:r>
              <w:rPr>
                <w:rFonts w:ascii="Calibri" w:cs="Calibri" w:eastAsia="Calibri" w:hAnsi="Calibri"/>
                <w:sz w:val="17"/>
                <w:szCs w:val="17"/>
                <w:color w:val="auto"/>
              </w:rPr>
              <w:t>Change in accrued interest payable</w:t>
            </w:r>
          </w:p>
        </w:tc>
        <w:tc>
          <w:tcPr>
            <w:tcW w:w="140" w:type="dxa"/>
            <w:vAlign w:val="bottom"/>
            <w:shd w:val="clear" w:color="auto" w:fill="E6EEFF"/>
          </w:tcPr>
          <w:p>
            <w:pPr>
              <w:spacing w:after="0"/>
              <w:rPr>
                <w:sz w:val="19"/>
                <w:szCs w:val="19"/>
                <w:color w:val="auto"/>
              </w:rPr>
            </w:pPr>
          </w:p>
        </w:tc>
        <w:tc>
          <w:tcPr>
            <w:tcW w:w="1500" w:type="dxa"/>
            <w:vAlign w:val="bottom"/>
            <w:gridSpan w:val="2"/>
            <w:shd w:val="clear" w:color="auto" w:fill="E6EEFF"/>
          </w:tcPr>
          <w:p>
            <w:pPr>
              <w:jc w:val="right"/>
              <w:ind w:right="300"/>
              <w:spacing w:after="0"/>
              <w:rPr>
                <w:sz w:val="20"/>
                <w:szCs w:val="20"/>
                <w:color w:val="auto"/>
              </w:rPr>
            </w:pPr>
            <w:r>
              <w:rPr>
                <w:rFonts w:ascii="Calibri" w:cs="Calibri" w:eastAsia="Calibri" w:hAnsi="Calibri"/>
                <w:sz w:val="17"/>
                <w:szCs w:val="17"/>
                <w:color w:val="auto"/>
              </w:rPr>
              <w:t>—</w:t>
            </w:r>
          </w:p>
        </w:tc>
        <w:tc>
          <w:tcPr>
            <w:tcW w:w="340" w:type="dxa"/>
            <w:vAlign w:val="bottom"/>
            <w:shd w:val="clear" w:color="auto" w:fill="E6EEFF"/>
          </w:tcPr>
          <w:p>
            <w:pPr>
              <w:spacing w:after="0"/>
              <w:rPr>
                <w:sz w:val="19"/>
                <w:szCs w:val="19"/>
                <w:color w:val="auto"/>
              </w:rPr>
            </w:pPr>
          </w:p>
        </w:tc>
        <w:tc>
          <w:tcPr>
            <w:tcW w:w="1440" w:type="dxa"/>
            <w:vAlign w:val="bottom"/>
            <w:gridSpan w:val="2"/>
            <w:shd w:val="clear" w:color="auto" w:fill="E6EEFF"/>
          </w:tcPr>
          <w:p>
            <w:pPr>
              <w:jc w:val="right"/>
              <w:ind w:right="300"/>
              <w:spacing w:after="0"/>
              <w:rPr>
                <w:sz w:val="20"/>
                <w:szCs w:val="20"/>
                <w:color w:val="auto"/>
              </w:rPr>
            </w:pPr>
            <w:r>
              <w:rPr>
                <w:rFonts w:ascii="Calibri" w:cs="Calibri" w:eastAsia="Calibri" w:hAnsi="Calibri"/>
                <w:sz w:val="17"/>
                <w:szCs w:val="17"/>
                <w:color w:val="auto"/>
              </w:rPr>
              <w:t>—</w:t>
            </w:r>
          </w:p>
        </w:tc>
        <w:tc>
          <w:tcPr>
            <w:tcW w:w="200" w:type="dxa"/>
            <w:vAlign w:val="bottom"/>
            <w:shd w:val="clear" w:color="auto" w:fill="E6EEFF"/>
          </w:tcPr>
          <w:p>
            <w:pPr>
              <w:spacing w:after="0"/>
              <w:rPr>
                <w:sz w:val="19"/>
                <w:szCs w:val="19"/>
                <w:color w:val="auto"/>
              </w:rPr>
            </w:pPr>
          </w:p>
        </w:tc>
        <w:tc>
          <w:tcPr>
            <w:tcW w:w="1540" w:type="dxa"/>
            <w:vAlign w:val="bottom"/>
            <w:gridSpan w:val="2"/>
            <w:shd w:val="clear" w:color="auto" w:fill="E6EEFF"/>
          </w:tcPr>
          <w:p>
            <w:pPr>
              <w:jc w:val="right"/>
              <w:ind w:right="300"/>
              <w:spacing w:after="0"/>
              <w:rPr>
                <w:sz w:val="20"/>
                <w:szCs w:val="20"/>
                <w:color w:val="auto"/>
              </w:rPr>
            </w:pPr>
            <w:r>
              <w:rPr>
                <w:rFonts w:ascii="Calibri" w:cs="Calibri" w:eastAsia="Calibri" w:hAnsi="Calibri"/>
                <w:sz w:val="17"/>
                <w:szCs w:val="17"/>
                <w:color w:val="auto"/>
              </w:rPr>
              <w:t>—</w:t>
            </w:r>
          </w:p>
        </w:tc>
        <w:tc>
          <w:tcPr>
            <w:tcW w:w="200" w:type="dxa"/>
            <w:vAlign w:val="bottom"/>
            <w:shd w:val="clear" w:color="auto" w:fill="E6EEFF"/>
          </w:tcPr>
          <w:p>
            <w:pPr>
              <w:spacing w:after="0"/>
              <w:rPr>
                <w:sz w:val="19"/>
                <w:szCs w:val="19"/>
                <w:color w:val="auto"/>
              </w:rPr>
            </w:pPr>
          </w:p>
        </w:tc>
        <w:tc>
          <w:tcPr>
            <w:tcW w:w="13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(1,631)</w:t>
            </w:r>
          </w:p>
        </w:tc>
        <w:tc>
          <w:tcPr>
            <w:tcW w:w="0" w:type="dxa"/>
            <w:vAlign w:val="bottom"/>
          </w:tcPr>
          <w:p>
            <w:pPr>
              <w:spacing w:after="0"/>
              <w:rPr>
                <w:sz w:val="1"/>
                <w:szCs w:val="1"/>
                <w:color w:val="auto"/>
              </w:rPr>
            </w:pPr>
          </w:p>
        </w:tc>
      </w:tr>
      <w:tr>
        <w:trPr>
          <w:trHeight w:val="212"/>
        </w:trPr>
        <w:tc>
          <w:tcPr>
            <w:tcW w:w="4460" w:type="dxa"/>
            <w:vAlign w:val="bottom"/>
            <w:gridSpan w:val="2"/>
          </w:tcPr>
          <w:p>
            <w:pPr>
              <w:ind w:left="120"/>
              <w:spacing w:after="0" w:line="205" w:lineRule="exact"/>
              <w:rPr>
                <w:sz w:val="20"/>
                <w:szCs w:val="20"/>
                <w:color w:val="auto"/>
              </w:rPr>
            </w:pPr>
            <w:r>
              <w:rPr>
                <w:rFonts w:ascii="Calibri" w:cs="Calibri" w:eastAsia="Calibri" w:hAnsi="Calibri"/>
                <w:sz w:val="17"/>
                <w:szCs w:val="17"/>
                <w:color w:val="auto"/>
              </w:rPr>
              <w:t>Amortzaton:</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60" w:type="dxa"/>
            <w:vAlign w:val="bottom"/>
            <w:gridSpan w:val="2"/>
            <w:shd w:val="clear" w:color="auto" w:fill="E6EEFF"/>
          </w:tcPr>
          <w:p>
            <w:pPr>
              <w:ind w:left="220"/>
              <w:spacing w:after="0"/>
              <w:rPr>
                <w:sz w:val="20"/>
                <w:szCs w:val="20"/>
                <w:color w:val="auto"/>
              </w:rPr>
            </w:pPr>
            <w:r>
              <w:rPr>
                <w:rFonts w:ascii="Calibri" w:cs="Calibri" w:eastAsia="Calibri" w:hAnsi="Calibri"/>
                <w:sz w:val="17"/>
                <w:szCs w:val="17"/>
                <w:color w:val="auto"/>
              </w:rPr>
              <w:t>Prior unrealized (gains) losses</w:t>
            </w:r>
          </w:p>
        </w:tc>
        <w:tc>
          <w:tcPr>
            <w:tcW w:w="140" w:type="dxa"/>
            <w:vAlign w:val="bottom"/>
            <w:shd w:val="clear" w:color="auto" w:fill="E6EEFF"/>
          </w:tcPr>
          <w:p>
            <w:pPr>
              <w:spacing w:after="0"/>
              <w:rPr>
                <w:sz w:val="19"/>
                <w:szCs w:val="19"/>
                <w:color w:val="auto"/>
              </w:rPr>
            </w:pPr>
          </w:p>
        </w:tc>
        <w:tc>
          <w:tcPr>
            <w:tcW w:w="1380" w:type="dxa"/>
            <w:vAlign w:val="bottom"/>
            <w:shd w:val="clear" w:color="auto" w:fill="E6EEFF"/>
          </w:tcPr>
          <w:p>
            <w:pPr>
              <w:jc w:val="right"/>
              <w:ind w:right="94"/>
              <w:spacing w:after="0"/>
              <w:rPr>
                <w:sz w:val="20"/>
                <w:szCs w:val="20"/>
                <w:color w:val="auto"/>
              </w:rPr>
            </w:pPr>
            <w:r>
              <w:rPr>
                <w:rFonts w:ascii="Calibri" w:cs="Calibri" w:eastAsia="Calibri" w:hAnsi="Calibri"/>
                <w:sz w:val="17"/>
                <w:szCs w:val="17"/>
                <w:color w:val="auto"/>
              </w:rPr>
              <w:t>110</w:t>
            </w:r>
          </w:p>
        </w:tc>
        <w:tc>
          <w:tcPr>
            <w:tcW w:w="120" w:type="dxa"/>
            <w:vAlign w:val="bottom"/>
            <w:shd w:val="clear" w:color="auto" w:fill="E6EEFF"/>
          </w:tcPr>
          <w:p>
            <w:pPr>
              <w:spacing w:after="0"/>
              <w:rPr>
                <w:sz w:val="19"/>
                <w:szCs w:val="19"/>
                <w:color w:val="auto"/>
              </w:rPr>
            </w:pPr>
          </w:p>
        </w:tc>
        <w:tc>
          <w:tcPr>
            <w:tcW w:w="340" w:type="dxa"/>
            <w:vAlign w:val="bottom"/>
            <w:shd w:val="clear" w:color="auto" w:fill="E6EEFF"/>
          </w:tcPr>
          <w:p>
            <w:pPr>
              <w:spacing w:after="0"/>
              <w:rPr>
                <w:sz w:val="19"/>
                <w:szCs w:val="19"/>
                <w:color w:val="auto"/>
              </w:rPr>
            </w:pPr>
          </w:p>
        </w:tc>
        <w:tc>
          <w:tcPr>
            <w:tcW w:w="1320" w:type="dxa"/>
            <w:vAlign w:val="bottom"/>
            <w:shd w:val="clear" w:color="auto" w:fill="E6EEFF"/>
          </w:tcPr>
          <w:p>
            <w:pPr>
              <w:jc w:val="right"/>
              <w:ind w:right="94"/>
              <w:spacing w:after="0"/>
              <w:rPr>
                <w:sz w:val="20"/>
                <w:szCs w:val="20"/>
                <w:color w:val="auto"/>
              </w:rPr>
            </w:pPr>
            <w:r>
              <w:rPr>
                <w:rFonts w:ascii="Calibri" w:cs="Calibri" w:eastAsia="Calibri" w:hAnsi="Calibri"/>
                <w:sz w:val="17"/>
                <w:szCs w:val="17"/>
                <w:color w:val="auto"/>
              </w:rPr>
              <w:t>29,299</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420" w:type="dxa"/>
            <w:vAlign w:val="bottom"/>
            <w:shd w:val="clear" w:color="auto" w:fill="E6EEFF"/>
          </w:tcPr>
          <w:p>
            <w:pPr>
              <w:jc w:val="right"/>
              <w:ind w:right="94"/>
              <w:spacing w:after="0"/>
              <w:rPr>
                <w:sz w:val="20"/>
                <w:szCs w:val="20"/>
                <w:color w:val="auto"/>
              </w:rPr>
            </w:pPr>
            <w:r>
              <w:rPr>
                <w:rFonts w:ascii="Calibri" w:cs="Calibri" w:eastAsia="Calibri" w:hAnsi="Calibri"/>
                <w:sz w:val="17"/>
                <w:szCs w:val="17"/>
                <w:color w:val="auto"/>
              </w:rPr>
              <w:t>5</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3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12"/>
        </w:trPr>
        <w:tc>
          <w:tcPr>
            <w:tcW w:w="4460" w:type="dxa"/>
            <w:vAlign w:val="bottom"/>
            <w:tcBorders>
              <w:bottom w:val="single" w:sz="8" w:color="E6EEFF"/>
            </w:tcBorders>
            <w:gridSpan w:val="2"/>
          </w:tcPr>
          <w:p>
            <w:pPr>
              <w:ind w:left="220"/>
              <w:spacing w:after="0" w:line="205" w:lineRule="exact"/>
              <w:rPr>
                <w:sz w:val="20"/>
                <w:szCs w:val="20"/>
                <w:color w:val="auto"/>
              </w:rPr>
            </w:pPr>
            <w:r>
              <w:rPr>
                <w:rFonts w:ascii="Calibri" w:cs="Calibri" w:eastAsia="Calibri" w:hAnsi="Calibri"/>
                <w:sz w:val="17"/>
                <w:szCs w:val="17"/>
                <w:color w:val="auto"/>
              </w:rPr>
              <w:t>Purchase premium</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4"/>
              <w:spacing w:after="0" w:line="205" w:lineRule="exact"/>
              <w:rPr>
                <w:sz w:val="20"/>
                <w:szCs w:val="20"/>
                <w:color w:val="auto"/>
              </w:rPr>
            </w:pPr>
            <w:r>
              <w:rPr>
                <w:rFonts w:ascii="Calibri" w:cs="Calibri" w:eastAsia="Calibri" w:hAnsi="Calibri"/>
                <w:sz w:val="17"/>
                <w:szCs w:val="17"/>
                <w:color w:val="auto"/>
              </w:rPr>
              <w:t>(72)</w:t>
            </w:r>
          </w:p>
        </w:tc>
        <w:tc>
          <w:tcPr>
            <w:tcW w:w="120" w:type="dxa"/>
            <w:vAlign w:val="bottom"/>
            <w:tcBorders>
              <w:bottom w:val="single" w:sz="8" w:color="E6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4"/>
              <w:spacing w:after="0" w:line="205" w:lineRule="exact"/>
              <w:rPr>
                <w:sz w:val="20"/>
                <w:szCs w:val="20"/>
                <w:color w:val="auto"/>
              </w:rPr>
            </w:pPr>
            <w:r>
              <w:rPr>
                <w:rFonts w:ascii="Calibri" w:cs="Calibri" w:eastAsia="Calibri" w:hAnsi="Calibri"/>
                <w:sz w:val="17"/>
                <w:szCs w:val="17"/>
                <w:color w:val="auto"/>
              </w:rPr>
              <w:t>(3,316)</w:t>
            </w:r>
          </w:p>
        </w:tc>
        <w:tc>
          <w:tcPr>
            <w:tcW w:w="120" w:type="dxa"/>
            <w:vAlign w:val="bottom"/>
            <w:tcBorders>
              <w:bottom w:val="single" w:sz="8" w:color="E6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4"/>
              <w:spacing w:after="0" w:line="205" w:lineRule="exact"/>
              <w:rPr>
                <w:sz w:val="20"/>
                <w:szCs w:val="20"/>
                <w:color w:val="auto"/>
              </w:rPr>
            </w:pPr>
            <w:r>
              <w:rPr>
                <w:rFonts w:ascii="Calibri" w:cs="Calibri" w:eastAsia="Calibri" w:hAnsi="Calibri"/>
                <w:sz w:val="17"/>
                <w:szCs w:val="17"/>
                <w:color w:val="auto"/>
              </w:rPr>
              <w:t>(131)</w:t>
            </w:r>
          </w:p>
        </w:tc>
        <w:tc>
          <w:tcPr>
            <w:tcW w:w="120" w:type="dxa"/>
            <w:vAlign w:val="bottom"/>
            <w:tcBorders>
              <w:bottom w:val="single" w:sz="8" w:color="E6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E6EEFF"/>
            </w:tcBorders>
            <w:gridSpan w:val="2"/>
            <w:shd w:val="clear" w:color="auto" w:fill="E6EEFF"/>
          </w:tcPr>
          <w:p>
            <w:pPr>
              <w:spacing w:after="0"/>
              <w:rPr>
                <w:sz w:val="20"/>
                <w:szCs w:val="20"/>
                <w:color w:val="auto"/>
              </w:rPr>
            </w:pPr>
            <w:r>
              <w:rPr>
                <w:rFonts w:ascii="Calibri" w:cs="Calibri" w:eastAsia="Calibri" w:hAnsi="Calibri"/>
                <w:sz w:val="17"/>
                <w:szCs w:val="17"/>
                <w:b w:val="1"/>
                <w:bCs w:val="1"/>
                <w:color w:val="1C4787"/>
              </w:rPr>
              <w:t>Balance, December 31, 2023</w:t>
            </w:r>
          </w:p>
        </w:tc>
        <w:tc>
          <w:tcPr>
            <w:tcW w:w="1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80" w:type="dxa"/>
            <w:vAlign w:val="bottom"/>
            <w:tcBorders>
              <w:bottom w:val="single" w:sz="8" w:color="auto"/>
            </w:tcBorders>
            <w:shd w:val="clear" w:color="auto" w:fill="E6EEFF"/>
          </w:tcPr>
          <w:p>
            <w:pPr>
              <w:jc w:val="right"/>
              <w:ind w:right="94"/>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Borders>
              <w:bottom w:val="single" w:sz="8" w:color="E6EEFF"/>
            </w:tcBorders>
            <w:shd w:val="clear" w:color="auto" w:fill="E6EEFF"/>
          </w:tcPr>
          <w:p>
            <w:pPr>
              <w:spacing w:after="0"/>
              <w:rPr>
                <w:sz w:val="20"/>
                <w:szCs w:val="20"/>
                <w:color w:val="auto"/>
              </w:rPr>
            </w:pPr>
          </w:p>
        </w:tc>
        <w:tc>
          <w:tcPr>
            <w:tcW w:w="340" w:type="dxa"/>
            <w:vAlign w:val="bottom"/>
            <w:tcBorders>
              <w:bottom w:val="single" w:sz="8" w:color="auto"/>
            </w:tcBorders>
            <w:shd w:val="clear" w:color="auto" w:fill="E6EEFF"/>
          </w:tcPr>
          <w:p>
            <w:pPr>
              <w:jc w:val="right"/>
              <w:ind w:right="154"/>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bottom w:val="single" w:sz="8" w:color="auto"/>
            </w:tcBorders>
            <w:shd w:val="clear" w:color="auto" w:fill="E6EEFF"/>
          </w:tcPr>
          <w:p>
            <w:pPr>
              <w:jc w:val="right"/>
              <w:ind w:right="94"/>
              <w:spacing w:after="0" w:line="205" w:lineRule="exact"/>
              <w:rPr>
                <w:sz w:val="20"/>
                <w:szCs w:val="20"/>
                <w:color w:val="auto"/>
              </w:rPr>
            </w:pPr>
            <w:r>
              <w:rPr>
                <w:rFonts w:ascii="Calibri" w:cs="Calibri" w:eastAsia="Calibri" w:hAnsi="Calibri"/>
                <w:sz w:val="17"/>
                <w:szCs w:val="17"/>
                <w:color w:val="auto"/>
              </w:rPr>
              <w:t>11,159,754</w:t>
            </w:r>
          </w:p>
        </w:tc>
        <w:tc>
          <w:tcPr>
            <w:tcW w:w="120" w:type="dxa"/>
            <w:vAlign w:val="bottom"/>
            <w:tcBorders>
              <w:bottom w:val="single" w:sz="8" w:color="E6EEFF"/>
            </w:tcBorders>
            <w:shd w:val="clear" w:color="auto" w:fill="E6EEFF"/>
          </w:tcPr>
          <w:p>
            <w:pPr>
              <w:spacing w:after="0"/>
              <w:rPr>
                <w:sz w:val="20"/>
                <w:szCs w:val="20"/>
                <w:color w:val="auto"/>
              </w:rPr>
            </w:pPr>
          </w:p>
        </w:tc>
        <w:tc>
          <w:tcPr>
            <w:tcW w:w="200" w:type="dxa"/>
            <w:vAlign w:val="bottom"/>
            <w:tcBorders>
              <w:bottom w:val="single" w:sz="8" w:color="auto"/>
            </w:tcBorders>
            <w:shd w:val="clear" w:color="auto" w:fill="E6EEFF"/>
          </w:tcPr>
          <w:p>
            <w:pPr>
              <w:jc w:val="right"/>
              <w:ind w:right="39"/>
              <w:spacing w:after="0"/>
              <w:rPr>
                <w:sz w:val="20"/>
                <w:szCs w:val="20"/>
                <w:color w:val="auto"/>
              </w:rPr>
            </w:pPr>
            <w:r>
              <w:rPr>
                <w:rFonts w:ascii="Calibri" w:cs="Calibri" w:eastAsia="Calibri" w:hAnsi="Calibri"/>
                <w:sz w:val="16"/>
                <w:szCs w:val="16"/>
                <w:color w:val="auto"/>
                <w:w w:val="73"/>
              </w:rPr>
              <w:t>$</w:t>
            </w:r>
          </w:p>
        </w:tc>
        <w:tc>
          <w:tcPr>
            <w:tcW w:w="1420" w:type="dxa"/>
            <w:vAlign w:val="bottom"/>
            <w:tcBorders>
              <w:bottom w:val="single" w:sz="8" w:color="auto"/>
            </w:tcBorders>
            <w:shd w:val="clear" w:color="auto" w:fill="E6EEFF"/>
          </w:tcPr>
          <w:p>
            <w:pPr>
              <w:jc w:val="right"/>
              <w:ind w:right="94"/>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Borders>
              <w:bottom w:val="single" w:sz="8" w:color="E6EEFF"/>
            </w:tcBorders>
            <w:shd w:val="clear" w:color="auto" w:fill="E6EEFF"/>
          </w:tcPr>
          <w:p>
            <w:pPr>
              <w:spacing w:after="0"/>
              <w:rPr>
                <w:sz w:val="20"/>
                <w:szCs w:val="20"/>
                <w:color w:val="auto"/>
              </w:rPr>
            </w:pPr>
          </w:p>
        </w:tc>
        <w:tc>
          <w:tcPr>
            <w:tcW w:w="200" w:type="dxa"/>
            <w:vAlign w:val="bottom"/>
            <w:tcBorders>
              <w:bottom w:val="single" w:sz="8" w:color="auto"/>
            </w:tcBorders>
            <w:shd w:val="clear" w:color="auto" w:fill="E6EEFF"/>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(355,322)</w:t>
            </w:r>
          </w:p>
        </w:tc>
        <w:tc>
          <w:tcPr>
            <w:tcW w:w="0" w:type="dxa"/>
            <w:vAlign w:val="bottom"/>
          </w:tcPr>
          <w:p>
            <w:pPr>
              <w:spacing w:after="0"/>
              <w:rPr>
                <w:sz w:val="1"/>
                <w:szCs w:val="1"/>
                <w:color w:val="auto"/>
              </w:rPr>
            </w:pPr>
          </w:p>
        </w:tc>
      </w:tr>
      <w:tr>
        <w:trPr>
          <w:trHeight w:val="20"/>
        </w:trPr>
        <w:tc>
          <w:tcPr>
            <w:tcW w:w="4460" w:type="dxa"/>
            <w:vAlign w:val="bottom"/>
            <w:tcBorders>
              <w:top w:val="single" w:sz="8" w:color="E6EEFF"/>
            </w:tcBorders>
            <w:gridSpan w:val="2"/>
            <w:vMerge w:val="restart"/>
          </w:tcPr>
          <w:p>
            <w:pPr>
              <w:spacing w:after="0"/>
              <w:rPr>
                <w:sz w:val="20"/>
                <w:szCs w:val="20"/>
                <w:color w:val="auto"/>
              </w:rPr>
            </w:pPr>
            <w:r>
              <w:rPr>
                <w:rFonts w:ascii="Calibri" w:cs="Calibri" w:eastAsia="Calibri" w:hAnsi="Calibri"/>
                <w:sz w:val="17"/>
                <w:szCs w:val="17"/>
                <w:color w:val="auto"/>
              </w:rPr>
              <w:t>Percentage of Portolio</w:t>
            </w:r>
          </w:p>
        </w:tc>
        <w:tc>
          <w:tcPr>
            <w:tcW w:w="140" w:type="dxa"/>
            <w:vAlign w:val="bottom"/>
            <w:tcBorders>
              <w:top w:val="single" w:sz="8" w:color="E6EEFF"/>
            </w:tcBorders>
          </w:tcPr>
          <w:p>
            <w:pPr>
              <w:spacing w:after="0" w:line="20" w:lineRule="exact"/>
              <w:rPr>
                <w:sz w:val="1"/>
                <w:szCs w:val="1"/>
                <w:color w:val="auto"/>
              </w:rPr>
            </w:pPr>
          </w:p>
        </w:tc>
        <w:tc>
          <w:tcPr>
            <w:tcW w:w="1500" w:type="dxa"/>
            <w:vAlign w:val="bottom"/>
            <w:tcBorders>
              <w:top w:val="single" w:sz="8" w:color="E6EEFF"/>
            </w:tcBorders>
            <w:gridSpan w:val="2"/>
          </w:tcPr>
          <w:p>
            <w:pPr>
              <w:spacing w:after="0" w:line="20" w:lineRule="exact"/>
              <w:rPr>
                <w:sz w:val="1"/>
                <w:szCs w:val="1"/>
                <w:color w:val="auto"/>
              </w:rPr>
            </w:pPr>
          </w:p>
        </w:tc>
        <w:tc>
          <w:tcPr>
            <w:tcW w:w="340" w:type="dxa"/>
            <w:vAlign w:val="bottom"/>
            <w:tcBorders>
              <w:top w:val="single" w:sz="8" w:color="E6EEFF"/>
            </w:tcBorders>
          </w:tcPr>
          <w:p>
            <w:pPr>
              <w:spacing w:after="0" w:line="20" w:lineRule="exact"/>
              <w:rPr>
                <w:sz w:val="1"/>
                <w:szCs w:val="1"/>
                <w:color w:val="auto"/>
              </w:rPr>
            </w:pPr>
          </w:p>
        </w:tc>
        <w:tc>
          <w:tcPr>
            <w:tcW w:w="132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200" w:type="dxa"/>
            <w:vAlign w:val="bottom"/>
            <w:tcBorders>
              <w:top w:val="single" w:sz="8" w:color="E6EEFF"/>
            </w:tcBorders>
          </w:tcPr>
          <w:p>
            <w:pPr>
              <w:spacing w:after="0" w:line="20" w:lineRule="exact"/>
              <w:rPr>
                <w:sz w:val="1"/>
                <w:szCs w:val="1"/>
                <w:color w:val="auto"/>
              </w:rPr>
            </w:pPr>
          </w:p>
        </w:tc>
        <w:tc>
          <w:tcPr>
            <w:tcW w:w="1540" w:type="dxa"/>
            <w:vAlign w:val="bottom"/>
            <w:tcBorders>
              <w:top w:val="single" w:sz="8" w:color="E6EEFF"/>
            </w:tcBorders>
            <w:gridSpan w:val="2"/>
          </w:tcPr>
          <w:p>
            <w:pPr>
              <w:spacing w:after="0" w:line="20" w:lineRule="exact"/>
              <w:rPr>
                <w:sz w:val="1"/>
                <w:szCs w:val="1"/>
                <w:color w:val="auto"/>
              </w:rPr>
            </w:pPr>
          </w:p>
        </w:tc>
        <w:tc>
          <w:tcPr>
            <w:tcW w:w="200" w:type="dxa"/>
            <w:vAlign w:val="bottom"/>
            <w:tcBorders>
              <w:top w:val="single" w:sz="8" w:color="E6EEFF"/>
            </w:tcBorders>
          </w:tcPr>
          <w:p>
            <w:pPr>
              <w:spacing w:after="0" w:line="20" w:lineRule="exact"/>
              <w:rPr>
                <w:sz w:val="1"/>
                <w:szCs w:val="1"/>
                <w:color w:val="auto"/>
              </w:rPr>
            </w:pPr>
          </w:p>
        </w:tc>
        <w:tc>
          <w:tcPr>
            <w:tcW w:w="1320" w:type="dxa"/>
            <w:vAlign w:val="bottom"/>
            <w:tcBorders>
              <w:top w:val="single" w:sz="8" w:color="E6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60" w:type="dxa"/>
            <w:vAlign w:val="bottom"/>
            <w:tcBorders>
              <w:top w:val="single" w:sz="8" w:color="E6EEFF"/>
            </w:tcBorders>
            <w:gridSpan w:val="2"/>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7"/>
                <w:szCs w:val="17"/>
                <w:color w:val="auto"/>
              </w:rPr>
              <w:t>— %</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7"/>
                <w:szCs w:val="17"/>
                <w:color w:val="auto"/>
              </w:rPr>
              <w:t>100.00 %</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line="184" w:lineRule="exact"/>
              <w:rPr>
                <w:sz w:val="20"/>
                <w:szCs w:val="20"/>
                <w:color w:val="auto"/>
              </w:rPr>
            </w:pPr>
            <w:r>
              <w:rPr>
                <w:rFonts w:ascii="Calibri" w:cs="Calibri" w:eastAsia="Calibri" w:hAnsi="Calibri"/>
                <w:sz w:val="17"/>
                <w:szCs w:val="17"/>
                <w:color w:val="auto"/>
              </w:rPr>
              <w:t>— %</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360" w:type="dxa"/>
            <w:vAlign w:val="bottom"/>
            <w:tcBorders>
              <w:bottom w:val="single" w:sz="8" w:color="auto"/>
            </w:tcBorders>
            <w:shd w:val="clear" w:color="auto" w:fill="E6EEFF"/>
          </w:tcPr>
          <w:p>
            <w:pPr>
              <w:spacing w:after="0"/>
              <w:rPr>
                <w:sz w:val="23"/>
                <w:szCs w:val="23"/>
                <w:color w:val="auto"/>
              </w:rPr>
            </w:pPr>
          </w:p>
        </w:tc>
        <w:tc>
          <w:tcPr>
            <w:tcW w:w="100" w:type="dxa"/>
            <w:vAlign w:val="bottom"/>
            <w:shd w:val="clear" w:color="auto" w:fill="E6EEFF"/>
          </w:tcPr>
          <w:p>
            <w:pPr>
              <w:spacing w:after="0"/>
              <w:rPr>
                <w:sz w:val="23"/>
                <w:szCs w:val="23"/>
                <w:color w:val="auto"/>
              </w:rPr>
            </w:pPr>
          </w:p>
        </w:tc>
        <w:tc>
          <w:tcPr>
            <w:tcW w:w="140" w:type="dxa"/>
            <w:vAlign w:val="bottom"/>
            <w:shd w:val="clear" w:color="auto" w:fill="E6EEFF"/>
          </w:tcPr>
          <w:p>
            <w:pPr>
              <w:spacing w:after="0"/>
              <w:rPr>
                <w:sz w:val="23"/>
                <w:szCs w:val="23"/>
                <w:color w:val="auto"/>
              </w:rPr>
            </w:pPr>
          </w:p>
        </w:tc>
        <w:tc>
          <w:tcPr>
            <w:tcW w:w="1380" w:type="dxa"/>
            <w:vAlign w:val="bottom"/>
            <w:shd w:val="clear" w:color="auto" w:fill="E6EEFF"/>
          </w:tcPr>
          <w:p>
            <w:pPr>
              <w:spacing w:after="0"/>
              <w:rPr>
                <w:sz w:val="23"/>
                <w:szCs w:val="23"/>
                <w:color w:val="auto"/>
              </w:rPr>
            </w:pPr>
          </w:p>
        </w:tc>
        <w:tc>
          <w:tcPr>
            <w:tcW w:w="120" w:type="dxa"/>
            <w:vAlign w:val="bottom"/>
            <w:shd w:val="clear" w:color="auto" w:fill="E6EEFF"/>
          </w:tcPr>
          <w:p>
            <w:pPr>
              <w:spacing w:after="0"/>
              <w:rPr>
                <w:sz w:val="23"/>
                <w:szCs w:val="23"/>
                <w:color w:val="auto"/>
              </w:rPr>
            </w:pPr>
          </w:p>
        </w:tc>
        <w:tc>
          <w:tcPr>
            <w:tcW w:w="340" w:type="dxa"/>
            <w:vAlign w:val="bottom"/>
            <w:shd w:val="clear" w:color="auto" w:fill="E6EEFF"/>
          </w:tcPr>
          <w:p>
            <w:pPr>
              <w:spacing w:after="0"/>
              <w:rPr>
                <w:sz w:val="23"/>
                <w:szCs w:val="23"/>
                <w:color w:val="auto"/>
              </w:rPr>
            </w:pPr>
          </w:p>
        </w:tc>
        <w:tc>
          <w:tcPr>
            <w:tcW w:w="1320" w:type="dxa"/>
            <w:vAlign w:val="bottom"/>
            <w:shd w:val="clear" w:color="auto" w:fill="E6EEFF"/>
          </w:tcPr>
          <w:p>
            <w:pPr>
              <w:spacing w:after="0"/>
              <w:rPr>
                <w:sz w:val="23"/>
                <w:szCs w:val="23"/>
                <w:color w:val="auto"/>
              </w:rPr>
            </w:pPr>
          </w:p>
        </w:tc>
        <w:tc>
          <w:tcPr>
            <w:tcW w:w="120" w:type="dxa"/>
            <w:vAlign w:val="bottom"/>
            <w:shd w:val="clear" w:color="auto" w:fill="E6EEFF"/>
          </w:tcPr>
          <w:p>
            <w:pPr>
              <w:spacing w:after="0"/>
              <w:rPr>
                <w:sz w:val="23"/>
                <w:szCs w:val="23"/>
                <w:color w:val="auto"/>
              </w:rPr>
            </w:pPr>
          </w:p>
        </w:tc>
        <w:tc>
          <w:tcPr>
            <w:tcW w:w="200" w:type="dxa"/>
            <w:vAlign w:val="bottom"/>
            <w:shd w:val="clear" w:color="auto" w:fill="E6EEFF"/>
          </w:tcPr>
          <w:p>
            <w:pPr>
              <w:spacing w:after="0"/>
              <w:rPr>
                <w:sz w:val="23"/>
                <w:szCs w:val="23"/>
                <w:color w:val="auto"/>
              </w:rPr>
            </w:pPr>
          </w:p>
        </w:tc>
        <w:tc>
          <w:tcPr>
            <w:tcW w:w="1420" w:type="dxa"/>
            <w:vAlign w:val="bottom"/>
            <w:shd w:val="clear" w:color="auto" w:fill="E6EEFF"/>
          </w:tcPr>
          <w:p>
            <w:pPr>
              <w:spacing w:after="0"/>
              <w:rPr>
                <w:sz w:val="23"/>
                <w:szCs w:val="23"/>
                <w:color w:val="auto"/>
              </w:rPr>
            </w:pPr>
          </w:p>
        </w:tc>
        <w:tc>
          <w:tcPr>
            <w:tcW w:w="120" w:type="dxa"/>
            <w:vAlign w:val="bottom"/>
            <w:shd w:val="clear" w:color="auto" w:fill="E6EEFF"/>
          </w:tcPr>
          <w:p>
            <w:pPr>
              <w:spacing w:after="0"/>
              <w:rPr>
                <w:sz w:val="23"/>
                <w:szCs w:val="23"/>
                <w:color w:val="auto"/>
              </w:rPr>
            </w:pPr>
          </w:p>
        </w:tc>
        <w:tc>
          <w:tcPr>
            <w:tcW w:w="200" w:type="dxa"/>
            <w:vAlign w:val="bottom"/>
            <w:shd w:val="clear" w:color="auto" w:fill="E6EEFF"/>
          </w:tcPr>
          <w:p>
            <w:pPr>
              <w:spacing w:after="0"/>
              <w:rPr>
                <w:sz w:val="23"/>
                <w:szCs w:val="23"/>
                <w:color w:val="auto"/>
              </w:rPr>
            </w:pPr>
          </w:p>
        </w:tc>
        <w:tc>
          <w:tcPr>
            <w:tcW w:w="1320" w:type="dxa"/>
            <w:vAlign w:val="bottom"/>
            <w:shd w:val="clear" w:color="auto" w:fill="E6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360" w:type="dxa"/>
            <w:vAlign w:val="bottom"/>
            <w:tcBorders>
              <w:bottom w:val="single" w:sz="8" w:color="auto"/>
            </w:tcBorders>
          </w:tcPr>
          <w:p>
            <w:pPr>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00" w:type="dxa"/>
            <w:vAlign w:val="bottom"/>
            <w:tcBorders>
              <w:bottom w:val="single" w:sz="8" w:color="E6EEFF"/>
            </w:tcBorders>
          </w:tcPr>
          <w:p>
            <w:pPr>
              <w:spacing w:after="0"/>
              <w:rPr>
                <w:sz w:val="17"/>
                <w:szCs w:val="17"/>
                <w:color w:val="auto"/>
              </w:rPr>
            </w:pPr>
          </w:p>
        </w:tc>
        <w:tc>
          <w:tcPr>
            <w:tcW w:w="140" w:type="dxa"/>
            <w:vAlign w:val="bottom"/>
            <w:tcBorders>
              <w:bottom w:val="single" w:sz="8" w:color="E6EEFF"/>
            </w:tcBorders>
          </w:tcPr>
          <w:p>
            <w:pPr>
              <w:spacing w:after="0"/>
              <w:rPr>
                <w:sz w:val="17"/>
                <w:szCs w:val="17"/>
                <w:color w:val="auto"/>
              </w:rPr>
            </w:pPr>
          </w:p>
        </w:tc>
        <w:tc>
          <w:tcPr>
            <w:tcW w:w="1380" w:type="dxa"/>
            <w:vAlign w:val="bottom"/>
            <w:tcBorders>
              <w:bottom w:val="single" w:sz="8" w:color="E6EEFF"/>
            </w:tcBorders>
          </w:tcPr>
          <w:p>
            <w:pPr>
              <w:spacing w:after="0"/>
              <w:rPr>
                <w:sz w:val="17"/>
                <w:szCs w:val="17"/>
                <w:color w:val="auto"/>
              </w:rPr>
            </w:pPr>
          </w:p>
        </w:tc>
        <w:tc>
          <w:tcPr>
            <w:tcW w:w="120" w:type="dxa"/>
            <w:vAlign w:val="bottom"/>
            <w:tcBorders>
              <w:bottom w:val="single" w:sz="8" w:color="E6EEFF"/>
            </w:tcBorders>
          </w:tcPr>
          <w:p>
            <w:pPr>
              <w:spacing w:after="0"/>
              <w:rPr>
                <w:sz w:val="17"/>
                <w:szCs w:val="17"/>
                <w:color w:val="auto"/>
              </w:rPr>
            </w:pPr>
          </w:p>
        </w:tc>
        <w:tc>
          <w:tcPr>
            <w:tcW w:w="340" w:type="dxa"/>
            <w:vAlign w:val="bottom"/>
            <w:tcBorders>
              <w:bottom w:val="single" w:sz="8" w:color="E6EEFF"/>
            </w:tcBorders>
          </w:tcPr>
          <w:p>
            <w:pPr>
              <w:spacing w:after="0"/>
              <w:rPr>
                <w:sz w:val="17"/>
                <w:szCs w:val="17"/>
                <w:color w:val="auto"/>
              </w:rPr>
            </w:pPr>
          </w:p>
        </w:tc>
        <w:tc>
          <w:tcPr>
            <w:tcW w:w="1320" w:type="dxa"/>
            <w:vAlign w:val="bottom"/>
            <w:tcBorders>
              <w:bottom w:val="single" w:sz="8" w:color="E6EEFF"/>
            </w:tcBorders>
          </w:tcPr>
          <w:p>
            <w:pPr>
              <w:spacing w:after="0"/>
              <w:rPr>
                <w:sz w:val="17"/>
                <w:szCs w:val="17"/>
                <w:color w:val="auto"/>
              </w:rPr>
            </w:pPr>
          </w:p>
        </w:tc>
        <w:tc>
          <w:tcPr>
            <w:tcW w:w="120" w:type="dxa"/>
            <w:vAlign w:val="bottom"/>
            <w:tcBorders>
              <w:bottom w:val="single" w:sz="8" w:color="E6EEFF"/>
            </w:tcBorders>
          </w:tcPr>
          <w:p>
            <w:pPr>
              <w:spacing w:after="0"/>
              <w:rPr>
                <w:sz w:val="17"/>
                <w:szCs w:val="17"/>
                <w:color w:val="auto"/>
              </w:rPr>
            </w:pPr>
          </w:p>
        </w:tc>
        <w:tc>
          <w:tcPr>
            <w:tcW w:w="200" w:type="dxa"/>
            <w:vAlign w:val="bottom"/>
            <w:tcBorders>
              <w:bottom w:val="single" w:sz="8" w:color="E6EEFF"/>
            </w:tcBorders>
          </w:tcPr>
          <w:p>
            <w:pPr>
              <w:spacing w:after="0"/>
              <w:rPr>
                <w:sz w:val="17"/>
                <w:szCs w:val="17"/>
                <w:color w:val="auto"/>
              </w:rPr>
            </w:pPr>
          </w:p>
        </w:tc>
        <w:tc>
          <w:tcPr>
            <w:tcW w:w="1420" w:type="dxa"/>
            <w:vAlign w:val="bottom"/>
            <w:tcBorders>
              <w:bottom w:val="single" w:sz="8" w:color="E6EEFF"/>
            </w:tcBorders>
          </w:tcPr>
          <w:p>
            <w:pPr>
              <w:spacing w:after="0"/>
              <w:rPr>
                <w:sz w:val="17"/>
                <w:szCs w:val="17"/>
                <w:color w:val="auto"/>
              </w:rPr>
            </w:pPr>
          </w:p>
        </w:tc>
        <w:tc>
          <w:tcPr>
            <w:tcW w:w="120" w:type="dxa"/>
            <w:vAlign w:val="bottom"/>
            <w:tcBorders>
              <w:bottom w:val="single" w:sz="8" w:color="E6EEFF"/>
            </w:tcBorders>
          </w:tcPr>
          <w:p>
            <w:pPr>
              <w:spacing w:after="0"/>
              <w:rPr>
                <w:sz w:val="17"/>
                <w:szCs w:val="17"/>
                <w:color w:val="auto"/>
              </w:rPr>
            </w:pPr>
          </w:p>
        </w:tc>
        <w:tc>
          <w:tcPr>
            <w:tcW w:w="200" w:type="dxa"/>
            <w:vAlign w:val="bottom"/>
            <w:tcBorders>
              <w:bottom w:val="single" w:sz="8" w:color="E6EEFF"/>
            </w:tcBorders>
          </w:tcPr>
          <w:p>
            <w:pPr>
              <w:spacing w:after="0"/>
              <w:rPr>
                <w:sz w:val="17"/>
                <w:szCs w:val="17"/>
                <w:color w:val="auto"/>
              </w:rPr>
            </w:pPr>
          </w:p>
        </w:tc>
        <w:tc>
          <w:tcPr>
            <w:tcW w:w="1320" w:type="dxa"/>
            <w:vAlign w:val="bottom"/>
            <w:tcBorders>
              <w:bottom w:val="single" w:sz="8" w:color="E6EEFF"/>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E6EEFF"/>
          </w:tcPr>
          <w:p>
            <w:pPr>
              <w:spacing w:after="0" w:line="205" w:lineRule="exact"/>
              <w:rPr>
                <w:sz w:val="20"/>
                <w:szCs w:val="20"/>
                <w:color w:val="auto"/>
              </w:rPr>
            </w:pPr>
            <w:r>
              <w:rPr>
                <w:rFonts w:ascii="Calibri" w:cs="Calibri" w:eastAsia="Calibri" w:hAnsi="Calibri"/>
                <w:sz w:val="17"/>
                <w:szCs w:val="17"/>
                <w:b w:val="1"/>
                <w:bCs w:val="1"/>
                <w:color w:val="1C4787"/>
              </w:rPr>
              <w:t>Balance, December 31, 2021</w:t>
            </w:r>
          </w:p>
        </w:tc>
        <w:tc>
          <w:tcPr>
            <w:tcW w:w="100" w:type="dxa"/>
            <w:vAlign w:val="bottom"/>
            <w:shd w:val="clear" w:color="auto" w:fill="E6EEFF"/>
          </w:tcPr>
          <w:p>
            <w:pPr>
              <w:spacing w:after="0"/>
              <w:rPr>
                <w:sz w:val="19"/>
                <w:szCs w:val="19"/>
                <w:color w:val="auto"/>
              </w:rPr>
            </w:pPr>
          </w:p>
        </w:tc>
        <w:tc>
          <w:tcPr>
            <w:tcW w:w="140" w:type="dxa"/>
            <w:vAlign w:val="bottom"/>
            <w:shd w:val="clear" w:color="auto" w:fill="E6EEFF"/>
          </w:tcPr>
          <w:p>
            <w:pPr>
              <w:jc w:val="right"/>
              <w:spacing w:after="0" w:line="197" w:lineRule="exact"/>
              <w:rPr>
                <w:sz w:val="20"/>
                <w:szCs w:val="20"/>
                <w:color w:val="auto"/>
              </w:rPr>
            </w:pPr>
            <w:r>
              <w:rPr>
                <w:rFonts w:ascii="Calibri" w:cs="Calibri" w:eastAsia="Calibri" w:hAnsi="Calibri"/>
                <w:sz w:val="17"/>
                <w:szCs w:val="17"/>
                <w:color w:val="auto"/>
                <w:w w:val="92"/>
              </w:rPr>
              <w:t>$</w:t>
            </w:r>
          </w:p>
        </w:tc>
        <w:tc>
          <w:tcPr>
            <w:tcW w:w="1380" w:type="dxa"/>
            <w:vAlign w:val="bottom"/>
            <w:shd w:val="clear" w:color="auto" w:fill="E6EEFF"/>
          </w:tcPr>
          <w:p>
            <w:pPr>
              <w:jc w:val="right"/>
              <w:ind w:right="94"/>
              <w:spacing w:after="0" w:line="197" w:lineRule="exact"/>
              <w:rPr>
                <w:sz w:val="20"/>
                <w:szCs w:val="20"/>
                <w:color w:val="auto"/>
              </w:rPr>
            </w:pPr>
            <w:r>
              <w:rPr>
                <w:rFonts w:ascii="Calibri" w:cs="Calibri" w:eastAsia="Calibri" w:hAnsi="Calibri"/>
                <w:sz w:val="17"/>
                <w:szCs w:val="17"/>
                <w:color w:val="auto"/>
              </w:rPr>
              <w:t>1,387,845</w:t>
            </w:r>
          </w:p>
        </w:tc>
        <w:tc>
          <w:tcPr>
            <w:tcW w:w="120" w:type="dxa"/>
            <w:vAlign w:val="bottom"/>
            <w:shd w:val="clear" w:color="auto" w:fill="E6EEFF"/>
          </w:tcPr>
          <w:p>
            <w:pPr>
              <w:spacing w:after="0"/>
              <w:rPr>
                <w:sz w:val="19"/>
                <w:szCs w:val="19"/>
                <w:color w:val="auto"/>
              </w:rPr>
            </w:pPr>
          </w:p>
        </w:tc>
        <w:tc>
          <w:tcPr>
            <w:tcW w:w="340" w:type="dxa"/>
            <w:vAlign w:val="bottom"/>
            <w:shd w:val="clear" w:color="auto" w:fill="E6EEFF"/>
          </w:tcPr>
          <w:p>
            <w:pPr>
              <w:jc w:val="right"/>
              <w:ind w:right="154"/>
              <w:spacing w:after="0" w:line="197" w:lineRule="exact"/>
              <w:rPr>
                <w:sz w:val="20"/>
                <w:szCs w:val="20"/>
                <w:color w:val="auto"/>
              </w:rPr>
            </w:pPr>
            <w:r>
              <w:rPr>
                <w:rFonts w:ascii="Calibri" w:cs="Calibri" w:eastAsia="Calibri" w:hAnsi="Calibri"/>
                <w:sz w:val="17"/>
                <w:szCs w:val="17"/>
                <w:color w:val="auto"/>
                <w:w w:val="92"/>
              </w:rPr>
              <w:t>$</w:t>
            </w:r>
          </w:p>
        </w:tc>
        <w:tc>
          <w:tcPr>
            <w:tcW w:w="1320" w:type="dxa"/>
            <w:vAlign w:val="bottom"/>
            <w:shd w:val="clear" w:color="auto" w:fill="E6EEFF"/>
          </w:tcPr>
          <w:p>
            <w:pPr>
              <w:jc w:val="right"/>
              <w:ind w:right="94"/>
              <w:spacing w:after="0" w:line="197" w:lineRule="exact"/>
              <w:rPr>
                <w:sz w:val="20"/>
                <w:szCs w:val="20"/>
                <w:color w:val="auto"/>
              </w:rPr>
            </w:pPr>
            <w:r>
              <w:rPr>
                <w:rFonts w:ascii="Calibri" w:cs="Calibri" w:eastAsia="Calibri" w:hAnsi="Calibri"/>
                <w:sz w:val="17"/>
                <w:szCs w:val="17"/>
                <w:color w:val="auto"/>
              </w:rPr>
              <w:t>3,018,676</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jc w:val="right"/>
              <w:ind w:right="39"/>
              <w:spacing w:after="0"/>
              <w:rPr>
                <w:sz w:val="20"/>
                <w:szCs w:val="20"/>
                <w:color w:val="auto"/>
              </w:rPr>
            </w:pPr>
            <w:r>
              <w:rPr>
                <w:rFonts w:ascii="Calibri" w:cs="Calibri" w:eastAsia="Calibri" w:hAnsi="Calibri"/>
                <w:sz w:val="16"/>
                <w:szCs w:val="16"/>
                <w:color w:val="auto"/>
                <w:w w:val="73"/>
              </w:rPr>
              <w:t>$</w:t>
            </w:r>
          </w:p>
        </w:tc>
        <w:tc>
          <w:tcPr>
            <w:tcW w:w="1420" w:type="dxa"/>
            <w:vAlign w:val="bottom"/>
            <w:shd w:val="clear" w:color="auto" w:fill="E6EEFF"/>
          </w:tcPr>
          <w:p>
            <w:pPr>
              <w:jc w:val="right"/>
              <w:ind w:right="94"/>
              <w:spacing w:after="0" w:line="197" w:lineRule="exact"/>
              <w:rPr>
                <w:sz w:val="20"/>
                <w:szCs w:val="20"/>
                <w:color w:val="auto"/>
              </w:rPr>
            </w:pPr>
            <w:r>
              <w:rPr>
                <w:rFonts w:ascii="Calibri" w:cs="Calibri" w:eastAsia="Calibri" w:hAnsi="Calibri"/>
                <w:sz w:val="17"/>
                <w:szCs w:val="17"/>
                <w:color w:val="auto"/>
              </w:rPr>
              <w:t>198,833</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jc w:val="right"/>
              <w:ind w:right="14"/>
              <w:spacing w:after="0" w:line="197" w:lineRule="exact"/>
              <w:rPr>
                <w:sz w:val="20"/>
                <w:szCs w:val="20"/>
                <w:color w:val="auto"/>
              </w:rPr>
            </w:pPr>
            <w:r>
              <w:rPr>
                <w:rFonts w:ascii="Calibri" w:cs="Calibri" w:eastAsia="Calibri" w:hAnsi="Calibri"/>
                <w:sz w:val="17"/>
                <w:szCs w:val="17"/>
                <w:color w:val="auto"/>
                <w:w w:val="92"/>
              </w:rPr>
              <w:t>$</w:t>
            </w:r>
          </w:p>
        </w:tc>
        <w:tc>
          <w:tcPr>
            <w:tcW w:w="1320" w:type="dxa"/>
            <w:vAlign w:val="bottom"/>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19"/>
        </w:trPr>
        <w:tc>
          <w:tcPr>
            <w:tcW w:w="4460" w:type="dxa"/>
            <w:vAlign w:val="bottom"/>
            <w:gridSpan w:val="2"/>
          </w:tcPr>
          <w:p>
            <w:pPr>
              <w:ind w:left="120"/>
              <w:spacing w:after="0" w:line="219" w:lineRule="exact"/>
              <w:rPr>
                <w:sz w:val="20"/>
                <w:szCs w:val="20"/>
                <w:color w:val="auto"/>
              </w:rPr>
            </w:pPr>
            <w:r>
              <w:rPr>
                <w:rFonts w:ascii="Calibri" w:cs="Calibri" w:eastAsia="Calibri" w:hAnsi="Calibri"/>
                <w:sz w:val="17"/>
                <w:szCs w:val="17"/>
                <w:color w:val="auto"/>
              </w:rPr>
              <w:t xml:space="preserve">Purchases </w:t>
            </w:r>
            <w:r>
              <w:rPr>
                <w:rFonts w:ascii="Calibri" w:cs="Calibri" w:eastAsia="Calibri" w:hAnsi="Calibri"/>
                <w:sz w:val="22"/>
                <w:szCs w:val="22"/>
                <w:color w:val="auto"/>
                <w:vertAlign w:val="superscript"/>
              </w:rPr>
              <w:t>(1)</w:t>
            </w:r>
          </w:p>
        </w:tc>
        <w:tc>
          <w:tcPr>
            <w:tcW w:w="140" w:type="dxa"/>
            <w:vAlign w:val="bottom"/>
          </w:tcPr>
          <w:p>
            <w:pPr>
              <w:spacing w:after="0"/>
              <w:rPr>
                <w:sz w:val="19"/>
                <w:szCs w:val="19"/>
                <w:color w:val="auto"/>
              </w:rPr>
            </w:pPr>
          </w:p>
        </w:tc>
        <w:tc>
          <w:tcPr>
            <w:tcW w:w="1500" w:type="dxa"/>
            <w:vAlign w:val="bottom"/>
            <w:gridSpan w:val="2"/>
          </w:tcPr>
          <w:p>
            <w:pPr>
              <w:jc w:val="right"/>
              <w:ind w:right="30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Pr>
          <w:p>
            <w:pPr>
              <w:spacing w:after="0"/>
              <w:rPr>
                <w:sz w:val="19"/>
                <w:szCs w:val="19"/>
                <w:color w:val="auto"/>
              </w:rPr>
            </w:pPr>
          </w:p>
        </w:tc>
        <w:tc>
          <w:tcPr>
            <w:tcW w:w="1320" w:type="dxa"/>
            <w:vAlign w:val="bottom"/>
          </w:tcPr>
          <w:p>
            <w:pPr>
              <w:jc w:val="right"/>
              <w:ind w:right="94"/>
              <w:spacing w:after="0" w:line="205" w:lineRule="exact"/>
              <w:rPr>
                <w:sz w:val="20"/>
                <w:szCs w:val="20"/>
                <w:color w:val="auto"/>
              </w:rPr>
            </w:pPr>
            <w:r>
              <w:rPr>
                <w:rFonts w:ascii="Calibri" w:cs="Calibri" w:eastAsia="Calibri" w:hAnsi="Calibri"/>
                <w:sz w:val="17"/>
                <w:szCs w:val="17"/>
                <w:color w:val="auto"/>
              </w:rPr>
              <w:t>11,809,926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94"/>
              <w:spacing w:after="0" w:line="205" w:lineRule="exact"/>
              <w:rPr>
                <w:sz w:val="20"/>
                <w:szCs w:val="20"/>
                <w:color w:val="auto"/>
              </w:rPr>
            </w:pPr>
            <w:r>
              <w:rPr>
                <w:rFonts w:ascii="Calibri" w:cs="Calibri" w:eastAsia="Calibri" w:hAnsi="Calibri"/>
                <w:sz w:val="17"/>
                <w:szCs w:val="17"/>
                <w:color w:val="auto"/>
              </w:rPr>
              <w:t>4,820,464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19"/>
        </w:trPr>
        <w:tc>
          <w:tcPr>
            <w:tcW w:w="4460" w:type="dxa"/>
            <w:vAlign w:val="bottom"/>
            <w:gridSpan w:val="2"/>
            <w:shd w:val="clear" w:color="auto" w:fill="E6EEFF"/>
          </w:tcPr>
          <w:p>
            <w:pPr>
              <w:ind w:left="120"/>
              <w:spacing w:after="0" w:line="205" w:lineRule="exact"/>
              <w:rPr>
                <w:sz w:val="20"/>
                <w:szCs w:val="20"/>
                <w:color w:val="auto"/>
              </w:rPr>
            </w:pPr>
            <w:r>
              <w:rPr>
                <w:rFonts w:ascii="Calibri" w:cs="Calibri" w:eastAsia="Calibri" w:hAnsi="Calibri"/>
                <w:sz w:val="17"/>
                <w:szCs w:val="17"/>
                <w:color w:val="auto"/>
              </w:rPr>
              <w:t>Proceeds from sales</w:t>
            </w:r>
          </w:p>
        </w:tc>
        <w:tc>
          <w:tcPr>
            <w:tcW w:w="140" w:type="dxa"/>
            <w:vAlign w:val="bottom"/>
            <w:shd w:val="clear" w:color="auto" w:fill="E6EEFF"/>
          </w:tcPr>
          <w:p>
            <w:pPr>
              <w:spacing w:after="0"/>
              <w:rPr>
                <w:sz w:val="19"/>
                <w:szCs w:val="19"/>
                <w:color w:val="auto"/>
              </w:rPr>
            </w:pPr>
          </w:p>
        </w:tc>
        <w:tc>
          <w:tcPr>
            <w:tcW w:w="1380" w:type="dxa"/>
            <w:vAlign w:val="bottom"/>
            <w:shd w:val="clear" w:color="auto" w:fill="E6EEFF"/>
          </w:tcPr>
          <w:p>
            <w:pPr>
              <w:jc w:val="right"/>
              <w:ind w:right="54"/>
              <w:spacing w:after="0" w:line="205" w:lineRule="exact"/>
              <w:rPr>
                <w:sz w:val="20"/>
                <w:szCs w:val="20"/>
                <w:color w:val="auto"/>
              </w:rPr>
            </w:pPr>
            <w:r>
              <w:rPr>
                <w:rFonts w:ascii="Calibri" w:cs="Calibri" w:eastAsia="Calibri" w:hAnsi="Calibri"/>
                <w:sz w:val="17"/>
                <w:szCs w:val="17"/>
                <w:color w:val="auto"/>
              </w:rPr>
              <w:t>(988,728)</w:t>
            </w:r>
          </w:p>
        </w:tc>
        <w:tc>
          <w:tcPr>
            <w:tcW w:w="120" w:type="dxa"/>
            <w:vAlign w:val="bottom"/>
            <w:shd w:val="clear" w:color="auto" w:fill="E6EEFF"/>
          </w:tcPr>
          <w:p>
            <w:pPr>
              <w:spacing w:after="0"/>
              <w:rPr>
                <w:sz w:val="19"/>
                <w:szCs w:val="19"/>
                <w:color w:val="auto"/>
              </w:rPr>
            </w:pPr>
          </w:p>
        </w:tc>
        <w:tc>
          <w:tcPr>
            <w:tcW w:w="340" w:type="dxa"/>
            <w:vAlign w:val="bottom"/>
            <w:shd w:val="clear" w:color="auto" w:fill="E6EEFF"/>
          </w:tcPr>
          <w:p>
            <w:pPr>
              <w:spacing w:after="0"/>
              <w:rPr>
                <w:sz w:val="19"/>
                <w:szCs w:val="19"/>
                <w:color w:val="auto"/>
              </w:rPr>
            </w:pPr>
          </w:p>
        </w:tc>
        <w:tc>
          <w:tcPr>
            <w:tcW w:w="1320" w:type="dxa"/>
            <w:vAlign w:val="bottom"/>
            <w:shd w:val="clear" w:color="auto" w:fill="E6EEFF"/>
          </w:tcPr>
          <w:p>
            <w:pPr>
              <w:jc w:val="right"/>
              <w:ind w:right="74"/>
              <w:spacing w:after="0" w:line="205" w:lineRule="exact"/>
              <w:rPr>
                <w:sz w:val="20"/>
                <w:szCs w:val="20"/>
                <w:color w:val="auto"/>
              </w:rPr>
            </w:pPr>
            <w:r>
              <w:rPr>
                <w:rFonts w:ascii="Calibri" w:cs="Calibri" w:eastAsia="Calibri" w:hAnsi="Calibri"/>
                <w:sz w:val="17"/>
                <w:szCs w:val="17"/>
                <w:color w:val="auto"/>
              </w:rPr>
              <w:t>(5,360,328)</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420" w:type="dxa"/>
            <w:vAlign w:val="bottom"/>
            <w:shd w:val="clear" w:color="auto" w:fill="E6EEFF"/>
          </w:tcPr>
          <w:p>
            <w:pPr>
              <w:jc w:val="right"/>
              <w:ind w:right="54"/>
              <w:spacing w:after="0" w:line="205" w:lineRule="exact"/>
              <w:rPr>
                <w:sz w:val="20"/>
                <w:szCs w:val="20"/>
                <w:color w:val="auto"/>
              </w:rPr>
            </w:pPr>
            <w:r>
              <w:rPr>
                <w:rFonts w:ascii="Calibri" w:cs="Calibri" w:eastAsia="Calibri" w:hAnsi="Calibri"/>
                <w:sz w:val="17"/>
                <w:szCs w:val="17"/>
                <w:color w:val="auto"/>
              </w:rPr>
              <w:t>(4,876,767)</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32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(494,797)</w:t>
            </w:r>
          </w:p>
        </w:tc>
        <w:tc>
          <w:tcPr>
            <w:tcW w:w="0" w:type="dxa"/>
            <w:vAlign w:val="bottom"/>
          </w:tcPr>
          <w:p>
            <w:pPr>
              <w:spacing w:after="0"/>
              <w:rPr>
                <w:sz w:val="1"/>
                <w:szCs w:val="1"/>
                <w:color w:val="auto"/>
              </w:rPr>
            </w:pPr>
          </w:p>
        </w:tc>
      </w:tr>
      <w:tr>
        <w:trPr>
          <w:trHeight w:val="212"/>
        </w:trPr>
        <w:tc>
          <w:tcPr>
            <w:tcW w:w="4460" w:type="dxa"/>
            <w:vAlign w:val="bottom"/>
            <w:gridSpan w:val="2"/>
          </w:tcPr>
          <w:p>
            <w:pPr>
              <w:ind w:left="120"/>
              <w:spacing w:after="0" w:line="205" w:lineRule="exact"/>
              <w:rPr>
                <w:sz w:val="20"/>
                <w:szCs w:val="20"/>
                <w:color w:val="auto"/>
              </w:rPr>
            </w:pPr>
            <w:r>
              <w:rPr>
                <w:rFonts w:ascii="Calibri" w:cs="Calibri" w:eastAsia="Calibri" w:hAnsi="Calibri"/>
                <w:sz w:val="17"/>
                <w:szCs w:val="17"/>
                <w:color w:val="auto"/>
              </w:rPr>
              <w:t>Principal repayments</w:t>
            </w:r>
          </w:p>
        </w:tc>
        <w:tc>
          <w:tcPr>
            <w:tcW w:w="140" w:type="dxa"/>
            <w:vAlign w:val="bottom"/>
          </w:tcPr>
          <w:p>
            <w:pPr>
              <w:spacing w:after="0"/>
              <w:rPr>
                <w:sz w:val="18"/>
                <w:szCs w:val="18"/>
                <w:color w:val="auto"/>
              </w:rPr>
            </w:pPr>
          </w:p>
        </w:tc>
        <w:tc>
          <w:tcPr>
            <w:tcW w:w="1380" w:type="dxa"/>
            <w:vAlign w:val="bottom"/>
          </w:tcPr>
          <w:p>
            <w:pPr>
              <w:jc w:val="right"/>
              <w:ind w:right="54"/>
              <w:spacing w:after="0" w:line="205" w:lineRule="exact"/>
              <w:rPr>
                <w:sz w:val="20"/>
                <w:szCs w:val="20"/>
                <w:color w:val="auto"/>
              </w:rPr>
            </w:pPr>
            <w:r>
              <w:rPr>
                <w:rFonts w:ascii="Calibri" w:cs="Calibri" w:eastAsia="Calibri" w:hAnsi="Calibri"/>
                <w:sz w:val="17"/>
                <w:szCs w:val="17"/>
                <w:color w:val="auto"/>
              </w:rPr>
              <w:t>(77,101)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74"/>
              <w:spacing w:after="0" w:line="205" w:lineRule="exact"/>
              <w:rPr>
                <w:sz w:val="20"/>
                <w:szCs w:val="20"/>
                <w:color w:val="auto"/>
              </w:rPr>
            </w:pPr>
            <w:r>
              <w:rPr>
                <w:rFonts w:ascii="Calibri" w:cs="Calibri" w:eastAsia="Calibri" w:hAnsi="Calibri"/>
                <w:sz w:val="17"/>
                <w:szCs w:val="17"/>
                <w:color w:val="auto"/>
              </w:rPr>
              <w:t>(496,508)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300"/>
              <w:spacing w:after="0" w:line="205" w:lineRule="exact"/>
              <w:rPr>
                <w:sz w:val="20"/>
                <w:szCs w:val="20"/>
                <w:color w:val="auto"/>
              </w:rPr>
            </w:pPr>
            <w:r>
              <w:rPr>
                <w:rFonts w:ascii="Calibri" w:cs="Calibri" w:eastAsia="Calibri" w:hAnsi="Calibri"/>
                <w:sz w:val="17"/>
                <w:szCs w:val="17"/>
                <w:color w:val="auto"/>
              </w:rPr>
              <w:t>—</w:t>
            </w:r>
          </w:p>
        </w:tc>
        <w:tc>
          <w:tcPr>
            <w:tcW w:w="200" w:type="dxa"/>
            <w:vAlign w:val="bottom"/>
          </w:tcPr>
          <w:p>
            <w:pPr>
              <w:spacing w:after="0"/>
              <w:rPr>
                <w:sz w:val="18"/>
                <w:szCs w:val="18"/>
                <w:color w:val="auto"/>
              </w:rPr>
            </w:pPr>
          </w:p>
        </w:tc>
        <w:tc>
          <w:tcPr>
            <w:tcW w:w="132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26"/>
        </w:trPr>
        <w:tc>
          <w:tcPr>
            <w:tcW w:w="4460" w:type="dxa"/>
            <w:vAlign w:val="bottom"/>
            <w:gridSpan w:val="2"/>
            <w:shd w:val="clear" w:color="auto" w:fill="E6EEFF"/>
          </w:tcPr>
          <w:p>
            <w:pPr>
              <w:ind w:left="120"/>
              <w:spacing w:after="0"/>
              <w:rPr>
                <w:sz w:val="20"/>
                <w:szCs w:val="20"/>
                <w:color w:val="auto"/>
              </w:rPr>
            </w:pPr>
            <w:r>
              <w:rPr>
                <w:rFonts w:ascii="Calibri" w:cs="Calibri" w:eastAsia="Calibri" w:hAnsi="Calibri"/>
                <w:sz w:val="17"/>
                <w:szCs w:val="17"/>
                <w:color w:val="auto"/>
              </w:rPr>
              <w:t>Current losses</w:t>
            </w:r>
          </w:p>
        </w:tc>
        <w:tc>
          <w:tcPr>
            <w:tcW w:w="140" w:type="dxa"/>
            <w:vAlign w:val="bottom"/>
            <w:shd w:val="clear" w:color="auto" w:fill="E6EEFF"/>
          </w:tcPr>
          <w:p>
            <w:pPr>
              <w:spacing w:after="0"/>
              <w:rPr>
                <w:sz w:val="19"/>
                <w:szCs w:val="19"/>
                <w:color w:val="auto"/>
              </w:rPr>
            </w:pPr>
          </w:p>
        </w:tc>
        <w:tc>
          <w:tcPr>
            <w:tcW w:w="1380" w:type="dxa"/>
            <w:vAlign w:val="bottom"/>
            <w:shd w:val="clear" w:color="auto" w:fill="E6EEFF"/>
          </w:tcPr>
          <w:p>
            <w:pPr>
              <w:jc w:val="right"/>
              <w:ind w:right="54"/>
              <w:spacing w:after="0"/>
              <w:rPr>
                <w:sz w:val="20"/>
                <w:szCs w:val="20"/>
                <w:color w:val="auto"/>
              </w:rPr>
            </w:pPr>
            <w:r>
              <w:rPr>
                <w:rFonts w:ascii="Calibri" w:cs="Calibri" w:eastAsia="Calibri" w:hAnsi="Calibri"/>
                <w:sz w:val="17"/>
                <w:szCs w:val="17"/>
                <w:color w:val="auto"/>
              </w:rPr>
              <w:t>(122,917)</w:t>
            </w:r>
          </w:p>
        </w:tc>
        <w:tc>
          <w:tcPr>
            <w:tcW w:w="120" w:type="dxa"/>
            <w:vAlign w:val="bottom"/>
            <w:shd w:val="clear" w:color="auto" w:fill="E6EEFF"/>
          </w:tcPr>
          <w:p>
            <w:pPr>
              <w:spacing w:after="0"/>
              <w:rPr>
                <w:sz w:val="19"/>
                <w:szCs w:val="19"/>
                <w:color w:val="auto"/>
              </w:rPr>
            </w:pPr>
          </w:p>
        </w:tc>
        <w:tc>
          <w:tcPr>
            <w:tcW w:w="340" w:type="dxa"/>
            <w:vAlign w:val="bottom"/>
            <w:shd w:val="clear" w:color="auto" w:fill="E6EEFF"/>
          </w:tcPr>
          <w:p>
            <w:pPr>
              <w:spacing w:after="0"/>
              <w:rPr>
                <w:sz w:val="19"/>
                <w:szCs w:val="19"/>
                <w:color w:val="auto"/>
              </w:rPr>
            </w:pPr>
          </w:p>
        </w:tc>
        <w:tc>
          <w:tcPr>
            <w:tcW w:w="1320" w:type="dxa"/>
            <w:vAlign w:val="bottom"/>
            <w:shd w:val="clear" w:color="auto" w:fill="E6EEFF"/>
          </w:tcPr>
          <w:p>
            <w:pPr>
              <w:jc w:val="right"/>
              <w:ind w:right="74"/>
              <w:spacing w:after="0"/>
              <w:rPr>
                <w:sz w:val="20"/>
                <w:szCs w:val="20"/>
                <w:color w:val="auto"/>
              </w:rPr>
            </w:pPr>
            <w:r>
              <w:rPr>
                <w:rFonts w:ascii="Calibri" w:cs="Calibri" w:eastAsia="Calibri" w:hAnsi="Calibri"/>
                <w:sz w:val="17"/>
                <w:szCs w:val="17"/>
                <w:color w:val="auto"/>
              </w:rPr>
              <w:t>(980,365)</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420" w:type="dxa"/>
            <w:vAlign w:val="bottom"/>
            <w:shd w:val="clear" w:color="auto" w:fill="E6EEFF"/>
          </w:tcPr>
          <w:p>
            <w:pPr>
              <w:jc w:val="right"/>
              <w:ind w:right="54"/>
              <w:spacing w:after="0"/>
              <w:rPr>
                <w:sz w:val="20"/>
                <w:szCs w:val="20"/>
                <w:color w:val="auto"/>
              </w:rPr>
            </w:pPr>
            <w:r>
              <w:rPr>
                <w:rFonts w:ascii="Calibri" w:cs="Calibri" w:eastAsia="Calibri" w:hAnsi="Calibri"/>
                <w:sz w:val="17"/>
                <w:szCs w:val="17"/>
                <w:color w:val="auto"/>
              </w:rPr>
              <w:t>(144,918)</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3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(7,859)</w:t>
            </w:r>
          </w:p>
        </w:tc>
        <w:tc>
          <w:tcPr>
            <w:tcW w:w="0" w:type="dxa"/>
            <w:vAlign w:val="bottom"/>
          </w:tcPr>
          <w:p>
            <w:pPr>
              <w:spacing w:after="0"/>
              <w:rPr>
                <w:sz w:val="1"/>
                <w:szCs w:val="1"/>
                <w:color w:val="auto"/>
              </w:rPr>
            </w:pPr>
          </w:p>
        </w:tc>
      </w:tr>
      <w:tr>
        <w:trPr>
          <w:trHeight w:val="212"/>
        </w:trPr>
        <w:tc>
          <w:tcPr>
            <w:tcW w:w="4460" w:type="dxa"/>
            <w:vAlign w:val="bottom"/>
            <w:gridSpan w:val="2"/>
          </w:tcPr>
          <w:p>
            <w:pPr>
              <w:ind w:left="120"/>
              <w:spacing w:after="0" w:line="205" w:lineRule="exact"/>
              <w:rPr>
                <w:sz w:val="20"/>
                <w:szCs w:val="20"/>
                <w:color w:val="auto"/>
              </w:rPr>
            </w:pPr>
            <w:r>
              <w:rPr>
                <w:rFonts w:ascii="Calibri" w:cs="Calibri" w:eastAsia="Calibri" w:hAnsi="Calibri"/>
                <w:sz w:val="17"/>
                <w:szCs w:val="17"/>
                <w:color w:val="auto"/>
              </w:rPr>
              <w:t>Credit loss expense</w:t>
            </w:r>
          </w:p>
        </w:tc>
        <w:tc>
          <w:tcPr>
            <w:tcW w:w="140" w:type="dxa"/>
            <w:vAlign w:val="bottom"/>
          </w:tcPr>
          <w:p>
            <w:pPr>
              <w:spacing w:after="0"/>
              <w:rPr>
                <w:sz w:val="18"/>
                <w:szCs w:val="18"/>
                <w:color w:val="auto"/>
              </w:rPr>
            </w:pPr>
          </w:p>
        </w:tc>
        <w:tc>
          <w:tcPr>
            <w:tcW w:w="1380" w:type="dxa"/>
            <w:vAlign w:val="bottom"/>
          </w:tcPr>
          <w:p>
            <w:pPr>
              <w:jc w:val="right"/>
              <w:ind w:right="54"/>
              <w:spacing w:after="0" w:line="205" w:lineRule="exact"/>
              <w:rPr>
                <w:sz w:val="20"/>
                <w:szCs w:val="20"/>
                <w:color w:val="auto"/>
              </w:rPr>
            </w:pPr>
            <w:r>
              <w:rPr>
                <w:rFonts w:ascii="Calibri" w:cs="Calibri" w:eastAsia="Calibri" w:hAnsi="Calibri"/>
                <w:sz w:val="17"/>
                <w:szCs w:val="17"/>
                <w:color w:val="auto"/>
              </w:rPr>
              <w:t>(4,183)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300"/>
              <w:spacing w:after="0" w:line="205" w:lineRule="exact"/>
              <w:rPr>
                <w:sz w:val="20"/>
                <w:szCs w:val="20"/>
                <w:color w:val="auto"/>
              </w:rPr>
            </w:pPr>
            <w:r>
              <w:rPr>
                <w:rFonts w:ascii="Calibri" w:cs="Calibri" w:eastAsia="Calibri" w:hAnsi="Calibri"/>
                <w:sz w:val="17"/>
                <w:szCs w:val="17"/>
                <w:color w:val="auto"/>
              </w:rPr>
              <w:t>—</w:t>
            </w:r>
          </w:p>
        </w:tc>
        <w:tc>
          <w:tcPr>
            <w:tcW w:w="200" w:type="dxa"/>
            <w:vAlign w:val="bottom"/>
          </w:tcPr>
          <w:p>
            <w:pPr>
              <w:spacing w:after="0"/>
              <w:rPr>
                <w:sz w:val="18"/>
                <w:szCs w:val="18"/>
                <w:color w:val="auto"/>
              </w:rPr>
            </w:pPr>
          </w:p>
        </w:tc>
        <w:tc>
          <w:tcPr>
            <w:tcW w:w="1540" w:type="dxa"/>
            <w:vAlign w:val="bottom"/>
            <w:gridSpan w:val="2"/>
          </w:tcPr>
          <w:p>
            <w:pPr>
              <w:jc w:val="right"/>
              <w:ind w:right="300"/>
              <w:spacing w:after="0" w:line="205" w:lineRule="exact"/>
              <w:rPr>
                <w:sz w:val="20"/>
                <w:szCs w:val="20"/>
                <w:color w:val="auto"/>
              </w:rPr>
            </w:pPr>
            <w:r>
              <w:rPr>
                <w:rFonts w:ascii="Calibri" w:cs="Calibri" w:eastAsia="Calibri" w:hAnsi="Calibri"/>
                <w:sz w:val="17"/>
                <w:szCs w:val="17"/>
                <w:color w:val="auto"/>
              </w:rPr>
              <w:t>—</w:t>
            </w:r>
          </w:p>
        </w:tc>
        <w:tc>
          <w:tcPr>
            <w:tcW w:w="200" w:type="dxa"/>
            <w:vAlign w:val="bottom"/>
          </w:tcPr>
          <w:p>
            <w:pPr>
              <w:spacing w:after="0"/>
              <w:rPr>
                <w:sz w:val="18"/>
                <w:szCs w:val="18"/>
                <w:color w:val="auto"/>
              </w:rPr>
            </w:pPr>
          </w:p>
        </w:tc>
        <w:tc>
          <w:tcPr>
            <w:tcW w:w="132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26"/>
        </w:trPr>
        <w:tc>
          <w:tcPr>
            <w:tcW w:w="4460" w:type="dxa"/>
            <w:vAlign w:val="bottom"/>
            <w:gridSpan w:val="2"/>
            <w:shd w:val="clear" w:color="auto" w:fill="E6EEFF"/>
          </w:tcPr>
          <w:p>
            <w:pPr>
              <w:ind w:left="120"/>
              <w:spacing w:after="0"/>
              <w:rPr>
                <w:sz w:val="20"/>
                <w:szCs w:val="20"/>
                <w:color w:val="auto"/>
              </w:rPr>
            </w:pPr>
            <w:r>
              <w:rPr>
                <w:rFonts w:ascii="Calibri" w:cs="Calibri" w:eastAsia="Calibri" w:hAnsi="Calibri"/>
                <w:sz w:val="17"/>
                <w:szCs w:val="17"/>
                <w:color w:val="auto"/>
              </w:rPr>
              <w:t>Change in accrued interest payable</w:t>
            </w:r>
          </w:p>
        </w:tc>
        <w:tc>
          <w:tcPr>
            <w:tcW w:w="140" w:type="dxa"/>
            <w:vAlign w:val="bottom"/>
            <w:shd w:val="clear" w:color="auto" w:fill="E6EEFF"/>
          </w:tcPr>
          <w:p>
            <w:pPr>
              <w:spacing w:after="0"/>
              <w:rPr>
                <w:sz w:val="19"/>
                <w:szCs w:val="19"/>
                <w:color w:val="auto"/>
              </w:rPr>
            </w:pPr>
          </w:p>
        </w:tc>
        <w:tc>
          <w:tcPr>
            <w:tcW w:w="1500" w:type="dxa"/>
            <w:vAlign w:val="bottom"/>
            <w:gridSpan w:val="2"/>
            <w:shd w:val="clear" w:color="auto" w:fill="E6EEFF"/>
          </w:tcPr>
          <w:p>
            <w:pPr>
              <w:jc w:val="right"/>
              <w:ind w:right="300"/>
              <w:spacing w:after="0"/>
              <w:rPr>
                <w:sz w:val="20"/>
                <w:szCs w:val="20"/>
                <w:color w:val="auto"/>
              </w:rPr>
            </w:pPr>
            <w:r>
              <w:rPr>
                <w:rFonts w:ascii="Calibri" w:cs="Calibri" w:eastAsia="Calibri" w:hAnsi="Calibri"/>
                <w:sz w:val="17"/>
                <w:szCs w:val="17"/>
                <w:color w:val="auto"/>
              </w:rPr>
              <w:t>—</w:t>
            </w:r>
          </w:p>
        </w:tc>
        <w:tc>
          <w:tcPr>
            <w:tcW w:w="340" w:type="dxa"/>
            <w:vAlign w:val="bottom"/>
            <w:shd w:val="clear" w:color="auto" w:fill="E6EEFF"/>
          </w:tcPr>
          <w:p>
            <w:pPr>
              <w:spacing w:after="0"/>
              <w:rPr>
                <w:sz w:val="19"/>
                <w:szCs w:val="19"/>
                <w:color w:val="auto"/>
              </w:rPr>
            </w:pPr>
          </w:p>
        </w:tc>
        <w:tc>
          <w:tcPr>
            <w:tcW w:w="1440" w:type="dxa"/>
            <w:vAlign w:val="bottom"/>
            <w:gridSpan w:val="2"/>
            <w:shd w:val="clear" w:color="auto" w:fill="E6EEFF"/>
          </w:tcPr>
          <w:p>
            <w:pPr>
              <w:jc w:val="right"/>
              <w:ind w:right="300"/>
              <w:spacing w:after="0"/>
              <w:rPr>
                <w:sz w:val="20"/>
                <w:szCs w:val="20"/>
                <w:color w:val="auto"/>
              </w:rPr>
            </w:pPr>
            <w:r>
              <w:rPr>
                <w:rFonts w:ascii="Calibri" w:cs="Calibri" w:eastAsia="Calibri" w:hAnsi="Calibri"/>
                <w:sz w:val="17"/>
                <w:szCs w:val="17"/>
                <w:color w:val="auto"/>
              </w:rPr>
              <w:t>—</w:t>
            </w:r>
          </w:p>
        </w:tc>
        <w:tc>
          <w:tcPr>
            <w:tcW w:w="200" w:type="dxa"/>
            <w:vAlign w:val="bottom"/>
            <w:shd w:val="clear" w:color="auto" w:fill="E6EEFF"/>
          </w:tcPr>
          <w:p>
            <w:pPr>
              <w:spacing w:after="0"/>
              <w:rPr>
                <w:sz w:val="19"/>
                <w:szCs w:val="19"/>
                <w:color w:val="auto"/>
              </w:rPr>
            </w:pPr>
          </w:p>
        </w:tc>
        <w:tc>
          <w:tcPr>
            <w:tcW w:w="1540" w:type="dxa"/>
            <w:vAlign w:val="bottom"/>
            <w:gridSpan w:val="2"/>
            <w:shd w:val="clear" w:color="auto" w:fill="E6EEFF"/>
          </w:tcPr>
          <w:p>
            <w:pPr>
              <w:jc w:val="right"/>
              <w:ind w:right="300"/>
              <w:spacing w:after="0"/>
              <w:rPr>
                <w:sz w:val="20"/>
                <w:szCs w:val="20"/>
                <w:color w:val="auto"/>
              </w:rPr>
            </w:pPr>
            <w:r>
              <w:rPr>
                <w:rFonts w:ascii="Calibri" w:cs="Calibri" w:eastAsia="Calibri" w:hAnsi="Calibri"/>
                <w:sz w:val="17"/>
                <w:szCs w:val="17"/>
                <w:color w:val="auto"/>
              </w:rPr>
              <w:t>—</w:t>
            </w:r>
          </w:p>
        </w:tc>
        <w:tc>
          <w:tcPr>
            <w:tcW w:w="200" w:type="dxa"/>
            <w:vAlign w:val="bottom"/>
            <w:shd w:val="clear" w:color="auto" w:fill="E6EEFF"/>
          </w:tcPr>
          <w:p>
            <w:pPr>
              <w:spacing w:after="0"/>
              <w:rPr>
                <w:sz w:val="19"/>
                <w:szCs w:val="19"/>
                <w:color w:val="auto"/>
              </w:rPr>
            </w:pPr>
          </w:p>
        </w:tc>
        <w:tc>
          <w:tcPr>
            <w:tcW w:w="13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(3,418)</w:t>
            </w:r>
          </w:p>
        </w:tc>
        <w:tc>
          <w:tcPr>
            <w:tcW w:w="0" w:type="dxa"/>
            <w:vAlign w:val="bottom"/>
          </w:tcPr>
          <w:p>
            <w:pPr>
              <w:spacing w:after="0"/>
              <w:rPr>
                <w:sz w:val="1"/>
                <w:szCs w:val="1"/>
                <w:color w:val="auto"/>
              </w:rPr>
            </w:pPr>
          </w:p>
        </w:tc>
      </w:tr>
      <w:tr>
        <w:trPr>
          <w:trHeight w:val="212"/>
        </w:trPr>
        <w:tc>
          <w:tcPr>
            <w:tcW w:w="4460" w:type="dxa"/>
            <w:vAlign w:val="bottom"/>
            <w:gridSpan w:val="2"/>
          </w:tcPr>
          <w:p>
            <w:pPr>
              <w:ind w:left="120"/>
              <w:spacing w:after="0" w:line="205" w:lineRule="exact"/>
              <w:rPr>
                <w:sz w:val="20"/>
                <w:szCs w:val="20"/>
                <w:color w:val="auto"/>
              </w:rPr>
            </w:pPr>
            <w:r>
              <w:rPr>
                <w:rFonts w:ascii="Calibri" w:cs="Calibri" w:eastAsia="Calibri" w:hAnsi="Calibri"/>
                <w:sz w:val="17"/>
                <w:szCs w:val="17"/>
                <w:color w:val="auto"/>
              </w:rPr>
              <w:t>Amortzaton:</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60" w:type="dxa"/>
            <w:vAlign w:val="bottom"/>
            <w:gridSpan w:val="2"/>
            <w:shd w:val="clear" w:color="auto" w:fill="E6EEFF"/>
          </w:tcPr>
          <w:p>
            <w:pPr>
              <w:ind w:left="220"/>
              <w:spacing w:after="0"/>
              <w:rPr>
                <w:sz w:val="20"/>
                <w:szCs w:val="20"/>
                <w:color w:val="auto"/>
              </w:rPr>
            </w:pPr>
            <w:r>
              <w:rPr>
                <w:rFonts w:ascii="Calibri" w:cs="Calibri" w:eastAsia="Calibri" w:hAnsi="Calibri"/>
                <w:sz w:val="17"/>
                <w:szCs w:val="17"/>
                <w:color w:val="auto"/>
              </w:rPr>
              <w:t>Prior unrealized (gains) losses</w:t>
            </w:r>
          </w:p>
        </w:tc>
        <w:tc>
          <w:tcPr>
            <w:tcW w:w="140" w:type="dxa"/>
            <w:vAlign w:val="bottom"/>
            <w:shd w:val="clear" w:color="auto" w:fill="E6EEFF"/>
          </w:tcPr>
          <w:p>
            <w:pPr>
              <w:spacing w:after="0"/>
              <w:rPr>
                <w:sz w:val="19"/>
                <w:szCs w:val="19"/>
                <w:color w:val="auto"/>
              </w:rPr>
            </w:pPr>
          </w:p>
        </w:tc>
        <w:tc>
          <w:tcPr>
            <w:tcW w:w="1380" w:type="dxa"/>
            <w:vAlign w:val="bottom"/>
            <w:shd w:val="clear" w:color="auto" w:fill="E6EEFF"/>
          </w:tcPr>
          <w:p>
            <w:pPr>
              <w:jc w:val="right"/>
              <w:ind w:right="54"/>
              <w:spacing w:after="0"/>
              <w:rPr>
                <w:sz w:val="20"/>
                <w:szCs w:val="20"/>
                <w:color w:val="auto"/>
              </w:rPr>
            </w:pPr>
            <w:r>
              <w:rPr>
                <w:rFonts w:ascii="Calibri" w:cs="Calibri" w:eastAsia="Calibri" w:hAnsi="Calibri"/>
                <w:sz w:val="17"/>
                <w:szCs w:val="17"/>
                <w:color w:val="auto"/>
              </w:rPr>
              <w:t>(3,035)</w:t>
            </w:r>
          </w:p>
        </w:tc>
        <w:tc>
          <w:tcPr>
            <w:tcW w:w="120" w:type="dxa"/>
            <w:vAlign w:val="bottom"/>
            <w:shd w:val="clear" w:color="auto" w:fill="E6EEFF"/>
          </w:tcPr>
          <w:p>
            <w:pPr>
              <w:spacing w:after="0"/>
              <w:rPr>
                <w:sz w:val="19"/>
                <w:szCs w:val="19"/>
                <w:color w:val="auto"/>
              </w:rPr>
            </w:pPr>
          </w:p>
        </w:tc>
        <w:tc>
          <w:tcPr>
            <w:tcW w:w="340" w:type="dxa"/>
            <w:vAlign w:val="bottom"/>
            <w:shd w:val="clear" w:color="auto" w:fill="E6EEFF"/>
          </w:tcPr>
          <w:p>
            <w:pPr>
              <w:spacing w:after="0"/>
              <w:rPr>
                <w:sz w:val="19"/>
                <w:szCs w:val="19"/>
                <w:color w:val="auto"/>
              </w:rPr>
            </w:pPr>
          </w:p>
        </w:tc>
        <w:tc>
          <w:tcPr>
            <w:tcW w:w="1320" w:type="dxa"/>
            <w:vAlign w:val="bottom"/>
            <w:shd w:val="clear" w:color="auto" w:fill="E6EEFF"/>
          </w:tcPr>
          <w:p>
            <w:pPr>
              <w:jc w:val="right"/>
              <w:ind w:right="94"/>
              <w:spacing w:after="0"/>
              <w:rPr>
                <w:sz w:val="20"/>
                <w:szCs w:val="20"/>
                <w:color w:val="auto"/>
              </w:rPr>
            </w:pPr>
            <w:r>
              <w:rPr>
                <w:rFonts w:ascii="Calibri" w:cs="Calibri" w:eastAsia="Calibri" w:hAnsi="Calibri"/>
                <w:sz w:val="17"/>
                <w:szCs w:val="17"/>
                <w:color w:val="auto"/>
              </w:rPr>
              <w:t>33,699</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420" w:type="dxa"/>
            <w:vAlign w:val="bottom"/>
            <w:shd w:val="clear" w:color="auto" w:fill="E6EEFF"/>
          </w:tcPr>
          <w:p>
            <w:pPr>
              <w:jc w:val="right"/>
              <w:ind w:right="94"/>
              <w:spacing w:after="0"/>
              <w:rPr>
                <w:sz w:val="20"/>
                <w:szCs w:val="20"/>
                <w:color w:val="auto"/>
              </w:rPr>
            </w:pPr>
            <w:r>
              <w:rPr>
                <w:rFonts w:ascii="Calibri" w:cs="Calibri" w:eastAsia="Calibri" w:hAnsi="Calibri"/>
                <w:sz w:val="17"/>
                <w:szCs w:val="17"/>
                <w:color w:val="auto"/>
              </w:rPr>
              <w:t>509</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3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12"/>
        </w:trPr>
        <w:tc>
          <w:tcPr>
            <w:tcW w:w="4460" w:type="dxa"/>
            <w:vAlign w:val="bottom"/>
            <w:tcBorders>
              <w:bottom w:val="single" w:sz="8" w:color="E6EEFF"/>
            </w:tcBorders>
            <w:gridSpan w:val="2"/>
          </w:tcPr>
          <w:p>
            <w:pPr>
              <w:ind w:left="220"/>
              <w:spacing w:after="0" w:line="205" w:lineRule="exact"/>
              <w:rPr>
                <w:sz w:val="20"/>
                <w:szCs w:val="20"/>
                <w:color w:val="auto"/>
              </w:rPr>
            </w:pPr>
            <w:r>
              <w:rPr>
                <w:rFonts w:ascii="Calibri" w:cs="Calibri" w:eastAsia="Calibri" w:hAnsi="Calibri"/>
                <w:sz w:val="17"/>
                <w:szCs w:val="17"/>
                <w:color w:val="auto"/>
              </w:rPr>
              <w:t>Purchase (premium) discount</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4"/>
              <w:spacing w:after="0" w:line="205" w:lineRule="exact"/>
              <w:rPr>
                <w:sz w:val="20"/>
                <w:szCs w:val="20"/>
                <w:color w:val="auto"/>
              </w:rPr>
            </w:pPr>
            <w:r>
              <w:rPr>
                <w:rFonts w:ascii="Calibri" w:cs="Calibri" w:eastAsia="Calibri" w:hAnsi="Calibri"/>
                <w:sz w:val="17"/>
                <w:szCs w:val="17"/>
                <w:color w:val="auto"/>
              </w:rPr>
              <w:t>(3,937)</w:t>
            </w:r>
          </w:p>
        </w:tc>
        <w:tc>
          <w:tcPr>
            <w:tcW w:w="120" w:type="dxa"/>
            <w:vAlign w:val="bottom"/>
            <w:tcBorders>
              <w:bottom w:val="single" w:sz="8" w:color="E6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4"/>
              <w:spacing w:after="0" w:line="205" w:lineRule="exact"/>
              <w:rPr>
                <w:sz w:val="20"/>
                <w:szCs w:val="20"/>
                <w:color w:val="auto"/>
              </w:rPr>
            </w:pPr>
            <w:r>
              <w:rPr>
                <w:rFonts w:ascii="Calibri" w:cs="Calibri" w:eastAsia="Calibri" w:hAnsi="Calibri"/>
                <w:sz w:val="17"/>
                <w:szCs w:val="17"/>
                <w:color w:val="auto"/>
              </w:rPr>
              <w:t>(14,453)</w:t>
            </w:r>
          </w:p>
        </w:tc>
        <w:tc>
          <w:tcPr>
            <w:tcW w:w="120" w:type="dxa"/>
            <w:vAlign w:val="bottom"/>
            <w:tcBorders>
              <w:bottom w:val="single" w:sz="8" w:color="E6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4"/>
              <w:spacing w:after="0" w:line="205" w:lineRule="exact"/>
              <w:rPr>
                <w:sz w:val="20"/>
                <w:szCs w:val="20"/>
                <w:color w:val="auto"/>
              </w:rPr>
            </w:pPr>
            <w:r>
              <w:rPr>
                <w:rFonts w:ascii="Calibri" w:cs="Calibri" w:eastAsia="Calibri" w:hAnsi="Calibri"/>
                <w:sz w:val="17"/>
                <w:szCs w:val="17"/>
                <w:color w:val="auto"/>
              </w:rPr>
              <w:t>1,879</w:t>
            </w:r>
          </w:p>
        </w:tc>
        <w:tc>
          <w:tcPr>
            <w:tcW w:w="120" w:type="dxa"/>
            <w:vAlign w:val="bottom"/>
            <w:tcBorders>
              <w:bottom w:val="single" w:sz="8" w:color="E6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E6EEFF"/>
            </w:tcBorders>
            <w:gridSpan w:val="2"/>
            <w:shd w:val="clear" w:color="auto" w:fill="E6EEFF"/>
          </w:tcPr>
          <w:p>
            <w:pPr>
              <w:spacing w:after="0"/>
              <w:rPr>
                <w:sz w:val="20"/>
                <w:szCs w:val="20"/>
                <w:color w:val="auto"/>
              </w:rPr>
            </w:pPr>
            <w:r>
              <w:rPr>
                <w:rFonts w:ascii="Calibri" w:cs="Calibri" w:eastAsia="Calibri" w:hAnsi="Calibri"/>
                <w:sz w:val="17"/>
                <w:szCs w:val="17"/>
                <w:b w:val="1"/>
                <w:bCs w:val="1"/>
                <w:color w:val="1C4787"/>
              </w:rPr>
              <w:t>Balance, December 31, 2022</w:t>
            </w:r>
          </w:p>
        </w:tc>
        <w:tc>
          <w:tcPr>
            <w:tcW w:w="1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80" w:type="dxa"/>
            <w:vAlign w:val="bottom"/>
            <w:tcBorders>
              <w:bottom w:val="single" w:sz="8" w:color="auto"/>
            </w:tcBorders>
            <w:shd w:val="clear" w:color="auto" w:fill="E6EEFF"/>
          </w:tcPr>
          <w:p>
            <w:pPr>
              <w:jc w:val="right"/>
              <w:ind w:right="94"/>
              <w:spacing w:after="0" w:line="205" w:lineRule="exact"/>
              <w:rPr>
                <w:sz w:val="20"/>
                <w:szCs w:val="20"/>
                <w:color w:val="auto"/>
              </w:rPr>
            </w:pPr>
            <w:r>
              <w:rPr>
                <w:rFonts w:ascii="Calibri" w:cs="Calibri" w:eastAsia="Calibri" w:hAnsi="Calibri"/>
                <w:sz w:val="17"/>
                <w:szCs w:val="17"/>
                <w:color w:val="auto"/>
              </w:rPr>
              <w:t>187,944</w:t>
            </w:r>
          </w:p>
        </w:tc>
        <w:tc>
          <w:tcPr>
            <w:tcW w:w="120" w:type="dxa"/>
            <w:vAlign w:val="bottom"/>
            <w:tcBorders>
              <w:bottom w:val="single" w:sz="8" w:color="E6EEFF"/>
            </w:tcBorders>
            <w:shd w:val="clear" w:color="auto" w:fill="E6EEFF"/>
          </w:tcPr>
          <w:p>
            <w:pPr>
              <w:spacing w:after="0"/>
              <w:rPr>
                <w:sz w:val="20"/>
                <w:szCs w:val="20"/>
                <w:color w:val="auto"/>
              </w:rPr>
            </w:pPr>
          </w:p>
        </w:tc>
        <w:tc>
          <w:tcPr>
            <w:tcW w:w="340" w:type="dxa"/>
            <w:vAlign w:val="bottom"/>
            <w:tcBorders>
              <w:bottom w:val="single" w:sz="8" w:color="auto"/>
            </w:tcBorders>
            <w:shd w:val="clear" w:color="auto" w:fill="E6EEFF"/>
          </w:tcPr>
          <w:p>
            <w:pPr>
              <w:jc w:val="right"/>
              <w:ind w:right="154"/>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bottom w:val="single" w:sz="8" w:color="auto"/>
            </w:tcBorders>
            <w:shd w:val="clear" w:color="auto" w:fill="E6EEFF"/>
          </w:tcPr>
          <w:p>
            <w:pPr>
              <w:jc w:val="right"/>
              <w:ind w:right="94"/>
              <w:spacing w:after="0" w:line="205" w:lineRule="exact"/>
              <w:rPr>
                <w:sz w:val="20"/>
                <w:szCs w:val="20"/>
                <w:color w:val="auto"/>
              </w:rPr>
            </w:pPr>
            <w:r>
              <w:rPr>
                <w:rFonts w:ascii="Calibri" w:cs="Calibri" w:eastAsia="Calibri" w:hAnsi="Calibri"/>
                <w:sz w:val="17"/>
                <w:szCs w:val="17"/>
                <w:color w:val="auto"/>
              </w:rPr>
              <w:t>8,010,647</w:t>
            </w:r>
          </w:p>
        </w:tc>
        <w:tc>
          <w:tcPr>
            <w:tcW w:w="120" w:type="dxa"/>
            <w:vAlign w:val="bottom"/>
            <w:tcBorders>
              <w:bottom w:val="single" w:sz="8" w:color="E6EEFF"/>
            </w:tcBorders>
            <w:shd w:val="clear" w:color="auto" w:fill="E6EEFF"/>
          </w:tcPr>
          <w:p>
            <w:pPr>
              <w:spacing w:after="0"/>
              <w:rPr>
                <w:sz w:val="20"/>
                <w:szCs w:val="20"/>
                <w:color w:val="auto"/>
              </w:rPr>
            </w:pPr>
          </w:p>
        </w:tc>
        <w:tc>
          <w:tcPr>
            <w:tcW w:w="200" w:type="dxa"/>
            <w:vAlign w:val="bottom"/>
            <w:tcBorders>
              <w:bottom w:val="single" w:sz="8" w:color="auto"/>
            </w:tcBorders>
            <w:shd w:val="clear" w:color="auto" w:fill="E6EEFF"/>
          </w:tcPr>
          <w:p>
            <w:pPr>
              <w:jc w:val="right"/>
              <w:ind w:right="39"/>
              <w:spacing w:after="0"/>
              <w:rPr>
                <w:sz w:val="20"/>
                <w:szCs w:val="20"/>
                <w:color w:val="auto"/>
              </w:rPr>
            </w:pPr>
            <w:r>
              <w:rPr>
                <w:rFonts w:ascii="Calibri" w:cs="Calibri" w:eastAsia="Calibri" w:hAnsi="Calibri"/>
                <w:sz w:val="16"/>
                <w:szCs w:val="16"/>
                <w:color w:val="auto"/>
                <w:w w:val="73"/>
              </w:rPr>
              <w:t>$</w:t>
            </w:r>
          </w:p>
        </w:tc>
        <w:tc>
          <w:tcPr>
            <w:tcW w:w="1420" w:type="dxa"/>
            <w:vAlign w:val="bottom"/>
            <w:tcBorders>
              <w:bottom w:val="single" w:sz="8" w:color="auto"/>
            </w:tcBorders>
            <w:shd w:val="clear" w:color="auto" w:fill="E6EEFF"/>
          </w:tcPr>
          <w:p>
            <w:pPr>
              <w:jc w:val="right"/>
              <w:ind w:right="94"/>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Borders>
              <w:bottom w:val="single" w:sz="8" w:color="E6EEFF"/>
            </w:tcBorders>
            <w:shd w:val="clear" w:color="auto" w:fill="E6EEFF"/>
          </w:tcPr>
          <w:p>
            <w:pPr>
              <w:spacing w:after="0"/>
              <w:rPr>
                <w:sz w:val="20"/>
                <w:szCs w:val="20"/>
                <w:color w:val="auto"/>
              </w:rPr>
            </w:pPr>
          </w:p>
        </w:tc>
        <w:tc>
          <w:tcPr>
            <w:tcW w:w="200" w:type="dxa"/>
            <w:vAlign w:val="bottom"/>
            <w:tcBorders>
              <w:bottom w:val="single" w:sz="8" w:color="auto"/>
            </w:tcBorders>
            <w:shd w:val="clear" w:color="auto" w:fill="E6EEFF"/>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(506,074)</w:t>
            </w:r>
          </w:p>
        </w:tc>
        <w:tc>
          <w:tcPr>
            <w:tcW w:w="0" w:type="dxa"/>
            <w:vAlign w:val="bottom"/>
          </w:tcPr>
          <w:p>
            <w:pPr>
              <w:spacing w:after="0"/>
              <w:rPr>
                <w:sz w:val="1"/>
                <w:szCs w:val="1"/>
                <w:color w:val="auto"/>
              </w:rPr>
            </w:pPr>
          </w:p>
        </w:tc>
      </w:tr>
      <w:tr>
        <w:trPr>
          <w:trHeight w:val="20"/>
        </w:trPr>
        <w:tc>
          <w:tcPr>
            <w:tcW w:w="4460" w:type="dxa"/>
            <w:vAlign w:val="bottom"/>
            <w:tcBorders>
              <w:top w:val="single" w:sz="8" w:color="E6EEFF"/>
              <w:bottom w:val="single" w:sz="8" w:color="E6EEFF"/>
            </w:tcBorders>
            <w:gridSpan w:val="2"/>
            <w:vMerge w:val="restart"/>
          </w:tcPr>
          <w:p>
            <w:pPr>
              <w:spacing w:after="0"/>
              <w:rPr>
                <w:sz w:val="20"/>
                <w:szCs w:val="20"/>
                <w:color w:val="auto"/>
              </w:rPr>
            </w:pPr>
            <w:r>
              <w:rPr>
                <w:rFonts w:ascii="Calibri" w:cs="Calibri" w:eastAsia="Calibri" w:hAnsi="Calibri"/>
                <w:sz w:val="17"/>
                <w:szCs w:val="17"/>
                <w:color w:val="auto"/>
              </w:rPr>
              <w:t>Percentage of Portolio</w:t>
            </w:r>
          </w:p>
        </w:tc>
        <w:tc>
          <w:tcPr>
            <w:tcW w:w="140" w:type="dxa"/>
            <w:vAlign w:val="bottom"/>
            <w:tcBorders>
              <w:top w:val="single" w:sz="8" w:color="E6EEFF"/>
              <w:bottom w:val="single" w:sz="8" w:color="auto"/>
            </w:tcBorders>
          </w:tcPr>
          <w:p>
            <w:pPr>
              <w:spacing w:after="0" w:line="20" w:lineRule="exact"/>
              <w:rPr>
                <w:sz w:val="1"/>
                <w:szCs w:val="1"/>
                <w:color w:val="auto"/>
              </w:rPr>
            </w:pPr>
          </w:p>
        </w:tc>
        <w:tc>
          <w:tcPr>
            <w:tcW w:w="138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340" w:type="dxa"/>
            <w:vAlign w:val="bottom"/>
            <w:tcBorders>
              <w:top w:val="single" w:sz="8" w:color="E6EEFF"/>
              <w:bottom w:val="single" w:sz="8" w:color="auto"/>
            </w:tcBorders>
          </w:tcPr>
          <w:p>
            <w:pPr>
              <w:spacing w:after="0" w:line="20" w:lineRule="exact"/>
              <w:rPr>
                <w:sz w:val="1"/>
                <w:szCs w:val="1"/>
                <w:color w:val="auto"/>
              </w:rPr>
            </w:pPr>
          </w:p>
        </w:tc>
        <w:tc>
          <w:tcPr>
            <w:tcW w:w="132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200" w:type="dxa"/>
            <w:vAlign w:val="bottom"/>
            <w:tcBorders>
              <w:top w:val="single" w:sz="8" w:color="E6EEFF"/>
              <w:bottom w:val="single" w:sz="8" w:color="auto"/>
            </w:tcBorders>
          </w:tcPr>
          <w:p>
            <w:pPr>
              <w:spacing w:after="0" w:line="20" w:lineRule="exact"/>
              <w:rPr>
                <w:sz w:val="1"/>
                <w:szCs w:val="1"/>
                <w:color w:val="auto"/>
              </w:rPr>
            </w:pPr>
          </w:p>
        </w:tc>
        <w:tc>
          <w:tcPr>
            <w:tcW w:w="142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200" w:type="dxa"/>
            <w:vAlign w:val="bottom"/>
            <w:tcBorders>
              <w:top w:val="single" w:sz="8" w:color="E6EEFF"/>
              <w:bottom w:val="single" w:sz="8" w:color="auto"/>
            </w:tcBorders>
          </w:tcPr>
          <w:p>
            <w:pPr>
              <w:spacing w:after="0" w:line="20" w:lineRule="exact"/>
              <w:rPr>
                <w:sz w:val="1"/>
                <w:szCs w:val="1"/>
                <w:color w:val="auto"/>
              </w:rPr>
            </w:pPr>
          </w:p>
        </w:tc>
        <w:tc>
          <w:tcPr>
            <w:tcW w:w="1320" w:type="dxa"/>
            <w:vAlign w:val="bottom"/>
            <w:tcBorders>
              <w:top w:val="single" w:sz="8" w:color="E6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line="177" w:lineRule="exact"/>
              <w:rPr>
                <w:sz w:val="20"/>
                <w:szCs w:val="20"/>
                <w:color w:val="auto"/>
              </w:rPr>
            </w:pPr>
            <w:r>
              <w:rPr>
                <w:rFonts w:ascii="Calibri" w:cs="Calibri" w:eastAsia="Calibri" w:hAnsi="Calibri"/>
                <w:sz w:val="17"/>
                <w:szCs w:val="17"/>
                <w:color w:val="auto"/>
              </w:rPr>
              <w:t>2.29 %</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spacing w:after="0" w:line="177" w:lineRule="exact"/>
              <w:rPr>
                <w:sz w:val="20"/>
                <w:szCs w:val="20"/>
                <w:color w:val="auto"/>
              </w:rPr>
            </w:pPr>
            <w:r>
              <w:rPr>
                <w:rFonts w:ascii="Calibri" w:cs="Calibri" w:eastAsia="Calibri" w:hAnsi="Calibri"/>
                <w:sz w:val="17"/>
                <w:szCs w:val="17"/>
                <w:color w:val="auto"/>
              </w:rPr>
              <w:t>97.71 %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line="177" w:lineRule="exact"/>
              <w:rPr>
                <w:sz w:val="20"/>
                <w:szCs w:val="20"/>
                <w:color w:val="auto"/>
              </w:rPr>
            </w:pPr>
            <w:r>
              <w:rPr>
                <w:rFonts w:ascii="Calibri" w:cs="Calibri" w:eastAsia="Calibri" w:hAnsi="Calibri"/>
                <w:sz w:val="17"/>
                <w:szCs w:val="17"/>
                <w:color w:val="auto"/>
              </w:rPr>
              <w:t>—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80" w:hanging="377"/>
        <w:spacing w:after="0"/>
        <w:tabs>
          <w:tab w:leader="none" w:pos="380" w:val="left"/>
        </w:tabs>
        <w:numPr>
          <w:ilvl w:val="0"/>
          <w:numId w:val="24"/>
        </w:numPr>
        <w:rPr>
          <w:rFonts w:ascii="Calibri" w:cs="Calibri" w:eastAsia="Calibri" w:hAnsi="Calibri"/>
          <w:sz w:val="17"/>
          <w:szCs w:val="17"/>
          <w:color w:val="1C4787"/>
        </w:rPr>
      </w:pPr>
      <w:r>
        <w:rPr>
          <w:rFonts w:ascii="Calibri" w:cs="Calibri" w:eastAsia="Calibri" w:hAnsi="Calibri"/>
          <w:sz w:val="17"/>
          <w:szCs w:val="17"/>
          <w:color w:val="auto"/>
        </w:rPr>
        <w:t>Purchases include cash paid during the period, plus payable for investment securites purchased during the period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1115060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390525</wp:posOffset>
            </wp:positionV>
            <wp:extent cx="458470" cy="5073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9" w:name="page60"/>
    <w:bookmarkEnd w:id="59"/>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58</w:t>
      </w:r>
    </w:p>
    <w:p>
      <w:pPr>
        <w:spacing w:after="0" w:line="200" w:lineRule="exact"/>
        <w:rPr>
          <w:sz w:val="20"/>
          <w:szCs w:val="20"/>
          <w:color w:val="auto"/>
        </w:rPr>
      </w:pPr>
    </w:p>
    <w:p>
      <w:pPr>
        <w:spacing w:after="0" w:line="302"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Repurchase Agreements, net</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have entered into repurchase agreements to fnance the majority of our MBS. Our repurchase agreements are secured by our MBS and bear interest at rates that have moved in close relatonship to the Federal Funds Rate and SOFR. We have established borrowing relatonships with numerous investment banking frms and other lenders, 14 of which had open repurchase agreements with us at December 31, 2023 and 16 of which had open repurchases agreements with us at December 31, 2022. We had outstanding balances under our repurchase agreements, net at December 31, 2023 of $9,647,982 (net of reverse repurchase agreements of $353,937). We had outstanding balances under our repurchase agreements, net at December 31, 2022 of $6,463,058 (net of reverse repurchase agreements of $704,276). We had obligatons to return securites received as collateral associated with our reverse repurchase agreements as of December 31, 2023 and December 31, 2022 of $350,273 and $502,656, respectvely. At December 31, 2023 and December 31, 2022, BUCKLER accounted for 48.4% and 50.2%, respectvely, of our aggregate borrowings and had an amount at risk of 8.1% and 12.9%, respectvely, of our total stockholders' equity (see Note 6 to the consolidated fnancial statements).</w:t>
      </w:r>
    </w:p>
    <w:p>
      <w:pPr>
        <w:spacing w:after="0" w:line="18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Our repurchase agreements require excess collateral, known as a “haircut.” At December 31, 2023, the average haircut percentage was 2.74% compared to 3.85% at December 31, 2022.</w:t>
      </w:r>
    </w:p>
    <w:p>
      <w:pPr>
        <w:spacing w:after="0" w:line="168"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Derivatve Instruments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use various contracts to manage our interest rate risk as we deem prudent in light of market conditons and the associated costs with counterpartes that have a high quality credit ratng and with futures exchanges. We generally pay a fxed rate and receive a foatng rate with the objectve of fxing a porton of our borrowing costs and hedging the change in our book value to some degree. The foatng rate we receive is generally the Federal Funds Rate or SOFR.</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had contractual commitments under derivatves at December 31, 2023 and December 31, 2022. At December 31, 2023 and December 31, 2022, we had derivatves with a net fair value of $872,376 and $971,440, respectvely. The following tables present informaton about the potental efects of netng our derivatves if we were to ofset the assets and liabilites on the accompanying consolidated balance sheets. We currently present these fnancial instruments at their gross amounts and they are included in Derivatves, at fair value on the accompanying consolidated balance sheets at December 31, 2023 and December 31,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8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20" w:type="dxa"/>
            <w:vAlign w:val="bottom"/>
            <w:shd w:val="clear" w:color="auto" w:fill="E6EEFF"/>
          </w:tcPr>
          <w:p>
            <w:pPr>
              <w:spacing w:after="0"/>
              <w:rPr>
                <w:sz w:val="19"/>
                <w:szCs w:val="19"/>
                <w:color w:val="auto"/>
              </w:rPr>
            </w:pPr>
          </w:p>
        </w:tc>
        <w:tc>
          <w:tcPr>
            <w:tcW w:w="162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2840" w:type="dxa"/>
            <w:vAlign w:val="bottom"/>
            <w:gridSpan w:val="5"/>
            <w:shd w:val="clear" w:color="auto" w:fill="E6EEFF"/>
          </w:tcPr>
          <w:p>
            <w:pPr>
              <w:ind w:left="360"/>
              <w:spacing w:after="0"/>
              <w:rPr>
                <w:sz w:val="20"/>
                <w:szCs w:val="20"/>
                <w:color w:val="auto"/>
              </w:rPr>
            </w:pPr>
            <w:r>
              <w:rPr>
                <w:rFonts w:ascii="Calibri" w:cs="Calibri" w:eastAsia="Calibri" w:hAnsi="Calibri"/>
                <w:sz w:val="17"/>
                <w:szCs w:val="17"/>
                <w:b w:val="1"/>
                <w:bCs w:val="1"/>
                <w:color w:val="1C4787"/>
              </w:rPr>
              <w:t>Gross Amounts Not Ofset</w:t>
            </w:r>
          </w:p>
        </w:tc>
        <w:tc>
          <w:tcPr>
            <w:tcW w:w="220" w:type="dxa"/>
            <w:vAlign w:val="bottom"/>
            <w:shd w:val="clear" w:color="auto" w:fill="E6EEFF"/>
          </w:tcPr>
          <w:p>
            <w:pPr>
              <w:spacing w:after="0"/>
              <w:rPr>
                <w:sz w:val="19"/>
                <w:szCs w:val="19"/>
                <w:color w:val="auto"/>
              </w:rPr>
            </w:pPr>
          </w:p>
        </w:tc>
        <w:tc>
          <w:tcPr>
            <w:tcW w:w="1120" w:type="dxa"/>
            <w:vAlign w:val="bottom"/>
            <w:shd w:val="clear" w:color="auto" w:fill="E6EEFF"/>
          </w:tcPr>
          <w:p>
            <w:pPr>
              <w:spacing w:after="0"/>
              <w:rPr>
                <w:sz w:val="19"/>
                <w:szCs w:val="19"/>
                <w:color w:val="auto"/>
              </w:rPr>
            </w:pPr>
          </w:p>
        </w:tc>
      </w:tr>
      <w:tr>
        <w:trPr>
          <w:trHeight w:val="152"/>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00"/>
              <w:spacing w:after="0" w:line="153" w:lineRule="exact"/>
              <w:rPr>
                <w:sz w:val="20"/>
                <w:szCs w:val="20"/>
                <w:color w:val="auto"/>
              </w:rPr>
            </w:pPr>
            <w:r>
              <w:rPr>
                <w:rFonts w:ascii="Calibri" w:cs="Calibri" w:eastAsia="Calibri" w:hAnsi="Calibri"/>
                <w:sz w:val="16"/>
                <w:szCs w:val="16"/>
                <w:b w:val="1"/>
                <w:bCs w:val="1"/>
                <w:color w:val="1C4787"/>
              </w:rPr>
              <w:t>Financial</w:t>
            </w: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40"/>
        </w:trPr>
        <w:tc>
          <w:tcPr>
            <w:tcW w:w="4900" w:type="dxa"/>
            <w:vAlign w:val="bottom"/>
            <w:gridSpan w:val="2"/>
          </w:tcPr>
          <w:p>
            <w:pPr>
              <w:ind w:left="2180"/>
              <w:spacing w:after="0"/>
              <w:rPr>
                <w:sz w:val="20"/>
                <w:szCs w:val="20"/>
                <w:color w:val="auto"/>
              </w:rPr>
            </w:pPr>
            <w:r>
              <w:rPr>
                <w:rFonts w:ascii="Calibri" w:cs="Calibri" w:eastAsia="Calibri" w:hAnsi="Calibri"/>
                <w:sz w:val="17"/>
                <w:szCs w:val="17"/>
                <w:b w:val="1"/>
                <w:bCs w:val="1"/>
                <w:color w:val="1C4787"/>
              </w:rPr>
              <w:t>Assets</w:t>
            </w:r>
          </w:p>
        </w:tc>
        <w:tc>
          <w:tcPr>
            <w:tcW w:w="220" w:type="dxa"/>
            <w:vAlign w:val="bottom"/>
          </w:tcPr>
          <w:p>
            <w:pPr>
              <w:spacing w:after="0"/>
              <w:rPr>
                <w:sz w:val="20"/>
                <w:szCs w:val="20"/>
                <w:color w:val="auto"/>
              </w:rPr>
            </w:pPr>
          </w:p>
        </w:tc>
        <w:tc>
          <w:tcPr>
            <w:tcW w:w="1740" w:type="dxa"/>
            <w:vAlign w:val="bottom"/>
            <w:gridSpan w:val="2"/>
          </w:tcPr>
          <w:p>
            <w:pPr>
              <w:ind w:left="120"/>
              <w:spacing w:after="0" w:line="240" w:lineRule="exact"/>
              <w:rPr>
                <w:sz w:val="20"/>
                <w:szCs w:val="20"/>
                <w:color w:val="auto"/>
              </w:rPr>
            </w:pPr>
            <w:r>
              <w:rPr>
                <w:rFonts w:ascii="Calibri" w:cs="Calibri" w:eastAsia="Calibri" w:hAnsi="Calibri"/>
                <w:sz w:val="17"/>
                <w:szCs w:val="17"/>
                <w:b w:val="1"/>
                <w:bCs w:val="1"/>
                <w:color w:val="1C4787"/>
              </w:rPr>
              <w:t>Gross Amounts</w:t>
            </w:r>
            <w:r>
              <w:rPr>
                <w:rFonts w:ascii="Calibri" w:cs="Calibri" w:eastAsia="Calibri" w:hAnsi="Calibri"/>
                <w:sz w:val="22"/>
                <w:szCs w:val="22"/>
                <w:b w:val="1"/>
                <w:bCs w:val="1"/>
                <w:color w:val="1C4787"/>
                <w:vertAlign w:val="superscript"/>
              </w:rPr>
              <w:t>(1)</w:t>
            </w:r>
          </w:p>
        </w:tc>
        <w:tc>
          <w:tcPr>
            <w:tcW w:w="200" w:type="dxa"/>
            <w:vAlign w:val="bottom"/>
          </w:tcPr>
          <w:p>
            <w:pPr>
              <w:spacing w:after="0"/>
              <w:rPr>
                <w:sz w:val="20"/>
                <w:szCs w:val="20"/>
                <w:color w:val="auto"/>
              </w:rPr>
            </w:pPr>
          </w:p>
        </w:tc>
        <w:tc>
          <w:tcPr>
            <w:tcW w:w="1360" w:type="dxa"/>
            <w:vAlign w:val="bottom"/>
            <w:gridSpan w:val="2"/>
          </w:tcPr>
          <w:p>
            <w:pPr>
              <w:jc w:val="center"/>
              <w:ind w:right="320"/>
              <w:spacing w:after="0" w:line="205" w:lineRule="exact"/>
              <w:rPr>
                <w:sz w:val="20"/>
                <w:szCs w:val="20"/>
                <w:color w:val="auto"/>
              </w:rPr>
            </w:pPr>
            <w:r>
              <w:rPr>
                <w:rFonts w:ascii="Calibri" w:cs="Calibri" w:eastAsia="Calibri" w:hAnsi="Calibri"/>
                <w:sz w:val="17"/>
                <w:szCs w:val="17"/>
                <w:b w:val="1"/>
                <w:bCs w:val="1"/>
                <w:color w:val="1C4787"/>
                <w:w w:val="97"/>
              </w:rPr>
              <w:t>Instruments</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Calibri" w:cs="Calibri" w:eastAsia="Calibri" w:hAnsi="Calibri"/>
                <w:sz w:val="17"/>
                <w:szCs w:val="17"/>
                <w:b w:val="1"/>
                <w:bCs w:val="1"/>
                <w:color w:val="1C4787"/>
              </w:rPr>
              <w:t>Cash Collateral</w:t>
            </w:r>
          </w:p>
        </w:tc>
        <w:tc>
          <w:tcPr>
            <w:tcW w:w="220" w:type="dxa"/>
            <w:vAlign w:val="bottom"/>
          </w:tcPr>
          <w:p>
            <w:pPr>
              <w:spacing w:after="0"/>
              <w:rPr>
                <w:sz w:val="20"/>
                <w:szCs w:val="20"/>
                <w:color w:val="auto"/>
              </w:rPr>
            </w:pPr>
          </w:p>
        </w:tc>
        <w:tc>
          <w:tcPr>
            <w:tcW w:w="1120" w:type="dxa"/>
            <w:vAlign w:val="bottom"/>
          </w:tcPr>
          <w:p>
            <w:pPr>
              <w:jc w:val="right"/>
              <w:ind w:right="274"/>
              <w:spacing w:after="0"/>
              <w:rPr>
                <w:sz w:val="20"/>
                <w:szCs w:val="20"/>
                <w:color w:val="auto"/>
              </w:rPr>
            </w:pPr>
            <w:r>
              <w:rPr>
                <w:rFonts w:ascii="Calibri" w:cs="Calibri" w:eastAsia="Calibri" w:hAnsi="Calibri"/>
                <w:sz w:val="17"/>
                <w:szCs w:val="17"/>
                <w:b w:val="1"/>
                <w:bCs w:val="1"/>
                <w:color w:val="1C4787"/>
              </w:rPr>
              <w:t>Total Net</w:t>
            </w:r>
          </w:p>
        </w:tc>
      </w:tr>
      <w:tr>
        <w:trPr>
          <w:trHeight w:val="212"/>
        </w:trPr>
        <w:tc>
          <w:tcPr>
            <w:tcW w:w="4780" w:type="dxa"/>
            <w:vAlign w:val="bottom"/>
            <w:tcBorders>
              <w:top w:val="single" w:sz="8" w:color="auto"/>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20" w:type="dxa"/>
            <w:vAlign w:val="bottom"/>
            <w:tcBorders>
              <w:top w:val="single" w:sz="8" w:color="E6EEFF"/>
            </w:tcBorders>
            <w:shd w:val="clear" w:color="auto" w:fill="E6EEFF"/>
          </w:tcPr>
          <w:p>
            <w:pPr>
              <w:spacing w:after="0"/>
              <w:rPr>
                <w:sz w:val="18"/>
                <w:szCs w:val="18"/>
                <w:color w:val="auto"/>
              </w:rPr>
            </w:pPr>
          </w:p>
        </w:tc>
        <w:tc>
          <w:tcPr>
            <w:tcW w:w="220" w:type="dxa"/>
            <w:vAlign w:val="bottom"/>
            <w:tcBorders>
              <w:top w:val="single" w:sz="8" w:color="auto"/>
            </w:tcBorders>
            <w:shd w:val="clear" w:color="auto" w:fill="E6EEFF"/>
          </w:tcPr>
          <w:p>
            <w:pPr>
              <w:spacing w:after="0"/>
              <w:rPr>
                <w:sz w:val="18"/>
                <w:szCs w:val="18"/>
                <w:color w:val="auto"/>
              </w:rPr>
            </w:pPr>
          </w:p>
        </w:tc>
        <w:tc>
          <w:tcPr>
            <w:tcW w:w="1620" w:type="dxa"/>
            <w:vAlign w:val="bottom"/>
            <w:tcBorders>
              <w:top w:val="single" w:sz="8" w:color="auto"/>
            </w:tcBorders>
            <w:shd w:val="clear" w:color="auto" w:fill="E6EEFF"/>
          </w:tcPr>
          <w:p>
            <w:pPr>
              <w:spacing w:after="0"/>
              <w:rPr>
                <w:sz w:val="18"/>
                <w:szCs w:val="18"/>
                <w:color w:val="auto"/>
              </w:rPr>
            </w:pPr>
          </w:p>
        </w:tc>
        <w:tc>
          <w:tcPr>
            <w:tcW w:w="120" w:type="dxa"/>
            <w:vAlign w:val="bottom"/>
            <w:tcBorders>
              <w:top w:val="single" w:sz="8" w:color="E6EEFF"/>
            </w:tcBorders>
            <w:shd w:val="clear" w:color="auto" w:fill="E6EEFF"/>
          </w:tcPr>
          <w:p>
            <w:pPr>
              <w:spacing w:after="0"/>
              <w:rPr>
                <w:sz w:val="18"/>
                <w:szCs w:val="18"/>
                <w:color w:val="auto"/>
              </w:rPr>
            </w:pPr>
          </w:p>
        </w:tc>
        <w:tc>
          <w:tcPr>
            <w:tcW w:w="200" w:type="dxa"/>
            <w:vAlign w:val="bottom"/>
            <w:tcBorders>
              <w:top w:val="single" w:sz="8" w:color="auto"/>
            </w:tcBorders>
            <w:shd w:val="clear" w:color="auto" w:fill="E6EEFF"/>
          </w:tcPr>
          <w:p>
            <w:pPr>
              <w:spacing w:after="0"/>
              <w:rPr>
                <w:sz w:val="18"/>
                <w:szCs w:val="18"/>
                <w:color w:val="auto"/>
              </w:rPr>
            </w:pPr>
          </w:p>
        </w:tc>
        <w:tc>
          <w:tcPr>
            <w:tcW w:w="1240" w:type="dxa"/>
            <w:vAlign w:val="bottom"/>
            <w:tcBorders>
              <w:top w:val="single" w:sz="8" w:color="auto"/>
            </w:tcBorders>
            <w:shd w:val="clear" w:color="auto" w:fill="E6EEFF"/>
          </w:tcPr>
          <w:p>
            <w:pPr>
              <w:spacing w:after="0"/>
              <w:rPr>
                <w:sz w:val="18"/>
                <w:szCs w:val="18"/>
                <w:color w:val="auto"/>
              </w:rPr>
            </w:pPr>
          </w:p>
        </w:tc>
        <w:tc>
          <w:tcPr>
            <w:tcW w:w="120" w:type="dxa"/>
            <w:vAlign w:val="bottom"/>
            <w:tcBorders>
              <w:top w:val="single" w:sz="8" w:color="E6EEFF"/>
            </w:tcBorders>
            <w:shd w:val="clear" w:color="auto" w:fill="E6EEFF"/>
          </w:tcPr>
          <w:p>
            <w:pPr>
              <w:spacing w:after="0"/>
              <w:rPr>
                <w:sz w:val="18"/>
                <w:szCs w:val="18"/>
                <w:color w:val="auto"/>
              </w:rPr>
            </w:pPr>
          </w:p>
        </w:tc>
        <w:tc>
          <w:tcPr>
            <w:tcW w:w="140" w:type="dxa"/>
            <w:vAlign w:val="bottom"/>
            <w:tcBorders>
              <w:top w:val="single" w:sz="8" w:color="auto"/>
            </w:tcBorders>
            <w:shd w:val="clear" w:color="auto" w:fill="E6EEFF"/>
          </w:tcPr>
          <w:p>
            <w:pPr>
              <w:spacing w:after="0"/>
              <w:rPr>
                <w:sz w:val="18"/>
                <w:szCs w:val="18"/>
                <w:color w:val="auto"/>
              </w:rPr>
            </w:pPr>
          </w:p>
        </w:tc>
        <w:tc>
          <w:tcPr>
            <w:tcW w:w="1220" w:type="dxa"/>
            <w:vAlign w:val="bottom"/>
            <w:tcBorders>
              <w:top w:val="single" w:sz="8" w:color="auto"/>
            </w:tcBorders>
            <w:shd w:val="clear" w:color="auto" w:fill="E6EEFF"/>
          </w:tcPr>
          <w:p>
            <w:pPr>
              <w:spacing w:after="0"/>
              <w:rPr>
                <w:sz w:val="18"/>
                <w:szCs w:val="18"/>
                <w:color w:val="auto"/>
              </w:rPr>
            </w:pPr>
          </w:p>
        </w:tc>
        <w:tc>
          <w:tcPr>
            <w:tcW w:w="120" w:type="dxa"/>
            <w:vAlign w:val="bottom"/>
            <w:tcBorders>
              <w:top w:val="single" w:sz="8" w:color="E6EEFF"/>
            </w:tcBorders>
            <w:shd w:val="clear" w:color="auto" w:fill="E6EEFF"/>
          </w:tcPr>
          <w:p>
            <w:pPr>
              <w:spacing w:after="0"/>
              <w:rPr>
                <w:sz w:val="18"/>
                <w:szCs w:val="18"/>
                <w:color w:val="auto"/>
              </w:rPr>
            </w:pPr>
          </w:p>
        </w:tc>
        <w:tc>
          <w:tcPr>
            <w:tcW w:w="220" w:type="dxa"/>
            <w:vAlign w:val="bottom"/>
            <w:tcBorders>
              <w:top w:val="single" w:sz="8" w:color="auto"/>
            </w:tcBorders>
            <w:shd w:val="clear" w:color="auto" w:fill="E6EEFF"/>
          </w:tcPr>
          <w:p>
            <w:pPr>
              <w:spacing w:after="0"/>
              <w:rPr>
                <w:sz w:val="18"/>
                <w:szCs w:val="18"/>
                <w:color w:val="auto"/>
              </w:rPr>
            </w:pPr>
          </w:p>
        </w:tc>
        <w:tc>
          <w:tcPr>
            <w:tcW w:w="1120" w:type="dxa"/>
            <w:vAlign w:val="bottom"/>
            <w:tcBorders>
              <w:top w:val="single" w:sz="8" w:color="auto"/>
            </w:tcBorders>
            <w:shd w:val="clear" w:color="auto" w:fill="E6EEFF"/>
          </w:tcPr>
          <w:p>
            <w:pPr>
              <w:spacing w:after="0"/>
              <w:rPr>
                <w:sz w:val="18"/>
                <w:szCs w:val="18"/>
                <w:color w:val="auto"/>
              </w:rPr>
            </w:pPr>
          </w:p>
        </w:tc>
      </w:tr>
      <w:tr>
        <w:trPr>
          <w:trHeight w:val="205"/>
        </w:trPr>
        <w:tc>
          <w:tcPr>
            <w:tcW w:w="4780" w:type="dxa"/>
            <w:vAlign w:val="bottom"/>
          </w:tcPr>
          <w:p>
            <w:pPr>
              <w:ind w:left="20"/>
              <w:spacing w:after="0" w:line="205" w:lineRule="exact"/>
              <w:rPr>
                <w:sz w:val="20"/>
                <w:szCs w:val="20"/>
                <w:color w:val="auto"/>
              </w:rPr>
            </w:pPr>
            <w:r>
              <w:rPr>
                <w:rFonts w:ascii="Calibri" w:cs="Calibri" w:eastAsia="Calibri" w:hAnsi="Calibri"/>
                <w:sz w:val="17"/>
                <w:szCs w:val="17"/>
                <w:color w:val="auto"/>
              </w:rPr>
              <w:t>Interest rate swap contracts</w:t>
            </w:r>
          </w:p>
        </w:tc>
        <w:tc>
          <w:tcPr>
            <w:tcW w:w="120" w:type="dxa"/>
            <w:vAlign w:val="bottom"/>
          </w:tcPr>
          <w:p>
            <w:pPr>
              <w:spacing w:after="0"/>
              <w:rPr>
                <w:sz w:val="17"/>
                <w:szCs w:val="17"/>
                <w:color w:val="auto"/>
              </w:rPr>
            </w:pPr>
          </w:p>
        </w:tc>
        <w:tc>
          <w:tcPr>
            <w:tcW w:w="220" w:type="dxa"/>
            <w:vAlign w:val="bottom"/>
          </w:tcPr>
          <w:p>
            <w:pPr>
              <w:jc w:val="right"/>
              <w:ind w:right="34"/>
              <w:spacing w:after="0" w:line="190" w:lineRule="exact"/>
              <w:rPr>
                <w:sz w:val="20"/>
                <w:szCs w:val="20"/>
                <w:color w:val="auto"/>
              </w:rPr>
            </w:pPr>
            <w:r>
              <w:rPr>
                <w:rFonts w:ascii="Calibri" w:cs="Calibri" w:eastAsia="Calibri" w:hAnsi="Calibri"/>
                <w:sz w:val="17"/>
                <w:szCs w:val="17"/>
                <w:color w:val="auto"/>
                <w:w w:val="92"/>
              </w:rPr>
              <w:t>$</w:t>
            </w:r>
          </w:p>
        </w:tc>
        <w:tc>
          <w:tcPr>
            <w:tcW w:w="1620" w:type="dxa"/>
            <w:vAlign w:val="bottom"/>
          </w:tcPr>
          <w:p>
            <w:pPr>
              <w:jc w:val="right"/>
              <w:spacing w:after="0" w:line="190" w:lineRule="exact"/>
              <w:rPr>
                <w:sz w:val="20"/>
                <w:szCs w:val="20"/>
                <w:color w:val="auto"/>
              </w:rPr>
            </w:pPr>
            <w:r>
              <w:rPr>
                <w:rFonts w:ascii="Calibri" w:cs="Calibri" w:eastAsia="Calibri" w:hAnsi="Calibri"/>
                <w:sz w:val="17"/>
                <w:szCs w:val="17"/>
                <w:color w:val="auto"/>
              </w:rPr>
              <w:t>875,596</w:t>
            </w:r>
          </w:p>
        </w:tc>
        <w:tc>
          <w:tcPr>
            <w:tcW w:w="120" w:type="dxa"/>
            <w:vAlign w:val="bottom"/>
          </w:tcPr>
          <w:p>
            <w:pPr>
              <w:spacing w:after="0"/>
              <w:rPr>
                <w:sz w:val="17"/>
                <w:szCs w:val="17"/>
                <w:color w:val="auto"/>
              </w:rPr>
            </w:pPr>
          </w:p>
        </w:tc>
        <w:tc>
          <w:tcPr>
            <w:tcW w:w="200" w:type="dxa"/>
            <w:vAlign w:val="bottom"/>
          </w:tcPr>
          <w:p>
            <w:pPr>
              <w:jc w:val="right"/>
              <w:ind w:right="14"/>
              <w:spacing w:after="0" w:line="190" w:lineRule="exact"/>
              <w:rPr>
                <w:sz w:val="20"/>
                <w:szCs w:val="20"/>
                <w:color w:val="auto"/>
              </w:rPr>
            </w:pPr>
            <w:r>
              <w:rPr>
                <w:rFonts w:ascii="Calibri" w:cs="Calibri" w:eastAsia="Calibri" w:hAnsi="Calibri"/>
                <w:sz w:val="17"/>
                <w:szCs w:val="17"/>
                <w:color w:val="auto"/>
                <w:w w:val="92"/>
              </w:rPr>
              <w:t>$</w:t>
            </w:r>
          </w:p>
        </w:tc>
        <w:tc>
          <w:tcPr>
            <w:tcW w:w="1240" w:type="dxa"/>
            <w:vAlign w:val="bottom"/>
          </w:tcPr>
          <w:p>
            <w:pPr>
              <w:jc w:val="right"/>
              <w:spacing w:after="0" w:line="190" w:lineRule="exact"/>
              <w:rPr>
                <w:sz w:val="20"/>
                <w:szCs w:val="20"/>
                <w:color w:val="auto"/>
              </w:rPr>
            </w:pPr>
            <w:r>
              <w:rPr>
                <w:rFonts w:ascii="Calibri" w:cs="Calibri" w:eastAsia="Calibri" w:hAnsi="Calibri"/>
                <w:sz w:val="17"/>
                <w:szCs w:val="17"/>
                <w:color w:val="auto"/>
              </w:rPr>
              <w:t>(5,036)</w:t>
            </w:r>
          </w:p>
        </w:tc>
        <w:tc>
          <w:tcPr>
            <w:tcW w:w="120" w:type="dxa"/>
            <w:vAlign w:val="bottom"/>
          </w:tcPr>
          <w:p>
            <w:pPr>
              <w:spacing w:after="0"/>
              <w:rPr>
                <w:sz w:val="17"/>
                <w:szCs w:val="17"/>
                <w:color w:val="auto"/>
              </w:rPr>
            </w:pPr>
          </w:p>
        </w:tc>
        <w:tc>
          <w:tcPr>
            <w:tcW w:w="140" w:type="dxa"/>
            <w:vAlign w:val="bottom"/>
          </w:tcPr>
          <w:p>
            <w:pPr>
              <w:jc w:val="right"/>
              <w:spacing w:after="0" w:line="190" w:lineRule="exact"/>
              <w:rPr>
                <w:sz w:val="20"/>
                <w:szCs w:val="20"/>
                <w:color w:val="auto"/>
              </w:rPr>
            </w:pPr>
            <w:r>
              <w:rPr>
                <w:rFonts w:ascii="Calibri" w:cs="Calibri" w:eastAsia="Calibri" w:hAnsi="Calibri"/>
                <w:sz w:val="17"/>
                <w:szCs w:val="17"/>
                <w:color w:val="auto"/>
                <w:w w:val="92"/>
              </w:rPr>
              <w:t>$</w:t>
            </w:r>
          </w:p>
        </w:tc>
        <w:tc>
          <w:tcPr>
            <w:tcW w:w="1220" w:type="dxa"/>
            <w:vAlign w:val="bottom"/>
          </w:tcPr>
          <w:p>
            <w:pPr>
              <w:jc w:val="right"/>
              <w:spacing w:after="0" w:line="190" w:lineRule="exact"/>
              <w:rPr>
                <w:sz w:val="20"/>
                <w:szCs w:val="20"/>
                <w:color w:val="auto"/>
              </w:rPr>
            </w:pPr>
            <w:r>
              <w:rPr>
                <w:rFonts w:ascii="Calibri" w:cs="Calibri" w:eastAsia="Calibri" w:hAnsi="Calibri"/>
                <w:sz w:val="17"/>
                <w:szCs w:val="17"/>
                <w:color w:val="auto"/>
              </w:rPr>
              <w:t>(821,089)</w:t>
            </w:r>
          </w:p>
        </w:tc>
        <w:tc>
          <w:tcPr>
            <w:tcW w:w="120" w:type="dxa"/>
            <w:vAlign w:val="bottom"/>
          </w:tcPr>
          <w:p>
            <w:pPr>
              <w:spacing w:after="0"/>
              <w:rPr>
                <w:sz w:val="17"/>
                <w:szCs w:val="17"/>
                <w:color w:val="auto"/>
              </w:rPr>
            </w:pPr>
          </w:p>
        </w:tc>
        <w:tc>
          <w:tcPr>
            <w:tcW w:w="220" w:type="dxa"/>
            <w:vAlign w:val="bottom"/>
          </w:tcPr>
          <w:p>
            <w:pPr>
              <w:jc w:val="right"/>
              <w:ind w:right="34"/>
              <w:spacing w:after="0" w:line="190" w:lineRule="exact"/>
              <w:rPr>
                <w:sz w:val="20"/>
                <w:szCs w:val="20"/>
                <w:color w:val="auto"/>
              </w:rPr>
            </w:pPr>
            <w:r>
              <w:rPr>
                <w:rFonts w:ascii="Calibri" w:cs="Calibri" w:eastAsia="Calibri" w:hAnsi="Calibri"/>
                <w:sz w:val="17"/>
                <w:szCs w:val="17"/>
                <w:color w:val="auto"/>
                <w:w w:val="92"/>
              </w:rPr>
              <w:t>$</w:t>
            </w:r>
          </w:p>
        </w:tc>
        <w:tc>
          <w:tcPr>
            <w:tcW w:w="1120" w:type="dxa"/>
            <w:vAlign w:val="bottom"/>
          </w:tcPr>
          <w:p>
            <w:pPr>
              <w:jc w:val="right"/>
              <w:spacing w:after="0" w:line="190" w:lineRule="exact"/>
              <w:rPr>
                <w:sz w:val="20"/>
                <w:szCs w:val="20"/>
                <w:color w:val="auto"/>
              </w:rPr>
            </w:pPr>
            <w:r>
              <w:rPr>
                <w:rFonts w:ascii="Calibri" w:cs="Calibri" w:eastAsia="Calibri" w:hAnsi="Calibri"/>
                <w:sz w:val="17"/>
                <w:szCs w:val="17"/>
                <w:color w:val="auto"/>
              </w:rPr>
              <w:t>49,471</w:t>
            </w:r>
          </w:p>
        </w:tc>
      </w:tr>
      <w:tr>
        <w:trPr>
          <w:trHeight w:val="219"/>
        </w:trPr>
        <w:tc>
          <w:tcPr>
            <w:tcW w:w="490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TBA Agency Securites</w:t>
            </w:r>
          </w:p>
        </w:tc>
        <w:tc>
          <w:tcPr>
            <w:tcW w:w="220" w:type="dxa"/>
            <w:vAlign w:val="bottom"/>
            <w:shd w:val="clear" w:color="auto" w:fill="E6EEFF"/>
          </w:tcPr>
          <w:p>
            <w:pPr>
              <w:spacing w:after="0"/>
              <w:rPr>
                <w:sz w:val="19"/>
                <w:szCs w:val="19"/>
                <w:color w:val="auto"/>
              </w:rPr>
            </w:pPr>
          </w:p>
        </w:tc>
        <w:tc>
          <w:tcPr>
            <w:tcW w:w="16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1,816</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2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(1,816)</w:t>
            </w:r>
          </w:p>
        </w:tc>
        <w:tc>
          <w:tcPr>
            <w:tcW w:w="120" w:type="dxa"/>
            <w:vAlign w:val="bottom"/>
            <w:shd w:val="clear" w:color="auto" w:fill="E6EEFF"/>
          </w:tcPr>
          <w:p>
            <w:pPr>
              <w:spacing w:after="0"/>
              <w:rPr>
                <w:sz w:val="19"/>
                <w:szCs w:val="19"/>
                <w:color w:val="auto"/>
              </w:rPr>
            </w:pPr>
          </w:p>
        </w:tc>
        <w:tc>
          <w:tcPr>
            <w:tcW w:w="140" w:type="dxa"/>
            <w:vAlign w:val="bottom"/>
            <w:shd w:val="clear" w:color="auto" w:fill="E6EEFF"/>
          </w:tcPr>
          <w:p>
            <w:pPr>
              <w:spacing w:after="0"/>
              <w:rPr>
                <w:sz w:val="19"/>
                <w:szCs w:val="19"/>
                <w:color w:val="auto"/>
              </w:rPr>
            </w:pPr>
          </w:p>
        </w:tc>
        <w:tc>
          <w:tcPr>
            <w:tcW w:w="1340" w:type="dxa"/>
            <w:vAlign w:val="bottom"/>
            <w:gridSpan w:val="2"/>
            <w:shd w:val="clear" w:color="auto" w:fill="E6EEFF"/>
          </w:tcPr>
          <w:p>
            <w:pPr>
              <w:jc w:val="right"/>
              <w:ind w:right="180"/>
              <w:spacing w:after="0"/>
              <w:rPr>
                <w:sz w:val="20"/>
                <w:szCs w:val="20"/>
                <w:color w:val="auto"/>
              </w:rPr>
            </w:pPr>
            <w:r>
              <w:rPr>
                <w:rFonts w:ascii="Calibri" w:cs="Calibri" w:eastAsia="Calibri" w:hAnsi="Calibri"/>
                <w:sz w:val="17"/>
                <w:szCs w:val="17"/>
                <w:color w:val="auto"/>
              </w:rPr>
              <w:t>—</w:t>
            </w:r>
          </w:p>
        </w:tc>
        <w:tc>
          <w:tcPr>
            <w:tcW w:w="220" w:type="dxa"/>
            <w:vAlign w:val="bottom"/>
            <w:shd w:val="clear" w:color="auto" w:fill="E6EEFF"/>
          </w:tcPr>
          <w:p>
            <w:pPr>
              <w:spacing w:after="0"/>
              <w:rPr>
                <w:sz w:val="19"/>
                <w:szCs w:val="19"/>
                <w:color w:val="auto"/>
              </w:rPr>
            </w:pPr>
          </w:p>
        </w:tc>
        <w:tc>
          <w:tcPr>
            <w:tcW w:w="1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w:t>
            </w:r>
          </w:p>
        </w:tc>
      </w:tr>
      <w:tr>
        <w:trPr>
          <w:trHeight w:val="219"/>
        </w:trPr>
        <w:tc>
          <w:tcPr>
            <w:tcW w:w="4900" w:type="dxa"/>
            <w:vAlign w:val="bottom"/>
            <w:gridSpan w:val="2"/>
          </w:tcPr>
          <w:p>
            <w:pPr>
              <w:ind w:left="20"/>
              <w:spacing w:after="0"/>
              <w:rPr>
                <w:sz w:val="20"/>
                <w:szCs w:val="20"/>
                <w:color w:val="auto"/>
              </w:rPr>
            </w:pPr>
            <w:r>
              <w:rPr>
                <w:rFonts w:ascii="Calibri" w:cs="Calibri" w:eastAsia="Calibri" w:hAnsi="Calibri"/>
                <w:sz w:val="17"/>
                <w:szCs w:val="17"/>
                <w:b w:val="1"/>
                <w:bCs w:val="1"/>
                <w:color w:val="auto"/>
              </w:rPr>
              <w:t>Totals</w:t>
            </w:r>
          </w:p>
        </w:tc>
        <w:tc>
          <w:tcPr>
            <w:tcW w:w="220" w:type="dxa"/>
            <w:vAlign w:val="bottom"/>
            <w:tcBorders>
              <w:top w:val="single" w:sz="8" w:color="auto"/>
              <w:bottom w:val="single" w:sz="8" w:color="auto"/>
            </w:tcBorders>
          </w:tcPr>
          <w:p>
            <w:pPr>
              <w:jc w:val="right"/>
              <w:ind w:right="34"/>
              <w:spacing w:after="0" w:line="205" w:lineRule="exact"/>
              <w:rPr>
                <w:sz w:val="20"/>
                <w:szCs w:val="20"/>
                <w:color w:val="auto"/>
              </w:rPr>
            </w:pPr>
            <w:r>
              <w:rPr>
                <w:rFonts w:ascii="Calibri" w:cs="Calibri" w:eastAsia="Calibri" w:hAnsi="Calibri"/>
                <w:sz w:val="17"/>
                <w:szCs w:val="17"/>
                <w:color w:val="auto"/>
                <w:w w:val="92"/>
              </w:rPr>
              <w:t>$</w:t>
            </w:r>
          </w:p>
        </w:tc>
        <w:tc>
          <w:tcPr>
            <w:tcW w:w="1620" w:type="dxa"/>
            <w:vAlign w:val="bottom"/>
            <w:tcBorders>
              <w:top w:val="single" w:sz="8" w:color="auto"/>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877,412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240" w:type="dxa"/>
            <w:vAlign w:val="bottom"/>
            <w:tcBorders>
              <w:top w:val="single" w:sz="8" w:color="auto"/>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(6,852)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220" w:type="dxa"/>
            <w:vAlign w:val="bottom"/>
            <w:tcBorders>
              <w:top w:val="single" w:sz="8" w:color="auto"/>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(821,089)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line="205" w:lineRule="exact"/>
              <w:rPr>
                <w:sz w:val="20"/>
                <w:szCs w:val="20"/>
                <w:color w:val="auto"/>
              </w:rPr>
            </w:pPr>
            <w:r>
              <w:rPr>
                <w:rFonts w:ascii="Calibri" w:cs="Calibri" w:eastAsia="Calibri" w:hAnsi="Calibri"/>
                <w:sz w:val="17"/>
                <w:szCs w:val="17"/>
                <w:color w:val="auto"/>
                <w:w w:val="92"/>
              </w:rPr>
              <w:t>$</w:t>
            </w:r>
          </w:p>
        </w:tc>
        <w:tc>
          <w:tcPr>
            <w:tcW w:w="1120" w:type="dxa"/>
            <w:vAlign w:val="bottom"/>
            <w:tcBorders>
              <w:top w:val="single" w:sz="8" w:color="auto"/>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49,471</w:t>
            </w:r>
          </w:p>
        </w:tc>
      </w:tr>
      <w:tr>
        <w:trPr>
          <w:trHeight w:val="20"/>
        </w:trPr>
        <w:tc>
          <w:tcPr>
            <w:tcW w:w="4780" w:type="dxa"/>
            <w:vAlign w:val="bottom"/>
            <w:tcBorders>
              <w:bottom w:val="single" w:sz="8" w:color="E6EEFF"/>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78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20" w:type="dxa"/>
            <w:vAlign w:val="bottom"/>
            <w:shd w:val="clear" w:color="auto" w:fill="E6EEFF"/>
          </w:tcPr>
          <w:p>
            <w:pPr>
              <w:spacing w:after="0"/>
              <w:rPr>
                <w:sz w:val="19"/>
                <w:szCs w:val="19"/>
                <w:color w:val="auto"/>
              </w:rPr>
            </w:pPr>
          </w:p>
        </w:tc>
        <w:tc>
          <w:tcPr>
            <w:tcW w:w="162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24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40" w:type="dxa"/>
            <w:vAlign w:val="bottom"/>
            <w:shd w:val="clear" w:color="auto" w:fill="E6EEFF"/>
          </w:tcPr>
          <w:p>
            <w:pPr>
              <w:spacing w:after="0"/>
              <w:rPr>
                <w:sz w:val="19"/>
                <w:szCs w:val="19"/>
                <w:color w:val="auto"/>
              </w:rPr>
            </w:pPr>
          </w:p>
        </w:tc>
        <w:tc>
          <w:tcPr>
            <w:tcW w:w="122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20" w:type="dxa"/>
            <w:vAlign w:val="bottom"/>
            <w:shd w:val="clear" w:color="auto" w:fill="E6EEFF"/>
          </w:tcPr>
          <w:p>
            <w:pPr>
              <w:spacing w:after="0"/>
              <w:rPr>
                <w:sz w:val="19"/>
                <w:szCs w:val="19"/>
                <w:color w:val="auto"/>
              </w:rPr>
            </w:pPr>
          </w:p>
        </w:tc>
        <w:tc>
          <w:tcPr>
            <w:tcW w:w="1120" w:type="dxa"/>
            <w:vAlign w:val="bottom"/>
            <w:shd w:val="clear" w:color="auto" w:fill="E6EEFF"/>
          </w:tcPr>
          <w:p>
            <w:pPr>
              <w:spacing w:after="0"/>
              <w:rPr>
                <w:sz w:val="19"/>
                <w:szCs w:val="19"/>
                <w:color w:val="auto"/>
              </w:rPr>
            </w:pPr>
          </w:p>
        </w:tc>
      </w:tr>
      <w:tr>
        <w:trPr>
          <w:trHeight w:val="212"/>
        </w:trPr>
        <w:tc>
          <w:tcPr>
            <w:tcW w:w="4900" w:type="dxa"/>
            <w:vAlign w:val="bottom"/>
            <w:gridSpan w:val="2"/>
          </w:tcPr>
          <w:p>
            <w:pPr>
              <w:ind w:left="2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780" w:type="dxa"/>
            <w:vAlign w:val="bottom"/>
            <w:tcBorders>
              <w:top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Interest rate swap contracts</w:t>
            </w:r>
          </w:p>
        </w:tc>
        <w:tc>
          <w:tcPr>
            <w:tcW w:w="120" w:type="dxa"/>
            <w:vAlign w:val="bottom"/>
            <w:tcBorders>
              <w:top w:val="single" w:sz="8" w:color="E6EEFF"/>
            </w:tcBorders>
            <w:shd w:val="clear" w:color="auto" w:fill="E6EEFF"/>
          </w:tcPr>
          <w:p>
            <w:pPr>
              <w:spacing w:after="0"/>
              <w:rPr>
                <w:sz w:val="19"/>
                <w:szCs w:val="19"/>
                <w:color w:val="auto"/>
              </w:rPr>
            </w:pPr>
          </w:p>
        </w:tc>
        <w:tc>
          <w:tcPr>
            <w:tcW w:w="220" w:type="dxa"/>
            <w:vAlign w:val="bottom"/>
            <w:tcBorders>
              <w:top w:val="single" w:sz="8" w:color="E6EEFF"/>
            </w:tcBorders>
            <w:shd w:val="clear" w:color="auto" w:fill="E6EEFF"/>
          </w:tcPr>
          <w:p>
            <w:pPr>
              <w:jc w:val="right"/>
              <w:ind w:right="34"/>
              <w:spacing w:after="0" w:line="197" w:lineRule="exact"/>
              <w:rPr>
                <w:sz w:val="20"/>
                <w:szCs w:val="20"/>
                <w:color w:val="auto"/>
              </w:rPr>
            </w:pPr>
            <w:r>
              <w:rPr>
                <w:rFonts w:ascii="Calibri" w:cs="Calibri" w:eastAsia="Calibri" w:hAnsi="Calibri"/>
                <w:sz w:val="17"/>
                <w:szCs w:val="17"/>
                <w:color w:val="auto"/>
                <w:w w:val="92"/>
              </w:rPr>
              <w:t>$</w:t>
            </w:r>
          </w:p>
        </w:tc>
        <w:tc>
          <w:tcPr>
            <w:tcW w:w="1620" w:type="dxa"/>
            <w:vAlign w:val="bottom"/>
            <w:tcBorders>
              <w:top w:val="single" w:sz="8" w:color="E6EEFF"/>
            </w:tcBorders>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983,659</w:t>
            </w:r>
          </w:p>
        </w:tc>
        <w:tc>
          <w:tcPr>
            <w:tcW w:w="120" w:type="dxa"/>
            <w:vAlign w:val="bottom"/>
            <w:tcBorders>
              <w:top w:val="single" w:sz="8" w:color="E6EEFF"/>
            </w:tcBorders>
            <w:shd w:val="clear" w:color="auto" w:fill="E6EEFF"/>
          </w:tcPr>
          <w:p>
            <w:pPr>
              <w:spacing w:after="0"/>
              <w:rPr>
                <w:sz w:val="19"/>
                <w:szCs w:val="19"/>
                <w:color w:val="auto"/>
              </w:rPr>
            </w:pPr>
          </w:p>
        </w:tc>
        <w:tc>
          <w:tcPr>
            <w:tcW w:w="200" w:type="dxa"/>
            <w:vAlign w:val="bottom"/>
            <w:tcBorders>
              <w:top w:val="single" w:sz="8" w:color="E6EEFF"/>
            </w:tcBorders>
            <w:shd w:val="clear" w:color="auto" w:fill="E6EEFF"/>
          </w:tcPr>
          <w:p>
            <w:pPr>
              <w:jc w:val="right"/>
              <w:ind w:right="14"/>
              <w:spacing w:after="0" w:line="197" w:lineRule="exact"/>
              <w:rPr>
                <w:sz w:val="20"/>
                <w:szCs w:val="20"/>
                <w:color w:val="auto"/>
              </w:rPr>
            </w:pPr>
            <w:r>
              <w:rPr>
                <w:rFonts w:ascii="Calibri" w:cs="Calibri" w:eastAsia="Calibri" w:hAnsi="Calibri"/>
                <w:sz w:val="17"/>
                <w:szCs w:val="17"/>
                <w:color w:val="auto"/>
                <w:w w:val="92"/>
              </w:rPr>
              <w:t>$</w:t>
            </w:r>
          </w:p>
        </w:tc>
        <w:tc>
          <w:tcPr>
            <w:tcW w:w="1360" w:type="dxa"/>
            <w:vAlign w:val="bottom"/>
            <w:tcBorders>
              <w:top w:val="single" w:sz="8" w:color="E6EEFF"/>
            </w:tcBorders>
            <w:gridSpan w:val="2"/>
            <w:shd w:val="clear" w:color="auto" w:fill="E6EEFF"/>
          </w:tcPr>
          <w:p>
            <w:pPr>
              <w:ind w:left="1040"/>
              <w:spacing w:after="0" w:line="197" w:lineRule="exact"/>
              <w:rPr>
                <w:sz w:val="20"/>
                <w:szCs w:val="20"/>
                <w:color w:val="auto"/>
              </w:rPr>
            </w:pPr>
            <w:r>
              <w:rPr>
                <w:rFonts w:ascii="Calibri" w:cs="Calibri" w:eastAsia="Calibri" w:hAnsi="Calibri"/>
                <w:sz w:val="17"/>
                <w:szCs w:val="17"/>
                <w:color w:val="auto"/>
              </w:rPr>
              <w:t>—</w:t>
            </w:r>
          </w:p>
        </w:tc>
        <w:tc>
          <w:tcPr>
            <w:tcW w:w="140" w:type="dxa"/>
            <w:vAlign w:val="bottom"/>
            <w:tcBorders>
              <w:top w:val="single" w:sz="8" w:color="E6EEFF"/>
            </w:tcBorders>
            <w:shd w:val="clear" w:color="auto" w:fill="E6EEFF"/>
          </w:tcPr>
          <w:p>
            <w:pPr>
              <w:jc w:val="right"/>
              <w:spacing w:after="0" w:line="197" w:lineRule="exact"/>
              <w:rPr>
                <w:sz w:val="20"/>
                <w:szCs w:val="20"/>
                <w:color w:val="auto"/>
              </w:rPr>
            </w:pPr>
            <w:r>
              <w:rPr>
                <w:rFonts w:ascii="Calibri" w:cs="Calibri" w:eastAsia="Calibri" w:hAnsi="Calibri"/>
                <w:sz w:val="17"/>
                <w:szCs w:val="17"/>
                <w:color w:val="auto"/>
                <w:w w:val="92"/>
              </w:rPr>
              <w:t>$</w:t>
            </w:r>
          </w:p>
        </w:tc>
        <w:tc>
          <w:tcPr>
            <w:tcW w:w="1220" w:type="dxa"/>
            <w:vAlign w:val="bottom"/>
            <w:tcBorders>
              <w:top w:val="single" w:sz="8" w:color="E6EEFF"/>
            </w:tcBorders>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(955,941)</w:t>
            </w:r>
          </w:p>
        </w:tc>
        <w:tc>
          <w:tcPr>
            <w:tcW w:w="120" w:type="dxa"/>
            <w:vAlign w:val="bottom"/>
            <w:tcBorders>
              <w:top w:val="single" w:sz="8" w:color="E6EEFF"/>
            </w:tcBorders>
            <w:shd w:val="clear" w:color="auto" w:fill="E6EEFF"/>
          </w:tcPr>
          <w:p>
            <w:pPr>
              <w:spacing w:after="0"/>
              <w:rPr>
                <w:sz w:val="19"/>
                <w:szCs w:val="19"/>
                <w:color w:val="auto"/>
              </w:rPr>
            </w:pPr>
          </w:p>
        </w:tc>
        <w:tc>
          <w:tcPr>
            <w:tcW w:w="220" w:type="dxa"/>
            <w:vAlign w:val="bottom"/>
            <w:tcBorders>
              <w:top w:val="single" w:sz="8" w:color="E6EEFF"/>
            </w:tcBorders>
            <w:shd w:val="clear" w:color="auto" w:fill="E6EEFF"/>
          </w:tcPr>
          <w:p>
            <w:pPr>
              <w:jc w:val="right"/>
              <w:ind w:right="34"/>
              <w:spacing w:after="0" w:line="197" w:lineRule="exact"/>
              <w:rPr>
                <w:sz w:val="20"/>
                <w:szCs w:val="20"/>
                <w:color w:val="auto"/>
              </w:rPr>
            </w:pPr>
            <w:r>
              <w:rPr>
                <w:rFonts w:ascii="Calibri" w:cs="Calibri" w:eastAsia="Calibri" w:hAnsi="Calibri"/>
                <w:sz w:val="17"/>
                <w:szCs w:val="17"/>
                <w:color w:val="auto"/>
                <w:w w:val="92"/>
              </w:rPr>
              <w:t>$</w:t>
            </w:r>
          </w:p>
        </w:tc>
        <w:tc>
          <w:tcPr>
            <w:tcW w:w="1120" w:type="dxa"/>
            <w:vAlign w:val="bottom"/>
            <w:tcBorders>
              <w:top w:val="single" w:sz="8" w:color="E6EEFF"/>
            </w:tcBorders>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27,718</w:t>
            </w:r>
          </w:p>
        </w:tc>
      </w:tr>
      <w:tr>
        <w:trPr>
          <w:trHeight w:val="212"/>
        </w:trPr>
        <w:tc>
          <w:tcPr>
            <w:tcW w:w="490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Futures contracts</w:t>
            </w:r>
          </w:p>
        </w:tc>
        <w:tc>
          <w:tcPr>
            <w:tcW w:w="220" w:type="dxa"/>
            <w:vAlign w:val="bottom"/>
          </w:tcPr>
          <w:p>
            <w:pPr>
              <w:spacing w:after="0"/>
              <w:rPr>
                <w:sz w:val="18"/>
                <w:szCs w:val="18"/>
                <w:color w:val="auto"/>
              </w:rPr>
            </w:pPr>
          </w:p>
        </w:tc>
        <w:tc>
          <w:tcPr>
            <w:tcW w:w="1620" w:type="dxa"/>
            <w:vAlign w:val="bottom"/>
          </w:tcPr>
          <w:p>
            <w:pPr>
              <w:jc w:val="right"/>
              <w:spacing w:after="0" w:line="205" w:lineRule="exact"/>
              <w:rPr>
                <w:sz w:val="20"/>
                <w:szCs w:val="20"/>
                <w:color w:val="auto"/>
              </w:rPr>
            </w:pPr>
            <w:r>
              <w:rPr>
                <w:rFonts w:ascii="Calibri" w:cs="Calibri" w:eastAsia="Calibri" w:hAnsi="Calibri"/>
                <w:sz w:val="17"/>
                <w:szCs w:val="17"/>
                <w:color w:val="auto"/>
              </w:rPr>
              <w:t>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205" w:lineRule="exact"/>
              <w:rPr>
                <w:sz w:val="20"/>
                <w:szCs w:val="20"/>
                <w:color w:val="auto"/>
              </w:rPr>
            </w:pPr>
            <w:r>
              <w:rPr>
                <w:rFonts w:ascii="Calibri" w:cs="Calibri" w:eastAsia="Calibri" w:hAnsi="Calibri"/>
                <w:sz w:val="17"/>
                <w:szCs w:val="17"/>
                <w:color w:val="auto"/>
              </w:rPr>
              <w:t>(516)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line="205" w:lineRule="exact"/>
              <w:rPr>
                <w:sz w:val="20"/>
                <w:szCs w:val="20"/>
                <w:color w:val="auto"/>
              </w:rPr>
            </w:pPr>
            <w:r>
              <w:rPr>
                <w:rFonts w:ascii="Calibri" w:cs="Calibri" w:eastAsia="Calibri" w:hAnsi="Calibri"/>
                <w:sz w:val="17"/>
                <w:szCs w:val="17"/>
                <w:color w:val="auto"/>
              </w:rPr>
              <w:t>9,334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8,912</w:t>
            </w:r>
          </w:p>
        </w:tc>
      </w:tr>
      <w:tr>
        <w:trPr>
          <w:trHeight w:val="219"/>
        </w:trPr>
        <w:tc>
          <w:tcPr>
            <w:tcW w:w="490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TBA Agency Securites</w:t>
            </w:r>
          </w:p>
        </w:tc>
        <w:tc>
          <w:tcPr>
            <w:tcW w:w="220" w:type="dxa"/>
            <w:vAlign w:val="bottom"/>
            <w:tcBorders>
              <w:bottom w:val="single" w:sz="8" w:color="auto"/>
            </w:tcBorders>
            <w:shd w:val="clear" w:color="auto" w:fill="E6EEFF"/>
          </w:tcPr>
          <w:p>
            <w:pPr>
              <w:spacing w:after="0"/>
              <w:rPr>
                <w:sz w:val="19"/>
                <w:szCs w:val="19"/>
                <w:color w:val="auto"/>
              </w:rPr>
            </w:pPr>
          </w:p>
        </w:tc>
        <w:tc>
          <w:tcPr>
            <w:tcW w:w="162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703</w:t>
            </w:r>
          </w:p>
        </w:tc>
        <w:tc>
          <w:tcPr>
            <w:tcW w:w="120" w:type="dxa"/>
            <w:vAlign w:val="bottom"/>
            <w:shd w:val="clear" w:color="auto" w:fill="E6EEFF"/>
          </w:tcPr>
          <w:p>
            <w:pPr>
              <w:spacing w:after="0"/>
              <w:rPr>
                <w:sz w:val="19"/>
                <w:szCs w:val="19"/>
                <w:color w:val="auto"/>
              </w:rPr>
            </w:pPr>
          </w:p>
        </w:tc>
        <w:tc>
          <w:tcPr>
            <w:tcW w:w="200" w:type="dxa"/>
            <w:vAlign w:val="bottom"/>
            <w:tcBorders>
              <w:bottom w:val="single" w:sz="8" w:color="auto"/>
            </w:tcBorders>
            <w:shd w:val="clear" w:color="auto" w:fill="E6EEFF"/>
          </w:tcPr>
          <w:p>
            <w:pPr>
              <w:spacing w:after="0"/>
              <w:rPr>
                <w:sz w:val="19"/>
                <w:szCs w:val="19"/>
                <w:color w:val="auto"/>
              </w:rPr>
            </w:pPr>
          </w:p>
        </w:tc>
        <w:tc>
          <w:tcPr>
            <w:tcW w:w="12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(12,500)</w:t>
            </w:r>
          </w:p>
        </w:tc>
        <w:tc>
          <w:tcPr>
            <w:tcW w:w="120" w:type="dxa"/>
            <w:vAlign w:val="bottom"/>
            <w:shd w:val="clear" w:color="auto" w:fill="E6EEFF"/>
          </w:tcPr>
          <w:p>
            <w:pPr>
              <w:spacing w:after="0"/>
              <w:rPr>
                <w:sz w:val="19"/>
                <w:szCs w:val="19"/>
                <w:color w:val="auto"/>
              </w:rPr>
            </w:pPr>
          </w:p>
        </w:tc>
        <w:tc>
          <w:tcPr>
            <w:tcW w:w="140" w:type="dxa"/>
            <w:vAlign w:val="bottom"/>
            <w:tcBorders>
              <w:bottom w:val="single" w:sz="8" w:color="auto"/>
            </w:tcBorders>
            <w:shd w:val="clear" w:color="auto" w:fill="E6EEFF"/>
          </w:tcPr>
          <w:p>
            <w:pPr>
              <w:spacing w:after="0"/>
              <w:rPr>
                <w:sz w:val="19"/>
                <w:szCs w:val="19"/>
                <w:color w:val="auto"/>
              </w:rPr>
            </w:pPr>
          </w:p>
        </w:tc>
        <w:tc>
          <w:tcPr>
            <w:tcW w:w="122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13,633</w:t>
            </w:r>
          </w:p>
        </w:tc>
        <w:tc>
          <w:tcPr>
            <w:tcW w:w="120" w:type="dxa"/>
            <w:vAlign w:val="bottom"/>
            <w:shd w:val="clear" w:color="auto" w:fill="E6EEFF"/>
          </w:tcPr>
          <w:p>
            <w:pPr>
              <w:spacing w:after="0"/>
              <w:rPr>
                <w:sz w:val="19"/>
                <w:szCs w:val="19"/>
                <w:color w:val="auto"/>
              </w:rPr>
            </w:pPr>
          </w:p>
        </w:tc>
        <w:tc>
          <w:tcPr>
            <w:tcW w:w="220" w:type="dxa"/>
            <w:vAlign w:val="bottom"/>
            <w:tcBorders>
              <w:bottom w:val="single" w:sz="8" w:color="auto"/>
            </w:tcBorders>
            <w:shd w:val="clear" w:color="auto" w:fill="E6EEFF"/>
          </w:tcPr>
          <w:p>
            <w:pPr>
              <w:spacing w:after="0"/>
              <w:rPr>
                <w:sz w:val="19"/>
                <w:szCs w:val="19"/>
                <w:color w:val="auto"/>
              </w:rPr>
            </w:pPr>
          </w:p>
        </w:tc>
        <w:tc>
          <w:tcPr>
            <w:tcW w:w="112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1,836</w:t>
            </w:r>
          </w:p>
        </w:tc>
      </w:tr>
      <w:tr>
        <w:trPr>
          <w:trHeight w:val="219"/>
        </w:trPr>
        <w:tc>
          <w:tcPr>
            <w:tcW w:w="4900" w:type="dxa"/>
            <w:vAlign w:val="bottom"/>
            <w:gridSpan w:val="2"/>
          </w:tcPr>
          <w:p>
            <w:pPr>
              <w:ind w:left="20"/>
              <w:spacing w:after="0"/>
              <w:rPr>
                <w:sz w:val="20"/>
                <w:szCs w:val="20"/>
                <w:color w:val="auto"/>
              </w:rPr>
            </w:pPr>
            <w:r>
              <w:rPr>
                <w:rFonts w:ascii="Calibri" w:cs="Calibri" w:eastAsia="Calibri" w:hAnsi="Calibri"/>
                <w:sz w:val="17"/>
                <w:szCs w:val="17"/>
                <w:b w:val="1"/>
                <w:bCs w:val="1"/>
                <w:color w:val="auto"/>
              </w:rPr>
              <w:t>Totals</w:t>
            </w:r>
          </w:p>
        </w:tc>
        <w:tc>
          <w:tcPr>
            <w:tcW w:w="220" w:type="dxa"/>
            <w:vAlign w:val="bottom"/>
            <w:tcBorders>
              <w:bottom w:val="single" w:sz="8" w:color="auto"/>
            </w:tcBorders>
          </w:tcPr>
          <w:p>
            <w:pPr>
              <w:jc w:val="right"/>
              <w:ind w:right="34"/>
              <w:spacing w:after="0" w:line="205" w:lineRule="exact"/>
              <w:rPr>
                <w:sz w:val="20"/>
                <w:szCs w:val="20"/>
                <w:color w:val="auto"/>
              </w:rPr>
            </w:pPr>
            <w:r>
              <w:rPr>
                <w:rFonts w:ascii="Calibri" w:cs="Calibri" w:eastAsia="Calibri" w:hAnsi="Calibri"/>
                <w:sz w:val="17"/>
                <w:szCs w:val="17"/>
                <w:color w:val="auto"/>
                <w:w w:val="92"/>
              </w:rPr>
              <w:t>$</w:t>
            </w:r>
          </w:p>
        </w:tc>
        <w:tc>
          <w:tcPr>
            <w:tcW w:w="16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984,456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2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(13,016)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2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(932,974)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4"/>
              <w:spacing w:after="0" w:line="205" w:lineRule="exact"/>
              <w:rPr>
                <w:sz w:val="20"/>
                <w:szCs w:val="20"/>
                <w:color w:val="auto"/>
              </w:rPr>
            </w:pPr>
            <w:r>
              <w:rPr>
                <w:rFonts w:ascii="Calibri" w:cs="Calibri" w:eastAsia="Calibri" w:hAnsi="Calibri"/>
                <w:sz w:val="17"/>
                <w:szCs w:val="17"/>
                <w:color w:val="auto"/>
                <w:w w:val="92"/>
              </w:rPr>
              <w:t>$</w:t>
            </w:r>
          </w:p>
        </w:tc>
        <w:tc>
          <w:tcPr>
            <w:tcW w:w="1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38,466</w:t>
            </w: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20" w:hanging="617"/>
        <w:spacing w:after="0"/>
        <w:tabs>
          <w:tab w:leader="none" w:pos="620"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See Note 4 to the consolidated fnancial statements for additonal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1049655</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325120</wp:posOffset>
            </wp:positionV>
            <wp:extent cx="458470" cy="5073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60" w:name="page61"/>
    <w:bookmarkEnd w:id="60"/>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468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40" w:type="dxa"/>
            <w:vAlign w:val="bottom"/>
            <w:shd w:val="clear" w:color="auto" w:fill="E6EEFF"/>
          </w:tcPr>
          <w:p>
            <w:pPr>
              <w:spacing w:after="0"/>
              <w:rPr>
                <w:sz w:val="19"/>
                <w:szCs w:val="19"/>
                <w:color w:val="auto"/>
              </w:rPr>
            </w:pPr>
          </w:p>
        </w:tc>
        <w:tc>
          <w:tcPr>
            <w:tcW w:w="170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2800" w:type="dxa"/>
            <w:vAlign w:val="bottom"/>
            <w:gridSpan w:val="5"/>
            <w:shd w:val="clear" w:color="auto" w:fill="E6EEFF"/>
          </w:tcPr>
          <w:p>
            <w:pPr>
              <w:ind w:left="340"/>
              <w:spacing w:after="0"/>
              <w:rPr>
                <w:sz w:val="20"/>
                <w:szCs w:val="20"/>
                <w:color w:val="auto"/>
              </w:rPr>
            </w:pPr>
            <w:r>
              <w:rPr>
                <w:rFonts w:ascii="Calibri" w:cs="Calibri" w:eastAsia="Calibri" w:hAnsi="Calibri"/>
                <w:sz w:val="17"/>
                <w:szCs w:val="17"/>
                <w:b w:val="1"/>
                <w:bCs w:val="1"/>
                <w:color w:val="1C4787"/>
              </w:rPr>
              <w:t>Gross Amounts Not Ofset</w:t>
            </w:r>
          </w:p>
        </w:tc>
        <w:tc>
          <w:tcPr>
            <w:tcW w:w="240" w:type="dxa"/>
            <w:vAlign w:val="bottom"/>
            <w:shd w:val="clear" w:color="auto" w:fill="E6EEFF"/>
          </w:tcPr>
          <w:p>
            <w:pPr>
              <w:spacing w:after="0"/>
              <w:rPr>
                <w:sz w:val="19"/>
                <w:szCs w:val="19"/>
                <w:color w:val="auto"/>
              </w:rPr>
            </w:pPr>
          </w:p>
        </w:tc>
        <w:tc>
          <w:tcPr>
            <w:tcW w:w="1120" w:type="dxa"/>
            <w:vAlign w:val="bottom"/>
            <w:shd w:val="clear" w:color="auto" w:fill="E6EEFF"/>
          </w:tcPr>
          <w:p>
            <w:pPr>
              <w:spacing w:after="0"/>
              <w:rPr>
                <w:sz w:val="19"/>
                <w:szCs w:val="19"/>
                <w:color w:val="auto"/>
              </w:rPr>
            </w:pPr>
          </w:p>
        </w:tc>
      </w:tr>
      <w:tr>
        <w:trPr>
          <w:trHeight w:val="165"/>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300"/>
              <w:spacing w:after="0" w:line="166" w:lineRule="exact"/>
              <w:rPr>
                <w:sz w:val="20"/>
                <w:szCs w:val="20"/>
                <w:color w:val="auto"/>
              </w:rPr>
            </w:pPr>
            <w:r>
              <w:rPr>
                <w:rFonts w:ascii="Calibri" w:cs="Calibri" w:eastAsia="Calibri" w:hAnsi="Calibri"/>
                <w:sz w:val="17"/>
                <w:szCs w:val="17"/>
                <w:b w:val="1"/>
                <w:bCs w:val="1"/>
                <w:color w:val="1C4787"/>
                <w:w w:val="99"/>
              </w:rPr>
              <w:t>Financial</w:t>
            </w: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7"/>
        </w:trPr>
        <w:tc>
          <w:tcPr>
            <w:tcW w:w="4800" w:type="dxa"/>
            <w:vAlign w:val="bottom"/>
            <w:gridSpan w:val="2"/>
          </w:tcPr>
          <w:p>
            <w:pPr>
              <w:ind w:left="2000"/>
              <w:spacing w:after="0" w:line="205" w:lineRule="exact"/>
              <w:rPr>
                <w:sz w:val="20"/>
                <w:szCs w:val="20"/>
                <w:color w:val="auto"/>
              </w:rPr>
            </w:pPr>
            <w:r>
              <w:rPr>
                <w:rFonts w:ascii="Calibri" w:cs="Calibri" w:eastAsia="Calibri" w:hAnsi="Calibri"/>
                <w:sz w:val="17"/>
                <w:szCs w:val="17"/>
                <w:b w:val="1"/>
                <w:bCs w:val="1"/>
                <w:color w:val="1C4787"/>
              </w:rPr>
              <w:t>Liabilites</w:t>
            </w:r>
          </w:p>
        </w:tc>
        <w:tc>
          <w:tcPr>
            <w:tcW w:w="240" w:type="dxa"/>
            <w:vAlign w:val="bottom"/>
          </w:tcPr>
          <w:p>
            <w:pPr>
              <w:spacing w:after="0"/>
              <w:rPr>
                <w:sz w:val="19"/>
                <w:szCs w:val="19"/>
                <w:color w:val="auto"/>
              </w:rPr>
            </w:pPr>
          </w:p>
        </w:tc>
        <w:tc>
          <w:tcPr>
            <w:tcW w:w="1820" w:type="dxa"/>
            <w:vAlign w:val="bottom"/>
            <w:gridSpan w:val="2"/>
          </w:tcPr>
          <w:p>
            <w:pPr>
              <w:ind w:left="140"/>
              <w:spacing w:after="0" w:line="228" w:lineRule="exact"/>
              <w:rPr>
                <w:sz w:val="20"/>
                <w:szCs w:val="20"/>
                <w:color w:val="auto"/>
              </w:rPr>
            </w:pPr>
            <w:r>
              <w:rPr>
                <w:rFonts w:ascii="Calibri" w:cs="Calibri" w:eastAsia="Calibri" w:hAnsi="Calibri"/>
                <w:sz w:val="17"/>
                <w:szCs w:val="17"/>
                <w:b w:val="1"/>
                <w:bCs w:val="1"/>
                <w:color w:val="1C4787"/>
              </w:rPr>
              <w:t>Gross Amounts</w:t>
            </w:r>
            <w:r>
              <w:rPr>
                <w:rFonts w:ascii="Calibri" w:cs="Calibri" w:eastAsia="Calibri" w:hAnsi="Calibri"/>
                <w:sz w:val="22"/>
                <w:szCs w:val="22"/>
                <w:b w:val="1"/>
                <w:bCs w:val="1"/>
                <w:color w:val="1C4787"/>
                <w:vertAlign w:val="superscript"/>
              </w:rPr>
              <w:t>(1)</w:t>
            </w:r>
          </w:p>
        </w:tc>
        <w:tc>
          <w:tcPr>
            <w:tcW w:w="200" w:type="dxa"/>
            <w:vAlign w:val="bottom"/>
          </w:tcPr>
          <w:p>
            <w:pPr>
              <w:spacing w:after="0"/>
              <w:rPr>
                <w:sz w:val="19"/>
                <w:szCs w:val="19"/>
                <w:color w:val="auto"/>
              </w:rPr>
            </w:pPr>
          </w:p>
        </w:tc>
        <w:tc>
          <w:tcPr>
            <w:tcW w:w="1320" w:type="dxa"/>
            <w:vAlign w:val="bottom"/>
            <w:gridSpan w:val="2"/>
          </w:tcPr>
          <w:p>
            <w:pPr>
              <w:jc w:val="center"/>
              <w:ind w:right="320"/>
              <w:spacing w:after="0" w:line="205" w:lineRule="exact"/>
              <w:rPr>
                <w:sz w:val="20"/>
                <w:szCs w:val="20"/>
                <w:color w:val="auto"/>
              </w:rPr>
            </w:pPr>
            <w:r>
              <w:rPr>
                <w:rFonts w:ascii="Calibri" w:cs="Calibri" w:eastAsia="Calibri" w:hAnsi="Calibri"/>
                <w:sz w:val="17"/>
                <w:szCs w:val="17"/>
                <w:b w:val="1"/>
                <w:bCs w:val="1"/>
                <w:color w:val="1C4787"/>
                <w:w w:val="97"/>
              </w:rPr>
              <w:t>Instruments</w:t>
            </w:r>
          </w:p>
        </w:tc>
        <w:tc>
          <w:tcPr>
            <w:tcW w:w="140" w:type="dxa"/>
            <w:vAlign w:val="bottom"/>
          </w:tcPr>
          <w:p>
            <w:pPr>
              <w:spacing w:after="0"/>
              <w:rPr>
                <w:sz w:val="19"/>
                <w:szCs w:val="19"/>
                <w:color w:val="auto"/>
              </w:rPr>
            </w:pPr>
          </w:p>
        </w:tc>
        <w:tc>
          <w:tcPr>
            <w:tcW w:w="1340" w:type="dxa"/>
            <w:vAlign w:val="bottom"/>
            <w:gridSpan w:val="2"/>
          </w:tcPr>
          <w:p>
            <w:pPr>
              <w:ind w:left="40"/>
              <w:spacing w:after="0" w:line="205" w:lineRule="exact"/>
              <w:rPr>
                <w:sz w:val="20"/>
                <w:szCs w:val="20"/>
                <w:color w:val="auto"/>
              </w:rPr>
            </w:pPr>
            <w:r>
              <w:rPr>
                <w:rFonts w:ascii="Calibri" w:cs="Calibri" w:eastAsia="Calibri" w:hAnsi="Calibri"/>
                <w:sz w:val="17"/>
                <w:szCs w:val="17"/>
                <w:b w:val="1"/>
                <w:bCs w:val="1"/>
                <w:color w:val="1C4787"/>
              </w:rPr>
              <w:t>Cash Collateral</w:t>
            </w:r>
          </w:p>
        </w:tc>
        <w:tc>
          <w:tcPr>
            <w:tcW w:w="240" w:type="dxa"/>
            <w:vAlign w:val="bottom"/>
          </w:tcPr>
          <w:p>
            <w:pPr>
              <w:spacing w:after="0"/>
              <w:rPr>
                <w:sz w:val="19"/>
                <w:szCs w:val="19"/>
                <w:color w:val="auto"/>
              </w:rPr>
            </w:pPr>
          </w:p>
        </w:tc>
        <w:tc>
          <w:tcPr>
            <w:tcW w:w="1120" w:type="dxa"/>
            <w:vAlign w:val="bottom"/>
          </w:tcPr>
          <w:p>
            <w:pPr>
              <w:ind w:left="120"/>
              <w:spacing w:after="0" w:line="205" w:lineRule="exact"/>
              <w:rPr>
                <w:sz w:val="20"/>
                <w:szCs w:val="20"/>
                <w:color w:val="auto"/>
              </w:rPr>
            </w:pPr>
            <w:r>
              <w:rPr>
                <w:rFonts w:ascii="Calibri" w:cs="Calibri" w:eastAsia="Calibri" w:hAnsi="Calibri"/>
                <w:sz w:val="17"/>
                <w:szCs w:val="17"/>
                <w:b w:val="1"/>
                <w:bCs w:val="1"/>
                <w:color w:val="1C4787"/>
              </w:rPr>
              <w:t>Total Net</w:t>
            </w:r>
          </w:p>
        </w:tc>
      </w:tr>
      <w:tr>
        <w:trPr>
          <w:trHeight w:val="212"/>
        </w:trPr>
        <w:tc>
          <w:tcPr>
            <w:tcW w:w="4680" w:type="dxa"/>
            <w:vAlign w:val="bottom"/>
            <w:tcBorders>
              <w:top w:val="single" w:sz="8" w:color="auto"/>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20" w:type="dxa"/>
            <w:vAlign w:val="bottom"/>
            <w:tcBorders>
              <w:top w:val="single" w:sz="8" w:color="E6EEFF"/>
            </w:tcBorders>
            <w:shd w:val="clear" w:color="auto" w:fill="E6EEFF"/>
          </w:tcPr>
          <w:p>
            <w:pPr>
              <w:spacing w:after="0"/>
              <w:rPr>
                <w:sz w:val="18"/>
                <w:szCs w:val="18"/>
                <w:color w:val="auto"/>
              </w:rPr>
            </w:pPr>
          </w:p>
        </w:tc>
        <w:tc>
          <w:tcPr>
            <w:tcW w:w="240" w:type="dxa"/>
            <w:vAlign w:val="bottom"/>
            <w:tcBorders>
              <w:top w:val="single" w:sz="8" w:color="auto"/>
            </w:tcBorders>
            <w:shd w:val="clear" w:color="auto" w:fill="E6EEFF"/>
          </w:tcPr>
          <w:p>
            <w:pPr>
              <w:spacing w:after="0"/>
              <w:rPr>
                <w:sz w:val="18"/>
                <w:szCs w:val="18"/>
                <w:color w:val="auto"/>
              </w:rPr>
            </w:pPr>
          </w:p>
        </w:tc>
        <w:tc>
          <w:tcPr>
            <w:tcW w:w="1700" w:type="dxa"/>
            <w:vAlign w:val="bottom"/>
            <w:tcBorders>
              <w:top w:val="single" w:sz="8" w:color="auto"/>
            </w:tcBorders>
            <w:shd w:val="clear" w:color="auto" w:fill="E6EEFF"/>
          </w:tcPr>
          <w:p>
            <w:pPr>
              <w:spacing w:after="0"/>
              <w:rPr>
                <w:sz w:val="18"/>
                <w:szCs w:val="18"/>
                <w:color w:val="auto"/>
              </w:rPr>
            </w:pPr>
          </w:p>
        </w:tc>
        <w:tc>
          <w:tcPr>
            <w:tcW w:w="120" w:type="dxa"/>
            <w:vAlign w:val="bottom"/>
            <w:tcBorders>
              <w:top w:val="single" w:sz="8" w:color="E6EEFF"/>
            </w:tcBorders>
            <w:shd w:val="clear" w:color="auto" w:fill="E6EEFF"/>
          </w:tcPr>
          <w:p>
            <w:pPr>
              <w:spacing w:after="0"/>
              <w:rPr>
                <w:sz w:val="18"/>
                <w:szCs w:val="18"/>
                <w:color w:val="auto"/>
              </w:rPr>
            </w:pPr>
          </w:p>
        </w:tc>
        <w:tc>
          <w:tcPr>
            <w:tcW w:w="200" w:type="dxa"/>
            <w:vAlign w:val="bottom"/>
            <w:tcBorders>
              <w:top w:val="single" w:sz="8" w:color="auto"/>
            </w:tcBorders>
            <w:shd w:val="clear" w:color="auto" w:fill="E6EEFF"/>
          </w:tcPr>
          <w:p>
            <w:pPr>
              <w:spacing w:after="0"/>
              <w:rPr>
                <w:sz w:val="18"/>
                <w:szCs w:val="18"/>
                <w:color w:val="auto"/>
              </w:rPr>
            </w:pPr>
          </w:p>
        </w:tc>
        <w:tc>
          <w:tcPr>
            <w:tcW w:w="1220" w:type="dxa"/>
            <w:vAlign w:val="bottom"/>
            <w:tcBorders>
              <w:top w:val="single" w:sz="8" w:color="auto"/>
            </w:tcBorders>
            <w:shd w:val="clear" w:color="auto" w:fill="E6EEFF"/>
          </w:tcPr>
          <w:p>
            <w:pPr>
              <w:spacing w:after="0"/>
              <w:rPr>
                <w:sz w:val="18"/>
                <w:szCs w:val="18"/>
                <w:color w:val="auto"/>
              </w:rPr>
            </w:pPr>
          </w:p>
        </w:tc>
        <w:tc>
          <w:tcPr>
            <w:tcW w:w="100" w:type="dxa"/>
            <w:vAlign w:val="bottom"/>
            <w:tcBorders>
              <w:top w:val="single" w:sz="8" w:color="E6EEFF"/>
            </w:tcBorders>
            <w:shd w:val="clear" w:color="auto" w:fill="E6EEFF"/>
          </w:tcPr>
          <w:p>
            <w:pPr>
              <w:spacing w:after="0"/>
              <w:rPr>
                <w:sz w:val="18"/>
                <w:szCs w:val="18"/>
                <w:color w:val="auto"/>
              </w:rPr>
            </w:pPr>
          </w:p>
        </w:tc>
        <w:tc>
          <w:tcPr>
            <w:tcW w:w="140" w:type="dxa"/>
            <w:vAlign w:val="bottom"/>
            <w:tcBorders>
              <w:top w:val="single" w:sz="8" w:color="auto"/>
            </w:tcBorders>
            <w:shd w:val="clear" w:color="auto" w:fill="E6EEFF"/>
          </w:tcPr>
          <w:p>
            <w:pPr>
              <w:spacing w:after="0"/>
              <w:rPr>
                <w:sz w:val="18"/>
                <w:szCs w:val="18"/>
                <w:color w:val="auto"/>
              </w:rPr>
            </w:pPr>
          </w:p>
        </w:tc>
        <w:tc>
          <w:tcPr>
            <w:tcW w:w="1220" w:type="dxa"/>
            <w:vAlign w:val="bottom"/>
            <w:tcBorders>
              <w:top w:val="single" w:sz="8" w:color="auto"/>
            </w:tcBorders>
            <w:shd w:val="clear" w:color="auto" w:fill="E6EEFF"/>
          </w:tcPr>
          <w:p>
            <w:pPr>
              <w:spacing w:after="0"/>
              <w:rPr>
                <w:sz w:val="18"/>
                <w:szCs w:val="18"/>
                <w:color w:val="auto"/>
              </w:rPr>
            </w:pPr>
          </w:p>
        </w:tc>
        <w:tc>
          <w:tcPr>
            <w:tcW w:w="120" w:type="dxa"/>
            <w:vAlign w:val="bottom"/>
            <w:tcBorders>
              <w:top w:val="single" w:sz="8" w:color="E6EEFF"/>
            </w:tcBorders>
            <w:shd w:val="clear" w:color="auto" w:fill="E6EEFF"/>
          </w:tcPr>
          <w:p>
            <w:pPr>
              <w:spacing w:after="0"/>
              <w:rPr>
                <w:sz w:val="18"/>
                <w:szCs w:val="18"/>
                <w:color w:val="auto"/>
              </w:rPr>
            </w:pPr>
          </w:p>
        </w:tc>
        <w:tc>
          <w:tcPr>
            <w:tcW w:w="240" w:type="dxa"/>
            <w:vAlign w:val="bottom"/>
            <w:tcBorders>
              <w:top w:val="single" w:sz="8" w:color="auto"/>
            </w:tcBorders>
            <w:shd w:val="clear" w:color="auto" w:fill="E6EEFF"/>
          </w:tcPr>
          <w:p>
            <w:pPr>
              <w:spacing w:after="0"/>
              <w:rPr>
                <w:sz w:val="18"/>
                <w:szCs w:val="18"/>
                <w:color w:val="auto"/>
              </w:rPr>
            </w:pPr>
          </w:p>
        </w:tc>
        <w:tc>
          <w:tcPr>
            <w:tcW w:w="1120" w:type="dxa"/>
            <w:vAlign w:val="bottom"/>
            <w:tcBorders>
              <w:top w:val="single" w:sz="8" w:color="auto"/>
            </w:tcBorders>
            <w:shd w:val="clear" w:color="auto" w:fill="E6EEFF"/>
          </w:tcPr>
          <w:p>
            <w:pPr>
              <w:spacing w:after="0"/>
              <w:rPr>
                <w:sz w:val="18"/>
                <w:szCs w:val="18"/>
                <w:color w:val="auto"/>
              </w:rPr>
            </w:pPr>
          </w:p>
        </w:tc>
      </w:tr>
      <w:tr>
        <w:trPr>
          <w:trHeight w:val="205"/>
        </w:trPr>
        <w:tc>
          <w:tcPr>
            <w:tcW w:w="4680" w:type="dxa"/>
            <w:vAlign w:val="bottom"/>
          </w:tcPr>
          <w:p>
            <w:pPr>
              <w:ind w:left="20"/>
              <w:spacing w:after="0" w:line="205" w:lineRule="exact"/>
              <w:rPr>
                <w:sz w:val="20"/>
                <w:szCs w:val="20"/>
                <w:color w:val="auto"/>
              </w:rPr>
            </w:pPr>
            <w:r>
              <w:rPr>
                <w:rFonts w:ascii="Calibri" w:cs="Calibri" w:eastAsia="Calibri" w:hAnsi="Calibri"/>
                <w:sz w:val="17"/>
                <w:szCs w:val="17"/>
                <w:color w:val="auto"/>
              </w:rPr>
              <w:t>Interest rate swap contracts</w:t>
            </w:r>
          </w:p>
        </w:tc>
        <w:tc>
          <w:tcPr>
            <w:tcW w:w="120" w:type="dxa"/>
            <w:vAlign w:val="bottom"/>
          </w:tcPr>
          <w:p>
            <w:pPr>
              <w:spacing w:after="0"/>
              <w:rPr>
                <w:sz w:val="17"/>
                <w:szCs w:val="17"/>
                <w:color w:val="auto"/>
              </w:rPr>
            </w:pPr>
          </w:p>
        </w:tc>
        <w:tc>
          <w:tcPr>
            <w:tcW w:w="240" w:type="dxa"/>
            <w:vAlign w:val="bottom"/>
          </w:tcPr>
          <w:p>
            <w:pPr>
              <w:jc w:val="right"/>
              <w:ind w:right="54"/>
              <w:spacing w:after="0" w:line="190" w:lineRule="exact"/>
              <w:rPr>
                <w:sz w:val="20"/>
                <w:szCs w:val="20"/>
                <w:color w:val="auto"/>
              </w:rPr>
            </w:pPr>
            <w:r>
              <w:rPr>
                <w:rFonts w:ascii="Calibri" w:cs="Calibri" w:eastAsia="Calibri" w:hAnsi="Calibri"/>
                <w:sz w:val="17"/>
                <w:szCs w:val="17"/>
                <w:color w:val="auto"/>
                <w:w w:val="92"/>
              </w:rPr>
              <w:t>$</w:t>
            </w:r>
          </w:p>
        </w:tc>
        <w:tc>
          <w:tcPr>
            <w:tcW w:w="1700" w:type="dxa"/>
            <w:vAlign w:val="bottom"/>
          </w:tcPr>
          <w:p>
            <w:pPr>
              <w:jc w:val="right"/>
              <w:spacing w:after="0" w:line="190" w:lineRule="exact"/>
              <w:rPr>
                <w:sz w:val="20"/>
                <w:szCs w:val="20"/>
                <w:color w:val="auto"/>
              </w:rPr>
            </w:pPr>
            <w:r>
              <w:rPr>
                <w:rFonts w:ascii="Calibri" w:cs="Calibri" w:eastAsia="Calibri" w:hAnsi="Calibri"/>
                <w:sz w:val="17"/>
                <w:szCs w:val="17"/>
                <w:color w:val="auto"/>
              </w:rPr>
              <w:t>(5,036)</w:t>
            </w:r>
          </w:p>
        </w:tc>
        <w:tc>
          <w:tcPr>
            <w:tcW w:w="120" w:type="dxa"/>
            <w:vAlign w:val="bottom"/>
          </w:tcPr>
          <w:p>
            <w:pPr>
              <w:spacing w:after="0"/>
              <w:rPr>
                <w:sz w:val="17"/>
                <w:szCs w:val="17"/>
                <w:color w:val="auto"/>
              </w:rPr>
            </w:pPr>
          </w:p>
        </w:tc>
        <w:tc>
          <w:tcPr>
            <w:tcW w:w="200" w:type="dxa"/>
            <w:vAlign w:val="bottom"/>
          </w:tcPr>
          <w:p>
            <w:pPr>
              <w:jc w:val="right"/>
              <w:ind w:right="14"/>
              <w:spacing w:after="0" w:line="190" w:lineRule="exact"/>
              <w:rPr>
                <w:sz w:val="20"/>
                <w:szCs w:val="20"/>
                <w:color w:val="auto"/>
              </w:rPr>
            </w:pPr>
            <w:r>
              <w:rPr>
                <w:rFonts w:ascii="Calibri" w:cs="Calibri" w:eastAsia="Calibri" w:hAnsi="Calibri"/>
                <w:sz w:val="17"/>
                <w:szCs w:val="17"/>
                <w:color w:val="auto"/>
                <w:w w:val="92"/>
              </w:rPr>
              <w:t>$</w:t>
            </w:r>
          </w:p>
        </w:tc>
        <w:tc>
          <w:tcPr>
            <w:tcW w:w="1220" w:type="dxa"/>
            <w:vAlign w:val="bottom"/>
          </w:tcPr>
          <w:p>
            <w:pPr>
              <w:jc w:val="right"/>
              <w:spacing w:after="0" w:line="190" w:lineRule="exact"/>
              <w:rPr>
                <w:sz w:val="20"/>
                <w:szCs w:val="20"/>
                <w:color w:val="auto"/>
              </w:rPr>
            </w:pPr>
            <w:r>
              <w:rPr>
                <w:rFonts w:ascii="Calibri" w:cs="Calibri" w:eastAsia="Calibri" w:hAnsi="Calibri"/>
                <w:sz w:val="17"/>
                <w:szCs w:val="17"/>
                <w:color w:val="auto"/>
              </w:rPr>
              <w:t>5,036</w:t>
            </w:r>
          </w:p>
        </w:tc>
        <w:tc>
          <w:tcPr>
            <w:tcW w:w="100" w:type="dxa"/>
            <w:vAlign w:val="bottom"/>
          </w:tcPr>
          <w:p>
            <w:pPr>
              <w:spacing w:after="0"/>
              <w:rPr>
                <w:sz w:val="17"/>
                <w:szCs w:val="17"/>
                <w:color w:val="auto"/>
              </w:rPr>
            </w:pPr>
          </w:p>
        </w:tc>
        <w:tc>
          <w:tcPr>
            <w:tcW w:w="140" w:type="dxa"/>
            <w:vAlign w:val="bottom"/>
          </w:tcPr>
          <w:p>
            <w:pPr>
              <w:jc w:val="right"/>
              <w:spacing w:after="0" w:line="190" w:lineRule="exact"/>
              <w:rPr>
                <w:sz w:val="20"/>
                <w:szCs w:val="20"/>
                <w:color w:val="auto"/>
              </w:rPr>
            </w:pPr>
            <w:r>
              <w:rPr>
                <w:rFonts w:ascii="Calibri" w:cs="Calibri" w:eastAsia="Calibri" w:hAnsi="Calibri"/>
                <w:sz w:val="17"/>
                <w:szCs w:val="17"/>
                <w:color w:val="auto"/>
              </w:rPr>
              <w:t>$</w:t>
            </w:r>
          </w:p>
        </w:tc>
        <w:tc>
          <w:tcPr>
            <w:tcW w:w="1340" w:type="dxa"/>
            <w:vAlign w:val="bottom"/>
            <w:gridSpan w:val="2"/>
          </w:tcPr>
          <w:p>
            <w:pPr>
              <w:ind w:left="1000"/>
              <w:spacing w:after="0" w:line="190" w:lineRule="exact"/>
              <w:rPr>
                <w:sz w:val="20"/>
                <w:szCs w:val="20"/>
                <w:color w:val="auto"/>
              </w:rPr>
            </w:pPr>
            <w:r>
              <w:rPr>
                <w:rFonts w:ascii="Calibri" w:cs="Calibri" w:eastAsia="Calibri" w:hAnsi="Calibri"/>
                <w:sz w:val="17"/>
                <w:szCs w:val="17"/>
                <w:color w:val="auto"/>
              </w:rPr>
              <w:t>—</w:t>
            </w:r>
          </w:p>
        </w:tc>
        <w:tc>
          <w:tcPr>
            <w:tcW w:w="240" w:type="dxa"/>
            <w:vAlign w:val="bottom"/>
          </w:tcPr>
          <w:p>
            <w:pPr>
              <w:jc w:val="right"/>
              <w:ind w:right="54"/>
              <w:spacing w:after="0" w:line="190" w:lineRule="exact"/>
              <w:rPr>
                <w:sz w:val="20"/>
                <w:szCs w:val="20"/>
                <w:color w:val="auto"/>
              </w:rPr>
            </w:pPr>
            <w:r>
              <w:rPr>
                <w:rFonts w:ascii="Calibri" w:cs="Calibri" w:eastAsia="Calibri" w:hAnsi="Calibri"/>
                <w:sz w:val="17"/>
                <w:szCs w:val="17"/>
                <w:color w:val="auto"/>
                <w:w w:val="92"/>
              </w:rPr>
              <w:t>$</w:t>
            </w:r>
          </w:p>
        </w:tc>
        <w:tc>
          <w:tcPr>
            <w:tcW w:w="1120" w:type="dxa"/>
            <w:vAlign w:val="bottom"/>
          </w:tcPr>
          <w:p>
            <w:pPr>
              <w:ind w:left="900"/>
              <w:spacing w:after="0" w:line="190" w:lineRule="exact"/>
              <w:rPr>
                <w:sz w:val="20"/>
                <w:szCs w:val="20"/>
                <w:color w:val="auto"/>
              </w:rPr>
            </w:pPr>
            <w:r>
              <w:rPr>
                <w:rFonts w:ascii="Calibri" w:cs="Calibri" w:eastAsia="Calibri" w:hAnsi="Calibri"/>
                <w:sz w:val="17"/>
                <w:szCs w:val="17"/>
                <w:color w:val="auto"/>
              </w:rPr>
              <w:t>—</w:t>
            </w:r>
          </w:p>
        </w:tc>
      </w:tr>
      <w:tr>
        <w:trPr>
          <w:trHeight w:val="219"/>
        </w:trPr>
        <w:tc>
          <w:tcPr>
            <w:tcW w:w="480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TBA Agency Securites</w:t>
            </w:r>
          </w:p>
        </w:tc>
        <w:tc>
          <w:tcPr>
            <w:tcW w:w="240" w:type="dxa"/>
            <w:vAlign w:val="bottom"/>
            <w:shd w:val="clear" w:color="auto" w:fill="E6EEFF"/>
          </w:tcPr>
          <w:p>
            <w:pPr>
              <w:spacing w:after="0"/>
              <w:rPr>
                <w:sz w:val="19"/>
                <w:szCs w:val="19"/>
                <w:color w:val="auto"/>
              </w:rPr>
            </w:pPr>
          </w:p>
        </w:tc>
        <w:tc>
          <w:tcPr>
            <w:tcW w:w="1820" w:type="dxa"/>
            <w:vAlign w:val="bottom"/>
            <w:gridSpan w:val="2"/>
            <w:shd w:val="clear" w:color="auto" w:fill="E6EEFF"/>
          </w:tcPr>
          <w:p>
            <w:pPr>
              <w:ind w:left="1480"/>
              <w:spacing w:after="0"/>
              <w:rPr>
                <w:sz w:val="20"/>
                <w:szCs w:val="20"/>
                <w:color w:val="auto"/>
              </w:rPr>
            </w:pPr>
            <w:r>
              <w:rPr>
                <w:rFonts w:ascii="Calibri" w:cs="Calibri" w:eastAsia="Calibri" w:hAnsi="Calibri"/>
                <w:sz w:val="17"/>
                <w:szCs w:val="17"/>
                <w:color w:val="auto"/>
              </w:rPr>
              <w:t>—</w:t>
            </w:r>
          </w:p>
        </w:tc>
        <w:tc>
          <w:tcPr>
            <w:tcW w:w="200" w:type="dxa"/>
            <w:vAlign w:val="bottom"/>
            <w:shd w:val="clear" w:color="auto" w:fill="E6EEFF"/>
          </w:tcPr>
          <w:p>
            <w:pPr>
              <w:spacing w:after="0"/>
              <w:rPr>
                <w:sz w:val="19"/>
                <w:szCs w:val="19"/>
                <w:color w:val="auto"/>
              </w:rPr>
            </w:pPr>
          </w:p>
        </w:tc>
        <w:tc>
          <w:tcPr>
            <w:tcW w:w="12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1,816</w:t>
            </w:r>
          </w:p>
        </w:tc>
        <w:tc>
          <w:tcPr>
            <w:tcW w:w="100" w:type="dxa"/>
            <w:vAlign w:val="bottom"/>
            <w:shd w:val="clear" w:color="auto" w:fill="E6EEFF"/>
          </w:tcPr>
          <w:p>
            <w:pPr>
              <w:spacing w:after="0"/>
              <w:rPr>
                <w:sz w:val="19"/>
                <w:szCs w:val="19"/>
                <w:color w:val="auto"/>
              </w:rPr>
            </w:pPr>
          </w:p>
        </w:tc>
        <w:tc>
          <w:tcPr>
            <w:tcW w:w="140" w:type="dxa"/>
            <w:vAlign w:val="bottom"/>
            <w:shd w:val="clear" w:color="auto" w:fill="E6EEFF"/>
          </w:tcPr>
          <w:p>
            <w:pPr>
              <w:spacing w:after="0"/>
              <w:rPr>
                <w:sz w:val="19"/>
                <w:szCs w:val="19"/>
                <w:color w:val="auto"/>
              </w:rPr>
            </w:pPr>
          </w:p>
        </w:tc>
        <w:tc>
          <w:tcPr>
            <w:tcW w:w="1220" w:type="dxa"/>
            <w:vAlign w:val="bottom"/>
            <w:shd w:val="clear" w:color="auto" w:fill="E6EEFF"/>
          </w:tcPr>
          <w:p>
            <w:pPr>
              <w:ind w:left="720"/>
              <w:spacing w:after="0"/>
              <w:rPr>
                <w:sz w:val="20"/>
                <w:szCs w:val="20"/>
                <w:color w:val="auto"/>
              </w:rPr>
            </w:pPr>
            <w:r>
              <w:rPr>
                <w:rFonts w:ascii="Calibri" w:cs="Calibri" w:eastAsia="Calibri" w:hAnsi="Calibri"/>
                <w:sz w:val="17"/>
                <w:szCs w:val="17"/>
                <w:color w:val="auto"/>
                <w:w w:val="97"/>
              </w:rPr>
              <w:t>(2,070)</w:t>
            </w:r>
          </w:p>
        </w:tc>
        <w:tc>
          <w:tcPr>
            <w:tcW w:w="120" w:type="dxa"/>
            <w:vAlign w:val="bottom"/>
            <w:shd w:val="clear" w:color="auto" w:fill="E6EEFF"/>
          </w:tcPr>
          <w:p>
            <w:pPr>
              <w:spacing w:after="0"/>
              <w:rPr>
                <w:sz w:val="19"/>
                <w:szCs w:val="19"/>
                <w:color w:val="auto"/>
              </w:rPr>
            </w:pPr>
          </w:p>
        </w:tc>
        <w:tc>
          <w:tcPr>
            <w:tcW w:w="240" w:type="dxa"/>
            <w:vAlign w:val="bottom"/>
            <w:shd w:val="clear" w:color="auto" w:fill="E6EEFF"/>
          </w:tcPr>
          <w:p>
            <w:pPr>
              <w:spacing w:after="0"/>
              <w:rPr>
                <w:sz w:val="19"/>
                <w:szCs w:val="19"/>
                <w:color w:val="auto"/>
              </w:rPr>
            </w:pPr>
          </w:p>
        </w:tc>
        <w:tc>
          <w:tcPr>
            <w:tcW w:w="1120" w:type="dxa"/>
            <w:vAlign w:val="bottom"/>
            <w:shd w:val="clear" w:color="auto" w:fill="E6EEFF"/>
          </w:tcPr>
          <w:p>
            <w:pPr>
              <w:ind w:left="720"/>
              <w:spacing w:after="0"/>
              <w:rPr>
                <w:sz w:val="20"/>
                <w:szCs w:val="20"/>
                <w:color w:val="auto"/>
              </w:rPr>
            </w:pPr>
            <w:r>
              <w:rPr>
                <w:rFonts w:ascii="Calibri" w:cs="Calibri" w:eastAsia="Calibri" w:hAnsi="Calibri"/>
                <w:sz w:val="17"/>
                <w:szCs w:val="17"/>
                <w:color w:val="auto"/>
              </w:rPr>
              <w:t>(254)</w:t>
            </w:r>
          </w:p>
        </w:tc>
      </w:tr>
      <w:tr>
        <w:trPr>
          <w:trHeight w:val="219"/>
        </w:trPr>
        <w:tc>
          <w:tcPr>
            <w:tcW w:w="4800" w:type="dxa"/>
            <w:vAlign w:val="bottom"/>
            <w:gridSpan w:val="2"/>
          </w:tcPr>
          <w:p>
            <w:pPr>
              <w:ind w:left="20"/>
              <w:spacing w:after="0"/>
              <w:rPr>
                <w:sz w:val="20"/>
                <w:szCs w:val="20"/>
                <w:color w:val="auto"/>
              </w:rPr>
            </w:pPr>
            <w:r>
              <w:rPr>
                <w:rFonts w:ascii="Calibri" w:cs="Calibri" w:eastAsia="Calibri" w:hAnsi="Calibri"/>
                <w:sz w:val="17"/>
                <w:szCs w:val="17"/>
                <w:b w:val="1"/>
                <w:bCs w:val="1"/>
                <w:color w:val="auto"/>
              </w:rPr>
              <w:t>Totals</w:t>
            </w:r>
          </w:p>
        </w:tc>
        <w:tc>
          <w:tcPr>
            <w:tcW w:w="240" w:type="dxa"/>
            <w:vAlign w:val="bottom"/>
            <w:tcBorders>
              <w:top w:val="single" w:sz="8" w:color="auto"/>
              <w:bottom w:val="single" w:sz="8" w:color="auto"/>
            </w:tcBorders>
          </w:tcPr>
          <w:p>
            <w:pPr>
              <w:jc w:val="right"/>
              <w:ind w:right="54"/>
              <w:spacing w:after="0" w:line="205" w:lineRule="exact"/>
              <w:rPr>
                <w:sz w:val="20"/>
                <w:szCs w:val="20"/>
                <w:color w:val="auto"/>
              </w:rPr>
            </w:pPr>
            <w:r>
              <w:rPr>
                <w:rFonts w:ascii="Calibri" w:cs="Calibri" w:eastAsia="Calibri" w:hAnsi="Calibri"/>
                <w:sz w:val="17"/>
                <w:szCs w:val="17"/>
                <w:color w:val="auto"/>
                <w:w w:val="92"/>
              </w:rPr>
              <w:t>$</w:t>
            </w:r>
          </w:p>
        </w:tc>
        <w:tc>
          <w:tcPr>
            <w:tcW w:w="1700" w:type="dxa"/>
            <w:vAlign w:val="bottom"/>
            <w:tcBorders>
              <w:top w:val="single" w:sz="8" w:color="auto"/>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(5,036)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220" w:type="dxa"/>
            <w:vAlign w:val="bottom"/>
            <w:tcBorders>
              <w:top w:val="single" w:sz="8" w:color="auto"/>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6,852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1220" w:type="dxa"/>
            <w:vAlign w:val="bottom"/>
            <w:tcBorders>
              <w:top w:val="single" w:sz="8" w:color="auto"/>
              <w:bottom w:val="single" w:sz="8" w:color="auto"/>
            </w:tcBorders>
          </w:tcPr>
          <w:p>
            <w:pPr>
              <w:ind w:left="720"/>
              <w:spacing w:after="0" w:line="205" w:lineRule="exact"/>
              <w:rPr>
                <w:sz w:val="20"/>
                <w:szCs w:val="20"/>
                <w:color w:val="auto"/>
              </w:rPr>
            </w:pPr>
            <w:r>
              <w:rPr>
                <w:rFonts w:ascii="Calibri" w:cs="Calibri" w:eastAsia="Calibri" w:hAnsi="Calibri"/>
                <w:sz w:val="17"/>
                <w:szCs w:val="17"/>
                <w:color w:val="auto"/>
                <w:w w:val="97"/>
              </w:rPr>
              <w:t>(2,070)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line="205" w:lineRule="exact"/>
              <w:rPr>
                <w:sz w:val="20"/>
                <w:szCs w:val="20"/>
                <w:color w:val="auto"/>
              </w:rPr>
            </w:pPr>
            <w:r>
              <w:rPr>
                <w:rFonts w:ascii="Calibri" w:cs="Calibri" w:eastAsia="Calibri" w:hAnsi="Calibri"/>
                <w:sz w:val="17"/>
                <w:szCs w:val="17"/>
                <w:color w:val="auto"/>
                <w:w w:val="92"/>
              </w:rPr>
              <w:t>$</w:t>
            </w:r>
          </w:p>
        </w:tc>
        <w:tc>
          <w:tcPr>
            <w:tcW w:w="1120" w:type="dxa"/>
            <w:vAlign w:val="bottom"/>
            <w:tcBorders>
              <w:top w:val="single" w:sz="8" w:color="auto"/>
              <w:bottom w:val="single" w:sz="8" w:color="auto"/>
            </w:tcBorders>
          </w:tcPr>
          <w:p>
            <w:pPr>
              <w:ind w:left="720"/>
              <w:spacing w:after="0" w:line="205" w:lineRule="exact"/>
              <w:rPr>
                <w:sz w:val="20"/>
                <w:szCs w:val="20"/>
                <w:color w:val="auto"/>
              </w:rPr>
            </w:pPr>
            <w:r>
              <w:rPr>
                <w:rFonts w:ascii="Calibri" w:cs="Calibri" w:eastAsia="Calibri" w:hAnsi="Calibri"/>
                <w:sz w:val="17"/>
                <w:szCs w:val="17"/>
                <w:color w:val="auto"/>
              </w:rPr>
              <w:t>(254)</w:t>
            </w:r>
          </w:p>
        </w:tc>
      </w:tr>
      <w:tr>
        <w:trPr>
          <w:trHeight w:val="20"/>
        </w:trPr>
        <w:tc>
          <w:tcPr>
            <w:tcW w:w="4680" w:type="dxa"/>
            <w:vAlign w:val="bottom"/>
            <w:tcBorders>
              <w:bottom w:val="single" w:sz="8" w:color="E6EEFF"/>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68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40" w:type="dxa"/>
            <w:vAlign w:val="bottom"/>
            <w:shd w:val="clear" w:color="auto" w:fill="E6EEFF"/>
          </w:tcPr>
          <w:p>
            <w:pPr>
              <w:spacing w:after="0"/>
              <w:rPr>
                <w:sz w:val="19"/>
                <w:szCs w:val="19"/>
                <w:color w:val="auto"/>
              </w:rPr>
            </w:pPr>
          </w:p>
        </w:tc>
        <w:tc>
          <w:tcPr>
            <w:tcW w:w="170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122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140" w:type="dxa"/>
            <w:vAlign w:val="bottom"/>
            <w:shd w:val="clear" w:color="auto" w:fill="E6EEFF"/>
          </w:tcPr>
          <w:p>
            <w:pPr>
              <w:spacing w:after="0"/>
              <w:rPr>
                <w:sz w:val="19"/>
                <w:szCs w:val="19"/>
                <w:color w:val="auto"/>
              </w:rPr>
            </w:pPr>
          </w:p>
        </w:tc>
        <w:tc>
          <w:tcPr>
            <w:tcW w:w="122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40" w:type="dxa"/>
            <w:vAlign w:val="bottom"/>
            <w:shd w:val="clear" w:color="auto" w:fill="E6EEFF"/>
          </w:tcPr>
          <w:p>
            <w:pPr>
              <w:spacing w:after="0"/>
              <w:rPr>
                <w:sz w:val="19"/>
                <w:szCs w:val="19"/>
                <w:color w:val="auto"/>
              </w:rPr>
            </w:pPr>
          </w:p>
        </w:tc>
        <w:tc>
          <w:tcPr>
            <w:tcW w:w="1120" w:type="dxa"/>
            <w:vAlign w:val="bottom"/>
            <w:shd w:val="clear" w:color="auto" w:fill="E6EEFF"/>
          </w:tcPr>
          <w:p>
            <w:pPr>
              <w:spacing w:after="0"/>
              <w:rPr>
                <w:sz w:val="19"/>
                <w:szCs w:val="19"/>
                <w:color w:val="auto"/>
              </w:rPr>
            </w:pPr>
          </w:p>
        </w:tc>
      </w:tr>
      <w:tr>
        <w:trPr>
          <w:trHeight w:val="212"/>
        </w:trPr>
        <w:tc>
          <w:tcPr>
            <w:tcW w:w="4800" w:type="dxa"/>
            <w:vAlign w:val="bottom"/>
            <w:gridSpan w:val="2"/>
          </w:tcPr>
          <w:p>
            <w:pPr>
              <w:ind w:left="2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680" w:type="dxa"/>
            <w:vAlign w:val="bottom"/>
            <w:tcBorders>
              <w:top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Futures contracts</w:t>
            </w:r>
          </w:p>
        </w:tc>
        <w:tc>
          <w:tcPr>
            <w:tcW w:w="120" w:type="dxa"/>
            <w:vAlign w:val="bottom"/>
            <w:tcBorders>
              <w:top w:val="single" w:sz="8" w:color="E6EEFF"/>
            </w:tcBorders>
            <w:shd w:val="clear" w:color="auto" w:fill="E6EEFF"/>
          </w:tcPr>
          <w:p>
            <w:pPr>
              <w:spacing w:after="0"/>
              <w:rPr>
                <w:sz w:val="19"/>
                <w:szCs w:val="19"/>
                <w:color w:val="auto"/>
              </w:rPr>
            </w:pPr>
          </w:p>
        </w:tc>
        <w:tc>
          <w:tcPr>
            <w:tcW w:w="240" w:type="dxa"/>
            <w:vAlign w:val="bottom"/>
            <w:tcBorders>
              <w:top w:val="single" w:sz="8" w:color="E6EEFF"/>
            </w:tcBorders>
            <w:shd w:val="clear" w:color="auto" w:fill="E6EEFF"/>
          </w:tcPr>
          <w:p>
            <w:pPr>
              <w:jc w:val="right"/>
              <w:ind w:right="54"/>
              <w:spacing w:after="0" w:line="197" w:lineRule="exact"/>
              <w:rPr>
                <w:sz w:val="20"/>
                <w:szCs w:val="20"/>
                <w:color w:val="auto"/>
              </w:rPr>
            </w:pPr>
            <w:r>
              <w:rPr>
                <w:rFonts w:ascii="Calibri" w:cs="Calibri" w:eastAsia="Calibri" w:hAnsi="Calibri"/>
                <w:sz w:val="17"/>
                <w:szCs w:val="17"/>
                <w:color w:val="auto"/>
                <w:w w:val="92"/>
              </w:rPr>
              <w:t>$</w:t>
            </w:r>
          </w:p>
        </w:tc>
        <w:tc>
          <w:tcPr>
            <w:tcW w:w="1700" w:type="dxa"/>
            <w:vAlign w:val="bottom"/>
            <w:tcBorders>
              <w:top w:val="single" w:sz="8" w:color="E6EEFF"/>
            </w:tcBorders>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(516)</w:t>
            </w:r>
          </w:p>
        </w:tc>
        <w:tc>
          <w:tcPr>
            <w:tcW w:w="120" w:type="dxa"/>
            <w:vAlign w:val="bottom"/>
            <w:tcBorders>
              <w:top w:val="single" w:sz="8" w:color="E6EEFF"/>
            </w:tcBorders>
            <w:shd w:val="clear" w:color="auto" w:fill="E6EEFF"/>
          </w:tcPr>
          <w:p>
            <w:pPr>
              <w:spacing w:after="0"/>
              <w:rPr>
                <w:sz w:val="19"/>
                <w:szCs w:val="19"/>
                <w:color w:val="auto"/>
              </w:rPr>
            </w:pPr>
          </w:p>
        </w:tc>
        <w:tc>
          <w:tcPr>
            <w:tcW w:w="200" w:type="dxa"/>
            <w:vAlign w:val="bottom"/>
            <w:tcBorders>
              <w:top w:val="single" w:sz="8" w:color="E6EEFF"/>
            </w:tcBorders>
            <w:shd w:val="clear" w:color="auto" w:fill="E6EEFF"/>
          </w:tcPr>
          <w:p>
            <w:pPr>
              <w:jc w:val="right"/>
              <w:ind w:right="14"/>
              <w:spacing w:after="0" w:line="197" w:lineRule="exact"/>
              <w:rPr>
                <w:sz w:val="20"/>
                <w:szCs w:val="20"/>
                <w:color w:val="auto"/>
              </w:rPr>
            </w:pPr>
            <w:r>
              <w:rPr>
                <w:rFonts w:ascii="Calibri" w:cs="Calibri" w:eastAsia="Calibri" w:hAnsi="Calibri"/>
                <w:sz w:val="17"/>
                <w:szCs w:val="17"/>
                <w:color w:val="auto"/>
                <w:w w:val="92"/>
              </w:rPr>
              <w:t>$</w:t>
            </w:r>
          </w:p>
        </w:tc>
        <w:tc>
          <w:tcPr>
            <w:tcW w:w="1220" w:type="dxa"/>
            <w:vAlign w:val="bottom"/>
            <w:tcBorders>
              <w:top w:val="single" w:sz="8" w:color="E6EEFF"/>
            </w:tcBorders>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516</w:t>
            </w:r>
          </w:p>
        </w:tc>
        <w:tc>
          <w:tcPr>
            <w:tcW w:w="100" w:type="dxa"/>
            <w:vAlign w:val="bottom"/>
            <w:tcBorders>
              <w:top w:val="single" w:sz="8" w:color="E6EEFF"/>
            </w:tcBorders>
            <w:shd w:val="clear" w:color="auto" w:fill="E6EEFF"/>
          </w:tcPr>
          <w:p>
            <w:pPr>
              <w:spacing w:after="0"/>
              <w:rPr>
                <w:sz w:val="19"/>
                <w:szCs w:val="19"/>
                <w:color w:val="auto"/>
              </w:rPr>
            </w:pPr>
          </w:p>
        </w:tc>
        <w:tc>
          <w:tcPr>
            <w:tcW w:w="140" w:type="dxa"/>
            <w:vAlign w:val="bottom"/>
            <w:tcBorders>
              <w:top w:val="single" w:sz="8" w:color="E6EEFF"/>
            </w:tcBorders>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w:t>
            </w:r>
          </w:p>
        </w:tc>
        <w:tc>
          <w:tcPr>
            <w:tcW w:w="1340" w:type="dxa"/>
            <w:vAlign w:val="bottom"/>
            <w:tcBorders>
              <w:top w:val="single" w:sz="8" w:color="E6EEFF"/>
            </w:tcBorders>
            <w:gridSpan w:val="2"/>
            <w:shd w:val="clear" w:color="auto" w:fill="E6EEFF"/>
          </w:tcPr>
          <w:p>
            <w:pPr>
              <w:ind w:left="1000"/>
              <w:spacing w:after="0" w:line="197" w:lineRule="exact"/>
              <w:rPr>
                <w:sz w:val="20"/>
                <w:szCs w:val="20"/>
                <w:color w:val="auto"/>
              </w:rPr>
            </w:pPr>
            <w:r>
              <w:rPr>
                <w:rFonts w:ascii="Calibri" w:cs="Calibri" w:eastAsia="Calibri" w:hAnsi="Calibri"/>
                <w:sz w:val="17"/>
                <w:szCs w:val="17"/>
                <w:color w:val="auto"/>
              </w:rPr>
              <w:t>—</w:t>
            </w:r>
          </w:p>
        </w:tc>
        <w:tc>
          <w:tcPr>
            <w:tcW w:w="240" w:type="dxa"/>
            <w:vAlign w:val="bottom"/>
            <w:tcBorders>
              <w:top w:val="single" w:sz="8" w:color="E6EEFF"/>
            </w:tcBorders>
            <w:shd w:val="clear" w:color="auto" w:fill="E6EEFF"/>
          </w:tcPr>
          <w:p>
            <w:pPr>
              <w:jc w:val="right"/>
              <w:ind w:right="54"/>
              <w:spacing w:after="0" w:line="197" w:lineRule="exact"/>
              <w:rPr>
                <w:sz w:val="20"/>
                <w:szCs w:val="20"/>
                <w:color w:val="auto"/>
              </w:rPr>
            </w:pPr>
            <w:r>
              <w:rPr>
                <w:rFonts w:ascii="Calibri" w:cs="Calibri" w:eastAsia="Calibri" w:hAnsi="Calibri"/>
                <w:sz w:val="17"/>
                <w:szCs w:val="17"/>
                <w:color w:val="auto"/>
                <w:w w:val="92"/>
              </w:rPr>
              <w:t>$</w:t>
            </w:r>
          </w:p>
        </w:tc>
        <w:tc>
          <w:tcPr>
            <w:tcW w:w="1120" w:type="dxa"/>
            <w:vAlign w:val="bottom"/>
            <w:tcBorders>
              <w:top w:val="single" w:sz="8" w:color="E6EEFF"/>
            </w:tcBorders>
            <w:shd w:val="clear" w:color="auto" w:fill="E6EEFF"/>
          </w:tcPr>
          <w:p>
            <w:pPr>
              <w:ind w:left="900"/>
              <w:spacing w:after="0" w:line="197" w:lineRule="exact"/>
              <w:rPr>
                <w:sz w:val="20"/>
                <w:szCs w:val="20"/>
                <w:color w:val="auto"/>
              </w:rPr>
            </w:pPr>
            <w:r>
              <w:rPr>
                <w:rFonts w:ascii="Calibri" w:cs="Calibri" w:eastAsia="Calibri" w:hAnsi="Calibri"/>
                <w:sz w:val="17"/>
                <w:szCs w:val="17"/>
                <w:color w:val="auto"/>
              </w:rPr>
              <w:t>—</w:t>
            </w:r>
          </w:p>
        </w:tc>
      </w:tr>
      <w:tr>
        <w:trPr>
          <w:trHeight w:val="212"/>
        </w:trPr>
        <w:tc>
          <w:tcPr>
            <w:tcW w:w="480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TBA Agency Securites</w:t>
            </w:r>
          </w:p>
        </w:tc>
        <w:tc>
          <w:tcPr>
            <w:tcW w:w="240" w:type="dxa"/>
            <w:vAlign w:val="bottom"/>
          </w:tcPr>
          <w:p>
            <w:pPr>
              <w:spacing w:after="0"/>
              <w:rPr>
                <w:sz w:val="18"/>
                <w:szCs w:val="18"/>
                <w:color w:val="auto"/>
              </w:rPr>
            </w:pPr>
          </w:p>
        </w:tc>
        <w:tc>
          <w:tcPr>
            <w:tcW w:w="1700" w:type="dxa"/>
            <w:vAlign w:val="bottom"/>
          </w:tcPr>
          <w:p>
            <w:pPr>
              <w:jc w:val="right"/>
              <w:spacing w:after="0" w:line="205" w:lineRule="exact"/>
              <w:rPr>
                <w:sz w:val="20"/>
                <w:szCs w:val="20"/>
                <w:color w:val="auto"/>
              </w:rPr>
            </w:pPr>
            <w:r>
              <w:rPr>
                <w:rFonts w:ascii="Calibri" w:cs="Calibri" w:eastAsia="Calibri" w:hAnsi="Calibri"/>
                <w:sz w:val="17"/>
                <w:szCs w:val="17"/>
                <w:color w:val="auto"/>
              </w:rPr>
              <w:t>(12,500)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line="205" w:lineRule="exact"/>
              <w:rPr>
                <w:sz w:val="20"/>
                <w:szCs w:val="20"/>
                <w:color w:val="auto"/>
              </w:rPr>
            </w:pPr>
            <w:r>
              <w:rPr>
                <w:rFonts w:ascii="Calibri" w:cs="Calibri" w:eastAsia="Calibri" w:hAnsi="Calibri"/>
                <w:sz w:val="17"/>
                <w:szCs w:val="17"/>
                <w:color w:val="auto"/>
              </w:rPr>
              <w:t>12,500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1000"/>
              <w:spacing w:after="0" w:line="205" w:lineRule="exact"/>
              <w:rPr>
                <w:sz w:val="20"/>
                <w:szCs w:val="20"/>
                <w:color w:val="auto"/>
              </w:rPr>
            </w:pPr>
            <w:r>
              <w:rPr>
                <w:rFonts w:ascii="Calibri" w:cs="Calibri" w:eastAsia="Calibri" w:hAnsi="Calibri"/>
                <w:sz w:val="17"/>
                <w:szCs w:val="17"/>
                <w:color w:val="auto"/>
              </w:rPr>
              <w:t>—</w:t>
            </w:r>
          </w:p>
        </w:tc>
        <w:tc>
          <w:tcPr>
            <w:tcW w:w="240" w:type="dxa"/>
            <w:vAlign w:val="bottom"/>
          </w:tcPr>
          <w:p>
            <w:pPr>
              <w:spacing w:after="0"/>
              <w:rPr>
                <w:sz w:val="18"/>
                <w:szCs w:val="18"/>
                <w:color w:val="auto"/>
              </w:rPr>
            </w:pPr>
          </w:p>
        </w:tc>
        <w:tc>
          <w:tcPr>
            <w:tcW w:w="1120" w:type="dxa"/>
            <w:vAlign w:val="bottom"/>
          </w:tcPr>
          <w:p>
            <w:pPr>
              <w:ind w:left="900"/>
              <w:spacing w:after="0" w:line="205" w:lineRule="exact"/>
              <w:rPr>
                <w:sz w:val="20"/>
                <w:szCs w:val="20"/>
                <w:color w:val="auto"/>
              </w:rPr>
            </w:pPr>
            <w:r>
              <w:rPr>
                <w:rFonts w:ascii="Calibri" w:cs="Calibri" w:eastAsia="Calibri" w:hAnsi="Calibri"/>
                <w:sz w:val="17"/>
                <w:szCs w:val="17"/>
                <w:color w:val="auto"/>
              </w:rPr>
              <w:t>—</w:t>
            </w:r>
          </w:p>
        </w:tc>
      </w:tr>
      <w:tr>
        <w:trPr>
          <w:trHeight w:val="244"/>
        </w:trPr>
        <w:tc>
          <w:tcPr>
            <w:tcW w:w="4800" w:type="dxa"/>
            <w:vAlign w:val="bottom"/>
            <w:tcBorders>
              <w:top w:val="single" w:sz="8" w:color="E6EEFF"/>
              <w:bottom w:val="single" w:sz="8" w:color="E6EEFF"/>
            </w:tcBorders>
            <w:gridSpan w:val="2"/>
            <w:shd w:val="clear" w:color="auto" w:fill="E6EEFF"/>
          </w:tcPr>
          <w:p>
            <w:pPr>
              <w:ind w:left="20"/>
              <w:spacing w:after="0"/>
              <w:rPr>
                <w:sz w:val="20"/>
                <w:szCs w:val="20"/>
                <w:color w:val="auto"/>
              </w:rPr>
            </w:pPr>
            <w:r>
              <w:rPr>
                <w:rFonts w:ascii="Calibri" w:cs="Calibri" w:eastAsia="Calibri" w:hAnsi="Calibri"/>
                <w:sz w:val="17"/>
                <w:szCs w:val="17"/>
                <w:b w:val="1"/>
                <w:bCs w:val="1"/>
                <w:color w:val="auto"/>
              </w:rPr>
              <w:t>Totals</w:t>
            </w:r>
          </w:p>
        </w:tc>
        <w:tc>
          <w:tcPr>
            <w:tcW w:w="240" w:type="dxa"/>
            <w:vAlign w:val="bottom"/>
            <w:tcBorders>
              <w:top w:val="single" w:sz="8" w:color="auto"/>
              <w:bottom w:val="single" w:sz="8" w:color="auto"/>
            </w:tcBorders>
            <w:shd w:val="clear" w:color="auto" w:fill="E6EEFF"/>
          </w:tcPr>
          <w:p>
            <w:pPr>
              <w:jc w:val="right"/>
              <w:ind w:right="54"/>
              <w:spacing w:after="0" w:line="205" w:lineRule="exact"/>
              <w:rPr>
                <w:sz w:val="20"/>
                <w:szCs w:val="20"/>
                <w:color w:val="auto"/>
              </w:rPr>
            </w:pPr>
            <w:r>
              <w:rPr>
                <w:rFonts w:ascii="Calibri" w:cs="Calibri" w:eastAsia="Calibri" w:hAnsi="Calibri"/>
                <w:sz w:val="17"/>
                <w:szCs w:val="17"/>
                <w:color w:val="auto"/>
                <w:w w:val="92"/>
              </w:rPr>
              <w:t>$</w:t>
            </w:r>
          </w:p>
        </w:tc>
        <w:tc>
          <w:tcPr>
            <w:tcW w:w="170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(13,016)</w:t>
            </w:r>
          </w:p>
        </w:tc>
        <w:tc>
          <w:tcPr>
            <w:tcW w:w="120" w:type="dxa"/>
            <w:vAlign w:val="bottom"/>
            <w:tcBorders>
              <w:top w:val="single" w:sz="8" w:color="E6EEFF"/>
              <w:bottom w:val="single" w:sz="8" w:color="E6EEFF"/>
            </w:tcBorders>
            <w:shd w:val="clear" w:color="auto" w:fill="E6EEFF"/>
          </w:tcPr>
          <w:p>
            <w:pPr>
              <w:spacing w:after="0"/>
              <w:rPr>
                <w:sz w:val="20"/>
                <w:szCs w:val="20"/>
                <w:color w:val="auto"/>
              </w:rPr>
            </w:pPr>
          </w:p>
        </w:tc>
        <w:tc>
          <w:tcPr>
            <w:tcW w:w="200" w:type="dxa"/>
            <w:vAlign w:val="bottom"/>
            <w:tcBorders>
              <w:top w:val="single" w:sz="8" w:color="auto"/>
              <w:bottom w:val="single" w:sz="8" w:color="auto"/>
            </w:tcBorders>
            <w:shd w:val="clear" w:color="auto" w:fill="E6EEFF"/>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22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13,016</w:t>
            </w:r>
          </w:p>
        </w:tc>
        <w:tc>
          <w:tcPr>
            <w:tcW w:w="100" w:type="dxa"/>
            <w:vAlign w:val="bottom"/>
            <w:tcBorders>
              <w:top w:val="single" w:sz="8" w:color="E6EEFF"/>
              <w:bottom w:val="single" w:sz="8" w:color="E6EEFF"/>
            </w:tcBorders>
            <w:shd w:val="clear" w:color="auto" w:fill="E6EEFF"/>
          </w:tcPr>
          <w:p>
            <w:pPr>
              <w:spacing w:after="0"/>
              <w:rPr>
                <w:sz w:val="20"/>
                <w:szCs w:val="20"/>
                <w:color w:val="auto"/>
              </w:rPr>
            </w:pPr>
          </w:p>
        </w:tc>
        <w:tc>
          <w:tcPr>
            <w:tcW w:w="14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20" w:type="dxa"/>
            <w:vAlign w:val="bottom"/>
            <w:tcBorders>
              <w:top w:val="single" w:sz="8" w:color="auto"/>
              <w:bottom w:val="single" w:sz="8" w:color="auto"/>
            </w:tcBorders>
            <w:shd w:val="clear" w:color="auto" w:fill="E6EEFF"/>
          </w:tcPr>
          <w:p>
            <w:pPr>
              <w:ind w:left="1000"/>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Borders>
              <w:top w:val="single" w:sz="8" w:color="E6EEFF"/>
              <w:bottom w:val="single" w:sz="8" w:color="E6EEFF"/>
            </w:tcBorders>
            <w:shd w:val="clear" w:color="auto" w:fill="E6EEFF"/>
          </w:tcPr>
          <w:p>
            <w:pPr>
              <w:spacing w:after="0"/>
              <w:rPr>
                <w:sz w:val="20"/>
                <w:szCs w:val="20"/>
                <w:color w:val="auto"/>
              </w:rPr>
            </w:pPr>
          </w:p>
        </w:tc>
        <w:tc>
          <w:tcPr>
            <w:tcW w:w="240" w:type="dxa"/>
            <w:vAlign w:val="bottom"/>
            <w:tcBorders>
              <w:top w:val="single" w:sz="8" w:color="auto"/>
              <w:bottom w:val="single" w:sz="8" w:color="auto"/>
            </w:tcBorders>
            <w:shd w:val="clear" w:color="auto" w:fill="E6EEFF"/>
          </w:tcPr>
          <w:p>
            <w:pPr>
              <w:jc w:val="right"/>
              <w:ind w:right="54"/>
              <w:spacing w:after="0" w:line="205" w:lineRule="exact"/>
              <w:rPr>
                <w:sz w:val="20"/>
                <w:szCs w:val="20"/>
                <w:color w:val="auto"/>
              </w:rPr>
            </w:pPr>
            <w:r>
              <w:rPr>
                <w:rFonts w:ascii="Calibri" w:cs="Calibri" w:eastAsia="Calibri" w:hAnsi="Calibri"/>
                <w:sz w:val="17"/>
                <w:szCs w:val="17"/>
                <w:color w:val="auto"/>
                <w:w w:val="92"/>
              </w:rPr>
              <w:t>$</w:t>
            </w:r>
          </w:p>
        </w:tc>
        <w:tc>
          <w:tcPr>
            <w:tcW w:w="1120" w:type="dxa"/>
            <w:vAlign w:val="bottom"/>
            <w:tcBorders>
              <w:top w:val="single" w:sz="8" w:color="auto"/>
              <w:bottom w:val="single" w:sz="8" w:color="auto"/>
            </w:tcBorders>
            <w:shd w:val="clear" w:color="auto" w:fill="E6EEFF"/>
          </w:tcPr>
          <w:p>
            <w:pPr>
              <w:ind w:left="900"/>
              <w:spacing w:after="0" w:line="205" w:lineRule="exact"/>
              <w:rPr>
                <w:sz w:val="20"/>
                <w:szCs w:val="20"/>
                <w:color w:val="auto"/>
              </w:rPr>
            </w:pPr>
            <w:r>
              <w:rPr>
                <w:rFonts w:ascii="Calibri" w:cs="Calibri" w:eastAsia="Calibri" w:hAnsi="Calibri"/>
                <w:sz w:val="17"/>
                <w:szCs w:val="17"/>
                <w:color w:val="auto"/>
              </w:rPr>
              <w:t>—</w:t>
            </w:r>
          </w:p>
        </w:tc>
      </w:tr>
      <w:tr>
        <w:trPr>
          <w:trHeight w:val="20"/>
        </w:trPr>
        <w:tc>
          <w:tcPr>
            <w:tcW w:w="468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240" w:type="dxa"/>
            <w:vAlign w:val="bottom"/>
            <w:tcBorders>
              <w:top w:val="single" w:sz="8" w:color="E6EEFF"/>
              <w:bottom w:val="single" w:sz="8" w:color="auto"/>
            </w:tcBorders>
          </w:tcPr>
          <w:p>
            <w:pPr>
              <w:spacing w:after="0" w:line="20" w:lineRule="exact"/>
              <w:rPr>
                <w:sz w:val="1"/>
                <w:szCs w:val="1"/>
                <w:color w:val="auto"/>
              </w:rPr>
            </w:pPr>
          </w:p>
        </w:tc>
        <w:tc>
          <w:tcPr>
            <w:tcW w:w="170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200" w:type="dxa"/>
            <w:vAlign w:val="bottom"/>
            <w:tcBorders>
              <w:top w:val="single" w:sz="8" w:color="E6EEFF"/>
              <w:bottom w:val="single" w:sz="8" w:color="auto"/>
            </w:tcBorders>
          </w:tcPr>
          <w:p>
            <w:pPr>
              <w:spacing w:after="0" w:line="20" w:lineRule="exact"/>
              <w:rPr>
                <w:sz w:val="1"/>
                <w:szCs w:val="1"/>
                <w:color w:val="auto"/>
              </w:rPr>
            </w:pPr>
          </w:p>
        </w:tc>
        <w:tc>
          <w:tcPr>
            <w:tcW w:w="122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40" w:type="dxa"/>
            <w:vAlign w:val="bottom"/>
            <w:tcBorders>
              <w:top w:val="single" w:sz="8" w:color="E6EEFF"/>
              <w:bottom w:val="single" w:sz="8" w:color="auto"/>
            </w:tcBorders>
          </w:tcPr>
          <w:p>
            <w:pPr>
              <w:spacing w:after="0" w:line="20" w:lineRule="exact"/>
              <w:rPr>
                <w:sz w:val="1"/>
                <w:szCs w:val="1"/>
                <w:color w:val="auto"/>
              </w:rPr>
            </w:pPr>
          </w:p>
        </w:tc>
        <w:tc>
          <w:tcPr>
            <w:tcW w:w="122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240" w:type="dxa"/>
            <w:vAlign w:val="bottom"/>
            <w:tcBorders>
              <w:top w:val="single" w:sz="8" w:color="E6EEFF"/>
              <w:bottom w:val="single" w:sz="8" w:color="auto"/>
            </w:tcBorders>
          </w:tcPr>
          <w:p>
            <w:pPr>
              <w:spacing w:after="0" w:line="20" w:lineRule="exact"/>
              <w:rPr>
                <w:sz w:val="1"/>
                <w:szCs w:val="1"/>
                <w:color w:val="auto"/>
              </w:rPr>
            </w:pPr>
          </w:p>
        </w:tc>
        <w:tc>
          <w:tcPr>
            <w:tcW w:w="1120" w:type="dxa"/>
            <w:vAlign w:val="bottom"/>
            <w:tcBorders>
              <w:top w:val="single" w:sz="8" w:color="E6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20" w:hanging="617"/>
        <w:spacing w:after="0"/>
        <w:tabs>
          <w:tab w:leader="none" w:pos="62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See Note 4 to the consolidated fnancial statements for additonal discussion.</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At December 31, 2023, we had interest rate swap contracts with an aggregate notonal balance of $6,786,000, a weighted average swap rate of 1.37% and a weighted average term of 68 months. At December 31, 2022, we had interest rate swap contracts with an aggregate notonal balance of $6,350,000, a weighted average swap rate of 0.72% and a weighted average term of 73 months (see Note 7 to the consolidated fnancial statements). We also had TBA Agency Securites with an aggregate notonal balance of $300,000 and $800,000 at December 31, 2023 and December 31, 2022, respectvely.</w:t>
      </w:r>
    </w:p>
    <w:p>
      <w:pPr>
        <w:spacing w:after="0" w:line="170" w:lineRule="exact"/>
        <w:rPr>
          <w:sz w:val="20"/>
          <w:szCs w:val="20"/>
          <w:color w:val="auto"/>
        </w:rPr>
      </w:pPr>
    </w:p>
    <w:p>
      <w:pPr>
        <w:ind w:left="620"/>
        <w:spacing w:after="0"/>
        <w:rPr>
          <w:sz w:val="20"/>
          <w:szCs w:val="20"/>
          <w:color w:val="auto"/>
        </w:rPr>
      </w:pPr>
      <w:r>
        <w:rPr>
          <w:rFonts w:ascii="Calibri" w:cs="Calibri" w:eastAsia="Calibri" w:hAnsi="Calibri"/>
          <w:sz w:val="16"/>
          <w:szCs w:val="16"/>
          <w:color w:val="auto"/>
        </w:rPr>
        <w:t>The following table details the changes in the fair value of our interest rate swap contracts for the years ended December 31, 2023 and December 31, 2022.</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806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420" w:type="dxa"/>
            <w:vAlign w:val="bottom"/>
            <w:tcBorders>
              <w:bottom w:val="single" w:sz="8" w:color="auto"/>
            </w:tcBorders>
            <w:shd w:val="clear" w:color="auto" w:fill="E6EEFF"/>
          </w:tcPr>
          <w:p>
            <w:pPr>
              <w:spacing w:after="0"/>
              <w:rPr>
                <w:sz w:val="19"/>
                <w:szCs w:val="19"/>
                <w:color w:val="auto"/>
              </w:rPr>
            </w:pPr>
          </w:p>
        </w:tc>
        <w:tc>
          <w:tcPr>
            <w:tcW w:w="1800" w:type="dxa"/>
            <w:vAlign w:val="bottom"/>
            <w:tcBorders>
              <w:bottom w:val="single" w:sz="8" w:color="auto"/>
            </w:tcBorders>
            <w:gridSpan w:val="3"/>
            <w:shd w:val="clear" w:color="auto" w:fill="E6EEFF"/>
          </w:tcPr>
          <w:p>
            <w:pPr>
              <w:jc w:val="right"/>
              <w:spacing w:after="0"/>
              <w:rPr>
                <w:sz w:val="20"/>
                <w:szCs w:val="20"/>
                <w:color w:val="auto"/>
              </w:rPr>
            </w:pPr>
            <w:r>
              <w:rPr>
                <w:rFonts w:ascii="Calibri" w:cs="Calibri" w:eastAsia="Calibri" w:hAnsi="Calibri"/>
                <w:sz w:val="17"/>
                <w:szCs w:val="17"/>
                <w:b w:val="1"/>
                <w:bCs w:val="1"/>
                <w:color w:val="1C4787"/>
              </w:rPr>
              <w:t>For the Years Ended</w:t>
            </w:r>
          </w:p>
        </w:tc>
        <w:tc>
          <w:tcPr>
            <w:tcW w:w="760" w:type="dxa"/>
            <w:vAlign w:val="bottom"/>
            <w:tcBorders>
              <w:bottom w:val="single" w:sz="8" w:color="auto"/>
            </w:tcBorders>
            <w:shd w:val="clear" w:color="auto" w:fill="E6EEFF"/>
          </w:tcPr>
          <w:p>
            <w:pPr>
              <w:spacing w:after="0"/>
              <w:rPr>
                <w:sz w:val="19"/>
                <w:szCs w:val="19"/>
                <w:color w:val="auto"/>
              </w:rPr>
            </w:pPr>
          </w:p>
        </w:tc>
      </w:tr>
      <w:tr>
        <w:trPr>
          <w:trHeight w:val="205"/>
        </w:trPr>
        <w:tc>
          <w:tcPr>
            <w:tcW w:w="8160" w:type="dxa"/>
            <w:vAlign w:val="bottom"/>
            <w:gridSpan w:val="2"/>
          </w:tcPr>
          <w:p>
            <w:pPr>
              <w:ind w:left="20"/>
              <w:spacing w:after="0" w:line="190" w:lineRule="exact"/>
              <w:rPr>
                <w:sz w:val="20"/>
                <w:szCs w:val="20"/>
                <w:color w:val="auto"/>
              </w:rPr>
            </w:pPr>
            <w:r>
              <w:rPr>
                <w:rFonts w:ascii="Calibri" w:cs="Calibri" w:eastAsia="Calibri" w:hAnsi="Calibri"/>
                <w:sz w:val="17"/>
                <w:szCs w:val="17"/>
                <w:b w:val="1"/>
                <w:bCs w:val="1"/>
                <w:color w:val="1C4787"/>
              </w:rPr>
              <w:t>Interest Swap Contracts</w:t>
            </w:r>
          </w:p>
        </w:tc>
        <w:tc>
          <w:tcPr>
            <w:tcW w:w="1520" w:type="dxa"/>
            <w:vAlign w:val="bottom"/>
            <w:gridSpan w:val="3"/>
          </w:tcPr>
          <w:p>
            <w:pPr>
              <w:ind w:left="4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460" w:type="dxa"/>
            <w:vAlign w:val="bottom"/>
            <w:gridSpan w:val="2"/>
          </w:tcPr>
          <w:p>
            <w:pPr>
              <w:jc w:val="right"/>
              <w:spacing w:after="0" w:line="205" w:lineRule="exact"/>
              <w:rPr>
                <w:sz w:val="20"/>
                <w:szCs w:val="20"/>
                <w:color w:val="auto"/>
              </w:rPr>
            </w:pPr>
            <w:r>
              <w:rPr>
                <w:rFonts w:ascii="Calibri" w:cs="Calibri" w:eastAsia="Calibri" w:hAnsi="Calibri"/>
                <w:sz w:val="17"/>
                <w:szCs w:val="17"/>
                <w:b w:val="1"/>
                <w:bCs w:val="1"/>
                <w:color w:val="1C4787"/>
              </w:rPr>
              <w:t>December 31, 2022</w:t>
            </w:r>
          </w:p>
        </w:tc>
      </w:tr>
      <w:tr>
        <w:trPr>
          <w:trHeight w:val="219"/>
        </w:trPr>
        <w:tc>
          <w:tcPr>
            <w:tcW w:w="8060" w:type="dxa"/>
            <w:vAlign w:val="bottom"/>
            <w:tcBorders>
              <w:top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b w:val="1"/>
                <w:bCs w:val="1"/>
                <w:color w:val="1C4787"/>
              </w:rPr>
              <w:t>Net Balance, beginning of period</w:t>
            </w:r>
          </w:p>
        </w:tc>
        <w:tc>
          <w:tcPr>
            <w:tcW w:w="100" w:type="dxa"/>
            <w:vAlign w:val="bottom"/>
            <w:tcBorders>
              <w:top w:val="single" w:sz="8" w:color="E6EEFF"/>
            </w:tcBorders>
            <w:shd w:val="clear" w:color="auto" w:fill="E6EEFF"/>
          </w:tcPr>
          <w:p>
            <w:pPr>
              <w:spacing w:after="0"/>
              <w:rPr>
                <w:sz w:val="19"/>
                <w:szCs w:val="19"/>
                <w:color w:val="auto"/>
              </w:rPr>
            </w:pPr>
          </w:p>
        </w:tc>
        <w:tc>
          <w:tcPr>
            <w:tcW w:w="420" w:type="dxa"/>
            <w:vAlign w:val="bottom"/>
            <w:tcBorders>
              <w:top w:val="single" w:sz="8" w:color="auto"/>
            </w:tcBorders>
            <w:shd w:val="clear" w:color="auto" w:fill="E6EEFF"/>
          </w:tcPr>
          <w:p>
            <w:pPr>
              <w:jc w:val="right"/>
              <w:ind w:right="234"/>
              <w:spacing w:after="0" w:line="205" w:lineRule="exact"/>
              <w:rPr>
                <w:sz w:val="20"/>
                <w:szCs w:val="20"/>
                <w:color w:val="auto"/>
              </w:rPr>
            </w:pPr>
            <w:r>
              <w:rPr>
                <w:rFonts w:ascii="Calibri" w:cs="Calibri" w:eastAsia="Calibri" w:hAnsi="Calibri"/>
                <w:sz w:val="17"/>
                <w:szCs w:val="17"/>
                <w:color w:val="auto"/>
                <w:w w:val="92"/>
              </w:rPr>
              <w:t>$</w:t>
            </w:r>
          </w:p>
        </w:tc>
        <w:tc>
          <w:tcPr>
            <w:tcW w:w="102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983,659</w:t>
            </w:r>
          </w:p>
        </w:tc>
        <w:tc>
          <w:tcPr>
            <w:tcW w:w="80" w:type="dxa"/>
            <w:vAlign w:val="bottom"/>
            <w:tcBorders>
              <w:top w:val="single" w:sz="8" w:color="E6EEFF"/>
            </w:tcBorders>
            <w:shd w:val="clear" w:color="auto" w:fill="E6EEFF"/>
          </w:tcPr>
          <w:p>
            <w:pPr>
              <w:spacing w:after="0"/>
              <w:rPr>
                <w:sz w:val="19"/>
                <w:szCs w:val="19"/>
                <w:color w:val="auto"/>
              </w:rPr>
            </w:pPr>
          </w:p>
        </w:tc>
        <w:tc>
          <w:tcPr>
            <w:tcW w:w="700" w:type="dxa"/>
            <w:vAlign w:val="bottom"/>
            <w:tcBorders>
              <w:top w:val="single" w:sz="8" w:color="auto"/>
            </w:tcBorders>
            <w:shd w:val="clear" w:color="auto" w:fill="E6EEFF"/>
          </w:tcPr>
          <w:p>
            <w:pPr>
              <w:jc w:val="right"/>
              <w:ind w:right="514"/>
              <w:spacing w:after="0" w:line="205" w:lineRule="exact"/>
              <w:rPr>
                <w:sz w:val="20"/>
                <w:szCs w:val="20"/>
                <w:color w:val="auto"/>
              </w:rPr>
            </w:pPr>
            <w:r>
              <w:rPr>
                <w:rFonts w:ascii="Calibri" w:cs="Calibri" w:eastAsia="Calibri" w:hAnsi="Calibri"/>
                <w:sz w:val="17"/>
                <w:szCs w:val="17"/>
                <w:color w:val="auto"/>
                <w:w w:val="92"/>
              </w:rPr>
              <w:t>$</w:t>
            </w:r>
          </w:p>
        </w:tc>
        <w:tc>
          <w:tcPr>
            <w:tcW w:w="76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180,476</w:t>
            </w:r>
          </w:p>
        </w:tc>
      </w:tr>
      <w:tr>
        <w:trPr>
          <w:trHeight w:val="212"/>
        </w:trPr>
        <w:tc>
          <w:tcPr>
            <w:tcW w:w="8160" w:type="dxa"/>
            <w:vAlign w:val="bottom"/>
            <w:gridSpan w:val="2"/>
          </w:tcPr>
          <w:p>
            <w:pPr>
              <w:ind w:left="120"/>
              <w:spacing w:after="0" w:line="205" w:lineRule="exact"/>
              <w:rPr>
                <w:sz w:val="20"/>
                <w:szCs w:val="20"/>
                <w:color w:val="auto"/>
              </w:rPr>
            </w:pPr>
            <w:r>
              <w:rPr>
                <w:rFonts w:ascii="Calibri" w:cs="Calibri" w:eastAsia="Calibri" w:hAnsi="Calibri"/>
                <w:sz w:val="17"/>
                <w:szCs w:val="17"/>
                <w:color w:val="auto"/>
              </w:rPr>
              <w:t>Net interest rate swap contract payments paid</w:t>
            </w:r>
          </w:p>
        </w:tc>
        <w:tc>
          <w:tcPr>
            <w:tcW w:w="420" w:type="dxa"/>
            <w:vAlign w:val="bottom"/>
          </w:tcPr>
          <w:p>
            <w:pPr>
              <w:spacing w:after="0"/>
              <w:rPr>
                <w:sz w:val="18"/>
                <w:szCs w:val="18"/>
                <w:color w:val="auto"/>
              </w:rPr>
            </w:pPr>
          </w:p>
        </w:tc>
        <w:tc>
          <w:tcPr>
            <w:tcW w:w="1020" w:type="dxa"/>
            <w:vAlign w:val="bottom"/>
          </w:tcPr>
          <w:p>
            <w:pPr>
              <w:jc w:val="right"/>
              <w:spacing w:after="0" w:line="205" w:lineRule="exact"/>
              <w:rPr>
                <w:sz w:val="20"/>
                <w:szCs w:val="20"/>
                <w:color w:val="auto"/>
              </w:rPr>
            </w:pPr>
            <w:r>
              <w:rPr>
                <w:rFonts w:ascii="Calibri" w:cs="Calibri" w:eastAsia="Calibri" w:hAnsi="Calibri"/>
                <w:sz w:val="17"/>
                <w:szCs w:val="17"/>
                <w:color w:val="auto"/>
              </w:rPr>
              <w:t>(133,863)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jc w:val="right"/>
              <w:spacing w:after="0" w:line="205" w:lineRule="exact"/>
              <w:rPr>
                <w:sz w:val="20"/>
                <w:szCs w:val="20"/>
                <w:color w:val="auto"/>
              </w:rPr>
            </w:pPr>
            <w:r>
              <w:rPr>
                <w:rFonts w:ascii="Calibri" w:cs="Calibri" w:eastAsia="Calibri" w:hAnsi="Calibri"/>
                <w:sz w:val="17"/>
                <w:szCs w:val="17"/>
                <w:color w:val="auto"/>
              </w:rPr>
              <w:t>17,027</w:t>
            </w:r>
          </w:p>
        </w:tc>
      </w:tr>
      <w:tr>
        <w:trPr>
          <w:trHeight w:val="226"/>
        </w:trPr>
        <w:tc>
          <w:tcPr>
            <w:tcW w:w="8160" w:type="dxa"/>
            <w:vAlign w:val="bottom"/>
            <w:gridSpan w:val="2"/>
            <w:shd w:val="clear" w:color="auto" w:fill="E6EEFF"/>
          </w:tcPr>
          <w:p>
            <w:pPr>
              <w:ind w:left="120"/>
              <w:spacing w:after="0"/>
              <w:rPr>
                <w:sz w:val="20"/>
                <w:szCs w:val="20"/>
                <w:color w:val="auto"/>
              </w:rPr>
            </w:pPr>
            <w:r>
              <w:rPr>
                <w:rFonts w:ascii="Calibri" w:cs="Calibri" w:eastAsia="Calibri" w:hAnsi="Calibri"/>
                <w:sz w:val="17"/>
                <w:szCs w:val="17"/>
                <w:color w:val="auto"/>
              </w:rPr>
              <w:t>Interest rate swap income accrued</w:t>
            </w:r>
          </w:p>
        </w:tc>
        <w:tc>
          <w:tcPr>
            <w:tcW w:w="420" w:type="dxa"/>
            <w:vAlign w:val="bottom"/>
            <w:shd w:val="clear" w:color="auto" w:fill="E6EEFF"/>
          </w:tcPr>
          <w:p>
            <w:pPr>
              <w:spacing w:after="0"/>
              <w:rPr>
                <w:sz w:val="19"/>
                <w:szCs w:val="19"/>
                <w:color w:val="auto"/>
              </w:rPr>
            </w:pPr>
          </w:p>
        </w:tc>
        <w:tc>
          <w:tcPr>
            <w:tcW w:w="10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397,468</w:t>
            </w:r>
          </w:p>
        </w:tc>
        <w:tc>
          <w:tcPr>
            <w:tcW w:w="80" w:type="dxa"/>
            <w:vAlign w:val="bottom"/>
            <w:shd w:val="clear" w:color="auto" w:fill="E6EEFF"/>
          </w:tcPr>
          <w:p>
            <w:pPr>
              <w:spacing w:after="0"/>
              <w:rPr>
                <w:sz w:val="19"/>
                <w:szCs w:val="19"/>
                <w:color w:val="auto"/>
              </w:rPr>
            </w:pPr>
          </w:p>
        </w:tc>
        <w:tc>
          <w:tcPr>
            <w:tcW w:w="700" w:type="dxa"/>
            <w:vAlign w:val="bottom"/>
            <w:shd w:val="clear" w:color="auto" w:fill="E6EEFF"/>
          </w:tcPr>
          <w:p>
            <w:pPr>
              <w:spacing w:after="0"/>
              <w:rPr>
                <w:sz w:val="19"/>
                <w:szCs w:val="19"/>
                <w:color w:val="auto"/>
              </w:rPr>
            </w:pPr>
          </w:p>
        </w:tc>
        <w:tc>
          <w:tcPr>
            <w:tcW w:w="7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107,269</w:t>
            </w:r>
          </w:p>
        </w:tc>
      </w:tr>
      <w:tr>
        <w:trPr>
          <w:trHeight w:val="212"/>
        </w:trPr>
        <w:tc>
          <w:tcPr>
            <w:tcW w:w="8160" w:type="dxa"/>
            <w:vAlign w:val="bottom"/>
            <w:gridSpan w:val="2"/>
          </w:tcPr>
          <w:p>
            <w:pPr>
              <w:ind w:left="120"/>
              <w:spacing w:after="0" w:line="205" w:lineRule="exact"/>
              <w:rPr>
                <w:sz w:val="20"/>
                <w:szCs w:val="20"/>
                <w:color w:val="auto"/>
              </w:rPr>
            </w:pPr>
            <w:r>
              <w:rPr>
                <w:rFonts w:ascii="Calibri" w:cs="Calibri" w:eastAsia="Calibri" w:hAnsi="Calibri"/>
                <w:sz w:val="17"/>
                <w:szCs w:val="17"/>
                <w:color w:val="auto"/>
              </w:rPr>
              <w:t>Interest rate swap expense accrued</w:t>
            </w:r>
          </w:p>
        </w:tc>
        <w:tc>
          <w:tcPr>
            <w:tcW w:w="420" w:type="dxa"/>
            <w:vAlign w:val="bottom"/>
          </w:tcPr>
          <w:p>
            <w:pPr>
              <w:spacing w:after="0"/>
              <w:rPr>
                <w:sz w:val="18"/>
                <w:szCs w:val="18"/>
                <w:color w:val="auto"/>
              </w:rPr>
            </w:pPr>
          </w:p>
        </w:tc>
        <w:tc>
          <w:tcPr>
            <w:tcW w:w="1020" w:type="dxa"/>
            <w:vAlign w:val="bottom"/>
          </w:tcPr>
          <w:p>
            <w:pPr>
              <w:jc w:val="right"/>
              <w:spacing w:after="0" w:line="205" w:lineRule="exact"/>
              <w:rPr>
                <w:sz w:val="20"/>
                <w:szCs w:val="20"/>
                <w:color w:val="auto"/>
              </w:rPr>
            </w:pPr>
            <w:r>
              <w:rPr>
                <w:rFonts w:ascii="Calibri" w:cs="Calibri" w:eastAsia="Calibri" w:hAnsi="Calibri"/>
                <w:sz w:val="17"/>
                <w:szCs w:val="17"/>
                <w:color w:val="auto"/>
              </w:rPr>
              <w:t>(180,585)</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jc w:val="right"/>
              <w:spacing w:after="0" w:line="205" w:lineRule="exact"/>
              <w:rPr>
                <w:sz w:val="20"/>
                <w:szCs w:val="20"/>
                <w:color w:val="auto"/>
              </w:rPr>
            </w:pPr>
            <w:r>
              <w:rPr>
                <w:rFonts w:ascii="Calibri" w:cs="Calibri" w:eastAsia="Calibri" w:hAnsi="Calibri"/>
                <w:sz w:val="17"/>
                <w:szCs w:val="17"/>
                <w:color w:val="auto"/>
              </w:rPr>
              <w:t>(54,049)</w:t>
            </w:r>
          </w:p>
        </w:tc>
      </w:tr>
      <w:tr>
        <w:trPr>
          <w:trHeight w:val="226"/>
        </w:trPr>
        <w:tc>
          <w:tcPr>
            <w:tcW w:w="8160" w:type="dxa"/>
            <w:vAlign w:val="bottom"/>
            <w:gridSpan w:val="2"/>
            <w:shd w:val="clear" w:color="auto" w:fill="E6EEFF"/>
          </w:tcPr>
          <w:p>
            <w:pPr>
              <w:ind w:left="120"/>
              <w:spacing w:after="0"/>
              <w:rPr>
                <w:sz w:val="20"/>
                <w:szCs w:val="20"/>
                <w:color w:val="auto"/>
              </w:rPr>
            </w:pPr>
            <w:r>
              <w:rPr>
                <w:rFonts w:ascii="Calibri" w:cs="Calibri" w:eastAsia="Calibri" w:hAnsi="Calibri"/>
                <w:sz w:val="17"/>
                <w:szCs w:val="17"/>
                <w:color w:val="auto"/>
              </w:rPr>
              <w:t>Current unrealized gains</w:t>
            </w:r>
          </w:p>
        </w:tc>
        <w:tc>
          <w:tcPr>
            <w:tcW w:w="420" w:type="dxa"/>
            <w:vAlign w:val="bottom"/>
            <w:shd w:val="clear" w:color="auto" w:fill="E6EEFF"/>
          </w:tcPr>
          <w:p>
            <w:pPr>
              <w:spacing w:after="0"/>
              <w:rPr>
                <w:sz w:val="19"/>
                <w:szCs w:val="19"/>
                <w:color w:val="auto"/>
              </w:rPr>
            </w:pPr>
          </w:p>
        </w:tc>
        <w:tc>
          <w:tcPr>
            <w:tcW w:w="10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41,194</w:t>
            </w:r>
          </w:p>
        </w:tc>
        <w:tc>
          <w:tcPr>
            <w:tcW w:w="80" w:type="dxa"/>
            <w:vAlign w:val="bottom"/>
            <w:shd w:val="clear" w:color="auto" w:fill="E6EEFF"/>
          </w:tcPr>
          <w:p>
            <w:pPr>
              <w:spacing w:after="0"/>
              <w:rPr>
                <w:sz w:val="19"/>
                <w:szCs w:val="19"/>
                <w:color w:val="auto"/>
              </w:rPr>
            </w:pPr>
          </w:p>
        </w:tc>
        <w:tc>
          <w:tcPr>
            <w:tcW w:w="700" w:type="dxa"/>
            <w:vAlign w:val="bottom"/>
            <w:shd w:val="clear" w:color="auto" w:fill="E6EEFF"/>
          </w:tcPr>
          <w:p>
            <w:pPr>
              <w:spacing w:after="0"/>
              <w:rPr>
                <w:sz w:val="19"/>
                <w:szCs w:val="19"/>
                <w:color w:val="auto"/>
              </w:rPr>
            </w:pPr>
          </w:p>
        </w:tc>
        <w:tc>
          <w:tcPr>
            <w:tcW w:w="7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922,067</w:t>
            </w:r>
          </w:p>
        </w:tc>
      </w:tr>
      <w:tr>
        <w:trPr>
          <w:trHeight w:val="212"/>
        </w:trPr>
        <w:tc>
          <w:tcPr>
            <w:tcW w:w="8160" w:type="dxa"/>
            <w:vAlign w:val="bottom"/>
            <w:gridSpan w:val="2"/>
          </w:tcPr>
          <w:p>
            <w:pPr>
              <w:ind w:left="120"/>
              <w:spacing w:after="0" w:line="205" w:lineRule="exact"/>
              <w:rPr>
                <w:sz w:val="20"/>
                <w:szCs w:val="20"/>
                <w:color w:val="auto"/>
              </w:rPr>
            </w:pPr>
            <w:r>
              <w:rPr>
                <w:rFonts w:ascii="Calibri" w:cs="Calibri" w:eastAsia="Calibri" w:hAnsi="Calibri"/>
                <w:sz w:val="17"/>
                <w:szCs w:val="17"/>
                <w:color w:val="auto"/>
              </w:rPr>
              <w:t>Amortzaton of prior unrealized gains</w:t>
            </w:r>
          </w:p>
        </w:tc>
        <w:tc>
          <w:tcPr>
            <w:tcW w:w="420" w:type="dxa"/>
            <w:vAlign w:val="bottom"/>
          </w:tcPr>
          <w:p>
            <w:pPr>
              <w:spacing w:after="0"/>
              <w:rPr>
                <w:sz w:val="18"/>
                <w:szCs w:val="18"/>
                <w:color w:val="auto"/>
              </w:rPr>
            </w:pPr>
          </w:p>
        </w:tc>
        <w:tc>
          <w:tcPr>
            <w:tcW w:w="1020" w:type="dxa"/>
            <w:vAlign w:val="bottom"/>
          </w:tcPr>
          <w:p>
            <w:pPr>
              <w:jc w:val="right"/>
              <w:spacing w:after="0" w:line="205" w:lineRule="exact"/>
              <w:rPr>
                <w:sz w:val="20"/>
                <w:szCs w:val="20"/>
                <w:color w:val="auto"/>
              </w:rPr>
            </w:pPr>
            <w:r>
              <w:rPr>
                <w:rFonts w:ascii="Calibri" w:cs="Calibri" w:eastAsia="Calibri" w:hAnsi="Calibri"/>
                <w:sz w:val="17"/>
                <w:szCs w:val="17"/>
                <w:color w:val="auto"/>
              </w:rPr>
              <w:t>(199,778)</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jc w:val="right"/>
              <w:spacing w:after="0" w:line="205" w:lineRule="exact"/>
              <w:rPr>
                <w:sz w:val="20"/>
                <w:szCs w:val="20"/>
                <w:color w:val="auto"/>
              </w:rPr>
            </w:pPr>
            <w:r>
              <w:rPr>
                <w:rFonts w:ascii="Calibri" w:cs="Calibri" w:eastAsia="Calibri" w:hAnsi="Calibri"/>
                <w:sz w:val="17"/>
                <w:szCs w:val="17"/>
                <w:color w:val="auto"/>
              </w:rPr>
              <w:t>(122,101)</w:t>
            </w:r>
          </w:p>
        </w:tc>
      </w:tr>
      <w:tr>
        <w:trPr>
          <w:trHeight w:val="219"/>
        </w:trPr>
        <w:tc>
          <w:tcPr>
            <w:tcW w:w="8160" w:type="dxa"/>
            <w:vAlign w:val="bottom"/>
            <w:gridSpan w:val="2"/>
            <w:shd w:val="clear" w:color="auto" w:fill="E6EEFF"/>
          </w:tcPr>
          <w:p>
            <w:pPr>
              <w:ind w:left="120"/>
              <w:spacing w:after="0"/>
              <w:rPr>
                <w:sz w:val="20"/>
                <w:szCs w:val="20"/>
                <w:color w:val="auto"/>
              </w:rPr>
            </w:pPr>
            <w:r>
              <w:rPr>
                <w:rFonts w:ascii="Calibri" w:cs="Calibri" w:eastAsia="Calibri" w:hAnsi="Calibri"/>
                <w:sz w:val="17"/>
                <w:szCs w:val="17"/>
                <w:color w:val="auto"/>
              </w:rPr>
              <w:t>Loss on early terminatons</w:t>
            </w:r>
          </w:p>
        </w:tc>
        <w:tc>
          <w:tcPr>
            <w:tcW w:w="420" w:type="dxa"/>
            <w:vAlign w:val="bottom"/>
            <w:tcBorders>
              <w:bottom w:val="single" w:sz="8" w:color="auto"/>
            </w:tcBorders>
            <w:shd w:val="clear" w:color="auto" w:fill="E6EEFF"/>
          </w:tcPr>
          <w:p>
            <w:pPr>
              <w:spacing w:after="0"/>
              <w:rPr>
                <w:sz w:val="19"/>
                <w:szCs w:val="19"/>
                <w:color w:val="auto"/>
              </w:rPr>
            </w:pPr>
          </w:p>
        </w:tc>
        <w:tc>
          <w:tcPr>
            <w:tcW w:w="102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(37,535)</w:t>
            </w:r>
          </w:p>
        </w:tc>
        <w:tc>
          <w:tcPr>
            <w:tcW w:w="80" w:type="dxa"/>
            <w:vAlign w:val="bottom"/>
            <w:shd w:val="clear" w:color="auto" w:fill="E6EEFF"/>
          </w:tcPr>
          <w:p>
            <w:pPr>
              <w:spacing w:after="0"/>
              <w:rPr>
                <w:sz w:val="19"/>
                <w:szCs w:val="19"/>
                <w:color w:val="auto"/>
              </w:rPr>
            </w:pPr>
          </w:p>
        </w:tc>
        <w:tc>
          <w:tcPr>
            <w:tcW w:w="700" w:type="dxa"/>
            <w:vAlign w:val="bottom"/>
            <w:tcBorders>
              <w:bottom w:val="single" w:sz="8" w:color="auto"/>
            </w:tcBorders>
            <w:shd w:val="clear" w:color="auto" w:fill="E6EEFF"/>
          </w:tcPr>
          <w:p>
            <w:pPr>
              <w:spacing w:after="0"/>
              <w:rPr>
                <w:sz w:val="19"/>
                <w:szCs w:val="19"/>
                <w:color w:val="auto"/>
              </w:rPr>
            </w:pPr>
          </w:p>
        </w:tc>
        <w:tc>
          <w:tcPr>
            <w:tcW w:w="76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(67,030)</w:t>
            </w:r>
          </w:p>
        </w:tc>
      </w:tr>
      <w:tr>
        <w:trPr>
          <w:trHeight w:val="219"/>
        </w:trPr>
        <w:tc>
          <w:tcPr>
            <w:tcW w:w="8160" w:type="dxa"/>
            <w:vAlign w:val="bottom"/>
            <w:gridSpan w:val="2"/>
          </w:tcPr>
          <w:p>
            <w:pPr>
              <w:ind w:left="20"/>
              <w:spacing w:after="0"/>
              <w:rPr>
                <w:sz w:val="20"/>
                <w:szCs w:val="20"/>
                <w:color w:val="auto"/>
              </w:rPr>
            </w:pPr>
            <w:r>
              <w:rPr>
                <w:rFonts w:ascii="Calibri" w:cs="Calibri" w:eastAsia="Calibri" w:hAnsi="Calibri"/>
                <w:sz w:val="17"/>
                <w:szCs w:val="17"/>
                <w:b w:val="1"/>
                <w:bCs w:val="1"/>
                <w:color w:val="1C4787"/>
              </w:rPr>
              <w:t>Net Balance, end of period</w:t>
            </w:r>
          </w:p>
        </w:tc>
        <w:tc>
          <w:tcPr>
            <w:tcW w:w="420" w:type="dxa"/>
            <w:vAlign w:val="bottom"/>
            <w:tcBorders>
              <w:bottom w:val="single" w:sz="8" w:color="auto"/>
            </w:tcBorders>
          </w:tcPr>
          <w:p>
            <w:pPr>
              <w:jc w:val="right"/>
              <w:ind w:right="234"/>
              <w:spacing w:after="0" w:line="205" w:lineRule="exact"/>
              <w:rPr>
                <w:sz w:val="20"/>
                <w:szCs w:val="20"/>
                <w:color w:val="auto"/>
              </w:rPr>
            </w:pPr>
            <w:r>
              <w:rPr>
                <w:rFonts w:ascii="Calibri" w:cs="Calibri" w:eastAsia="Calibri" w:hAnsi="Calibri"/>
                <w:sz w:val="17"/>
                <w:szCs w:val="17"/>
                <w:color w:val="auto"/>
                <w:w w:val="92"/>
              </w:rPr>
              <w:t>$</w:t>
            </w:r>
          </w:p>
        </w:tc>
        <w:tc>
          <w:tcPr>
            <w:tcW w:w="10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870,560</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514"/>
              <w:spacing w:after="0" w:line="205" w:lineRule="exact"/>
              <w:rPr>
                <w:sz w:val="20"/>
                <w:szCs w:val="20"/>
                <w:color w:val="auto"/>
              </w:rPr>
            </w:pPr>
            <w:r>
              <w:rPr>
                <w:rFonts w:ascii="Calibri" w:cs="Calibri" w:eastAsia="Calibri" w:hAnsi="Calibri"/>
                <w:sz w:val="17"/>
                <w:szCs w:val="17"/>
                <w:color w:val="auto"/>
                <w:w w:val="92"/>
              </w:rPr>
              <w:t>$</w:t>
            </w:r>
          </w:p>
        </w:tc>
        <w:tc>
          <w:tcPr>
            <w:tcW w:w="7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983,659</w:t>
            </w:r>
          </w:p>
        </w:tc>
      </w:tr>
      <w:tr>
        <w:trPr>
          <w:trHeight w:val="20"/>
        </w:trPr>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policies do not contain specifc requirements as to the percentages or amount of interest rate risk that we are required to hedge. No assurance can be given that our derivatves will have the desired benefcial impact on our results of operatons or fnancial conditon. We have not elected cash fow hedge accountng treatment as allowed by GAAP. Since we do not designate our derivatve actvites as cash fow hedges, realized as well as unrealized gains/losses from these transactons will impact our GAAP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1164590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440055</wp:posOffset>
            </wp:positionV>
            <wp:extent cx="458470" cy="5073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61" w:name="page62"/>
    <w:bookmarkEnd w:id="61"/>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60</w:t>
      </w:r>
    </w:p>
    <w:p>
      <w:pPr>
        <w:spacing w:after="0" w:line="200" w:lineRule="exact"/>
        <w:rPr>
          <w:sz w:val="20"/>
          <w:szCs w:val="20"/>
          <w:color w:val="auto"/>
        </w:rPr>
      </w:pPr>
    </w:p>
    <w:p>
      <w:pPr>
        <w:spacing w:after="0" w:line="302"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Use of derivatve instruments may fail to protect or could adversely afect us because, among other things:</w:t>
      </w:r>
    </w:p>
    <w:p>
      <w:pPr>
        <w:spacing w:after="0" w:line="182" w:lineRule="exact"/>
        <w:rPr>
          <w:sz w:val="20"/>
          <w:szCs w:val="20"/>
          <w:color w:val="auto"/>
        </w:rPr>
      </w:pPr>
    </w:p>
    <w:p>
      <w:pPr>
        <w:ind w:left="620" w:hanging="307"/>
        <w:spacing w:after="0" w:line="237" w:lineRule="auto"/>
        <w:tabs>
          <w:tab w:leader="none" w:pos="613"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available derivatves may not correspond directly with the interest rate risk for which protecton is sought (e.g., the diference in interest rate movements for long-term U.S. Treasury Securites compared to Agency Securites);</w:t>
      </w:r>
    </w:p>
    <w:p>
      <w:pPr>
        <w:spacing w:after="0" w:line="51" w:lineRule="exact"/>
        <w:rPr>
          <w:rFonts w:ascii="Calibri" w:cs="Calibri" w:eastAsia="Calibri" w:hAnsi="Calibri"/>
          <w:sz w:val="17"/>
          <w:szCs w:val="17"/>
          <w:color w:val="auto"/>
        </w:rPr>
      </w:pPr>
    </w:p>
    <w:p>
      <w:pPr>
        <w:ind w:left="620" w:hanging="307"/>
        <w:spacing w:after="0"/>
        <w:tabs>
          <w:tab w:leader="none" w:pos="620"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the duraton of the derivatves may not match the duraton of the related liability;</w:t>
      </w:r>
    </w:p>
    <w:p>
      <w:pPr>
        <w:spacing w:after="0" w:line="52"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the counterparty to a derivatve agreement with us may default on its obligaton to pay or not perform under the terms of the agreement and the collateral posted may not be sufcient to protect against any consequent loss;</w:t>
      </w:r>
    </w:p>
    <w:p>
      <w:pPr>
        <w:spacing w:after="0" w:line="54"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we may lose collateral we have pledged to secure our obligatons under a derivatve agreement if the associated counterparty becomes insolvent or fles for bankruptcy;</w:t>
      </w:r>
    </w:p>
    <w:p>
      <w:pPr>
        <w:spacing w:after="0" w:line="54"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we may experience a terminaton event under one or more of our derivatve agreements related to our REIT status, equity levels and performance, which could result in a payout to the associated counterparty and a taxable loss to us;</w:t>
      </w:r>
    </w:p>
    <w:p>
      <w:pPr>
        <w:spacing w:after="0" w:line="54"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the credit-quality of the party owing money on the derivatves may be downgraded to such an extent that it impairs our ability to sell or assign our side of the hedging transacton; and</w:t>
      </w:r>
    </w:p>
    <w:p>
      <w:pPr>
        <w:spacing w:after="0" w:line="54"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the value of derivatves may be adjusted from tme to tme in accordance with GAAP to refect changes in fair value; downward adjustments, or “mark-to-market losses,” would reduce our net income or increase any net loss.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Although we atempt to structure our derivatves to ofset the changes in asset prices, the complexity of the actual and expected prepayment characteristcs of the underlying mortgages as well as the volatlity in mortgage interest rates relatve to U.S. Treasury and interest rate swap contract rates makes achieving high levels of ofset difcult. We recognized net gains related to our derivatves of $51,748, $810,808 and $52,493, respectvely for the years ended December 31, 2023, December 31, 2022 and December 31, 2021.</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As required by the Dodd-Frank Act, the Commodity Futures Trading Commission has adopted rules requiring certain interest rate swap contracts to be cleared through a derivatves clearing organizaton. We are required to clear certain new interest rate swap contracts. Centrally-cleared interest rate swaps may have higher margin requirements than bilateral interest rate swaps. We have established an account with a futures commission merchant for this purpose. At December 31, 2023, we had $1,275,000 notonal amount of centrally-cleared interest rate swap contracts.</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are required to account for our TBA Agency Securites as derivatves when it is reasonably possible that we will not take or make tmely physical delivery of the related securites. However, from tme to tme, we use TBA Agency Securites primarily to efectvely establish portolio positons. See the secton, "TBA Agency Securites"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62" w:name="page63"/>
    <w:bookmarkEnd w:id="62"/>
    <w:p>
      <w:pPr>
        <w:jc w:val="center"/>
        <w:ind w:right="620"/>
        <w:spacing w:after="0"/>
        <w:rPr>
          <w:sz w:val="20"/>
          <w:szCs w:val="20"/>
          <w:color w:val="auto"/>
        </w:rPr>
      </w:pPr>
      <w:r>
        <w:rPr>
          <w:rFonts w:ascii="Calibri" w:cs="Calibri" w:eastAsia="Calibri" w:hAnsi="Calibri"/>
          <w:sz w:val="19"/>
          <w:szCs w:val="19"/>
          <w:b w:val="1"/>
          <w:bCs w:val="1"/>
          <w:color w:val="1C4787"/>
        </w:rPr>
        <w:t>ARMOUR Residental REIT, Inc.</w:t>
      </w:r>
    </w:p>
    <w:p>
      <w:pPr>
        <w:jc w:val="center"/>
        <w:ind w:right="620"/>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ind w:right="620"/>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61</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graphs present the notonal and weighted average interest rate of our interest rate swap contracts by year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4323715</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623570</wp:posOffset>
            </wp:positionH>
            <wp:positionV relativeFrom="paragraph">
              <wp:posOffset>128905</wp:posOffset>
            </wp:positionV>
            <wp:extent cx="5108575" cy="29959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08575" cy="299593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3599815</wp:posOffset>
            </wp:positionV>
            <wp:extent cx="458470" cy="5073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0620"/>
          </w:cols>
          <w:pgMar w:left="940" w:top="740" w:right="339" w:bottom="1440" w:gutter="0" w:footer="0" w:header="0"/>
        </w:sectPr>
      </w:pPr>
    </w:p>
    <w:bookmarkStart w:id="63" w:name="page64"/>
    <w:bookmarkEnd w:id="63"/>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334010</wp:posOffset>
            </wp:positionV>
            <wp:extent cx="5108575" cy="29959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08575" cy="299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Liquidity and Capital Resources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At December 31, 2023, our liquidity totaled $657,001, consistng of $221,888 of cash and cash equivalents plus $435,113 of unencumbered Agency Securites and U.S. government securites (including securites received as reverse margin collateral). Our primary sources of funds are borrowings under repurchase arrangements, monthly principal and interest payments on our MBS and cash generated from our operatng results. Other potental sources of liquidity include our automatc shelf registraton fled with the SEC, pursuant to which we may ofer an unspecifed amount of shares of our common stock, preferred stock, warrants, depositary shares and debt securites. During the years ended December 31, 2023 and December 31, 2022, we sold 16,633 and 14,008 shares under Common stock ATM Sales Agreements for proceeds of $450,097 and $475,537, net of issuance costs and commissions of approximately $4,628 and $5,157, respectvely. During the year ended December 31, 2023, we also sold 3 shares under the DRIP for proceeds of $51. During the years ended December 31, 2023 and December 31, 2022, we repurchased (477) and (296) common shares under our current repurchase authorizaton for a cost of $(9,935) and $(7,664), respectvely (see Note 10 to the consolidated fnancial statements). See Note 14 for additonal discussion of transactons with BUCKLER.</w:t>
      </w:r>
    </w:p>
    <w:p>
      <w:pPr>
        <w:spacing w:after="0" w:line="18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generally maintain liquidity to pay down borrowings under repurchase arrangements to reduce borrowing costs and otherwise efciently manage our long-term investment capital. Because the level of our borrowings can be adjusted on a daily basis, the level of cash and cash equivalents carried on our consolidated balance sheet is signifcantly less important than our potental liquidity available under our borrowing arrangements. We contnue to pursue additonal lending counterpartes in order to help increase our fnancial fexibility and ability to withstand periods of contractng liquidity in the credit markets.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 additon to the repurchase agreement fnancing discussed above, from tme to tme we have entered into reverse repurchase agreements with certain of our repurchase agreement counterpartes. Under a typical reverse repurchase agreement, we purchase U.S. Treasury Securites from a borrower in exchange for cash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64" w:name="page65"/>
    <w:bookmarkEnd w:id="64"/>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63</w:t>
      </w:r>
    </w:p>
    <w:p>
      <w:pPr>
        <w:spacing w:after="0" w:line="200" w:lineRule="exact"/>
        <w:rPr>
          <w:sz w:val="20"/>
          <w:szCs w:val="20"/>
          <w:color w:val="auto"/>
        </w:rPr>
      </w:pPr>
    </w:p>
    <w:p>
      <w:pPr>
        <w:spacing w:after="0" w:line="30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agree to sell the same securites back in the future. We then sell such U.S. Treasury Securites to third partes and recognize a liability to return the securites to the original borrower. Reverse repurchase agreement receivables and repurchase agreement liabilites are presented net when they meet certain criteria, including being with the same counterparty, being governed by the same MRA, setlement through the same brokerage or clearing account and maturing on the same day. The practcal efect of these transactons is to replace a porton of our repurchase agreement fnancing of our MBS in our securites portolio with short positons in U.S. Treasury Securites. We believe that this helps to reduce interest rate risk, and therefore counterparty credit and liquidity risk. Both partes to the repurchase and reverse repurchase transactons have the right to make daily margin calls based on changes in the value of the collateral obtained and/or pledged. At December 31, 2023 and December 31, 2022, we had $353,937 and $704,276 in reverse repurchase agreements. We had obligatons to return securites received as collateral associated with our reverse repurchase agreements as of December 31, 2023 and December 31, 2022 of $350,273 and $502,656, respectvely.</w:t>
      </w:r>
    </w:p>
    <w:p>
      <w:pPr>
        <w:spacing w:after="0" w:line="184"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primary uses of cash are to purchase MBS, pay interest and principal on our borrowings, fund our operatons and pay dividends. From tme to tme, we purchase or sell assets for forward setlement up to 90 days in the future to lock in purchase prices or sales proceeds. At December 31, 2023 and December 31, 2022, we fnanced our securites portolio with $9,647,982 (net of reverse repurchase agreements of $353,937) and $6,463,058 (net of reverse repurchase agreements of $704,276) of borrowings under repurchase agreements, respectvely. We generally seek to borrow (on a recourse basis) between six and ten tmes the amount of our total stockholders’ equity. Our debt to equity ratos at December 31, 2023 and December 31, 2022, were 7.59:1 and 5.81:1, respectvely, as we substtuted Agency MBS for TBA Agency Securites. Our leverage ratos, including our TBA Agency Securites, were 7.83:1 and 6.51:1 at December 31, 2023 and December 31, 2022, respectvely. Implied leverage, including TBA Securites and forward setling sales and unsetled purchases was 7.96:1 and 6.83:1 at December 31, 2023 and December 31, 2022, respectvely.</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60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Calibri" w:cs="Calibri" w:eastAsia="Calibri" w:hAnsi="Calibri"/>
                <w:sz w:val="17"/>
                <w:szCs w:val="17"/>
                <w:i w:val="1"/>
                <w:iCs w:val="1"/>
                <w:color w:val="1C4787"/>
              </w:rPr>
              <w:t>Securites Portolio Maters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60"/>
        </w:trPr>
        <w:tc>
          <w:tcPr>
            <w:tcW w:w="600" w:type="dxa"/>
            <w:vAlign w:val="bottom"/>
          </w:tcPr>
          <w:p>
            <w:pPr>
              <w:spacing w:after="0"/>
              <w:rPr>
                <w:sz w:val="13"/>
                <w:szCs w:val="13"/>
                <w:color w:val="auto"/>
              </w:rPr>
            </w:pPr>
          </w:p>
        </w:tc>
        <w:tc>
          <w:tcPr>
            <w:tcW w:w="1840" w:type="dxa"/>
            <w:vAlign w:val="bottom"/>
            <w:tcBorders>
              <w:top w:val="single" w:sz="8" w:color="1C4787"/>
            </w:tcBorders>
          </w:tcPr>
          <w:p>
            <w:pPr>
              <w:spacing w:after="0"/>
              <w:rPr>
                <w:sz w:val="13"/>
                <w:szCs w:val="13"/>
                <w:color w:val="auto"/>
              </w:rPr>
            </w:pPr>
          </w:p>
        </w:tc>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2"/>
        </w:trPr>
        <w:tc>
          <w:tcPr>
            <w:tcW w:w="600" w:type="dxa"/>
            <w:vAlign w:val="bottom"/>
            <w:shd w:val="clear" w:color="auto" w:fill="E6ECFF"/>
          </w:tcPr>
          <w:p>
            <w:pPr>
              <w:spacing w:after="0"/>
              <w:rPr>
                <w:sz w:val="18"/>
                <w:szCs w:val="18"/>
                <w:color w:val="auto"/>
              </w:rPr>
            </w:pPr>
          </w:p>
        </w:tc>
        <w:tc>
          <w:tcPr>
            <w:tcW w:w="1840" w:type="dxa"/>
            <w:vAlign w:val="bottom"/>
            <w:shd w:val="clear" w:color="auto" w:fill="E6ECFF"/>
          </w:tcPr>
          <w:p>
            <w:pPr>
              <w:spacing w:after="0"/>
              <w:rPr>
                <w:sz w:val="18"/>
                <w:szCs w:val="18"/>
                <w:color w:val="auto"/>
              </w:rPr>
            </w:pPr>
          </w:p>
        </w:tc>
        <w:tc>
          <w:tcPr>
            <w:tcW w:w="4100" w:type="dxa"/>
            <w:vAlign w:val="bottom"/>
            <w:shd w:val="clear" w:color="auto" w:fill="E6ECFF"/>
          </w:tcPr>
          <w:p>
            <w:pPr>
              <w:spacing w:after="0"/>
              <w:rPr>
                <w:sz w:val="18"/>
                <w:szCs w:val="18"/>
                <w:color w:val="auto"/>
              </w:rPr>
            </w:pPr>
          </w:p>
        </w:tc>
        <w:tc>
          <w:tcPr>
            <w:tcW w:w="100" w:type="dxa"/>
            <w:vAlign w:val="bottom"/>
            <w:tcBorders>
              <w:bottom w:val="single" w:sz="8" w:color="auto"/>
            </w:tcBorders>
            <w:shd w:val="clear" w:color="auto" w:fill="E6ECFF"/>
          </w:tcPr>
          <w:p>
            <w:pPr>
              <w:spacing w:after="0"/>
              <w:rPr>
                <w:sz w:val="18"/>
                <w:szCs w:val="18"/>
                <w:color w:val="auto"/>
              </w:rPr>
            </w:pPr>
          </w:p>
        </w:tc>
        <w:tc>
          <w:tcPr>
            <w:tcW w:w="360" w:type="dxa"/>
            <w:vAlign w:val="bottom"/>
            <w:tcBorders>
              <w:bottom w:val="single" w:sz="8" w:color="auto"/>
            </w:tcBorders>
            <w:shd w:val="clear" w:color="auto" w:fill="E6ECFF"/>
          </w:tcPr>
          <w:p>
            <w:pPr>
              <w:spacing w:after="0"/>
              <w:rPr>
                <w:sz w:val="18"/>
                <w:szCs w:val="18"/>
                <w:color w:val="auto"/>
              </w:rPr>
            </w:pPr>
          </w:p>
        </w:tc>
        <w:tc>
          <w:tcPr>
            <w:tcW w:w="1100" w:type="dxa"/>
            <w:vAlign w:val="bottom"/>
            <w:tcBorders>
              <w:bottom w:val="single" w:sz="8" w:color="auto"/>
            </w:tcBorders>
            <w:shd w:val="clear" w:color="auto" w:fill="E6ECFF"/>
          </w:tcPr>
          <w:p>
            <w:pPr>
              <w:spacing w:after="0"/>
              <w:rPr>
                <w:sz w:val="18"/>
                <w:szCs w:val="18"/>
                <w:color w:val="auto"/>
              </w:rPr>
            </w:pPr>
          </w:p>
        </w:tc>
        <w:tc>
          <w:tcPr>
            <w:tcW w:w="100" w:type="dxa"/>
            <w:vAlign w:val="bottom"/>
            <w:tcBorders>
              <w:bottom w:val="single" w:sz="8" w:color="auto"/>
            </w:tcBorders>
            <w:shd w:val="clear" w:color="auto" w:fill="E6ECFF"/>
          </w:tcPr>
          <w:p>
            <w:pPr>
              <w:spacing w:after="0"/>
              <w:rPr>
                <w:sz w:val="18"/>
                <w:szCs w:val="18"/>
                <w:color w:val="auto"/>
              </w:rPr>
            </w:pPr>
          </w:p>
        </w:tc>
        <w:tc>
          <w:tcPr>
            <w:tcW w:w="1560" w:type="dxa"/>
            <w:vAlign w:val="bottom"/>
            <w:tcBorders>
              <w:bottom w:val="single" w:sz="8" w:color="auto"/>
            </w:tcBorders>
            <w:gridSpan w:val="3"/>
            <w:shd w:val="clear" w:color="auto" w:fill="E6ECFF"/>
          </w:tcPr>
          <w:p>
            <w:pPr>
              <w:ind w:left="40"/>
              <w:spacing w:after="0" w:line="205" w:lineRule="exact"/>
              <w:rPr>
                <w:sz w:val="20"/>
                <w:szCs w:val="20"/>
                <w:color w:val="auto"/>
              </w:rPr>
            </w:pPr>
            <w:r>
              <w:rPr>
                <w:rFonts w:ascii="Calibri" w:cs="Calibri" w:eastAsia="Calibri" w:hAnsi="Calibri"/>
                <w:sz w:val="17"/>
                <w:szCs w:val="17"/>
                <w:b w:val="1"/>
                <w:bCs w:val="1"/>
                <w:color w:val="1C4787"/>
              </w:rPr>
              <w:t>For the Years Ended</w:t>
            </w:r>
          </w:p>
        </w:tc>
        <w:tc>
          <w:tcPr>
            <w:tcW w:w="420" w:type="dxa"/>
            <w:vAlign w:val="bottom"/>
            <w:tcBorders>
              <w:bottom w:val="single" w:sz="8" w:color="auto"/>
            </w:tcBorders>
            <w:shd w:val="clear" w:color="auto" w:fill="E6ECFF"/>
          </w:tcPr>
          <w:p>
            <w:pPr>
              <w:spacing w:after="0"/>
              <w:rPr>
                <w:sz w:val="18"/>
                <w:szCs w:val="18"/>
                <w:color w:val="auto"/>
              </w:rPr>
            </w:pPr>
          </w:p>
        </w:tc>
        <w:tc>
          <w:tcPr>
            <w:tcW w:w="1040" w:type="dxa"/>
            <w:vAlign w:val="bottom"/>
            <w:tcBorders>
              <w:bottom w:val="single" w:sz="8" w:color="auto"/>
            </w:tcBorders>
            <w:shd w:val="clear" w:color="auto" w:fill="E6ECFF"/>
          </w:tcPr>
          <w:p>
            <w:pPr>
              <w:spacing w:after="0"/>
              <w:rPr>
                <w:sz w:val="18"/>
                <w:szCs w:val="18"/>
                <w:color w:val="auto"/>
              </w:rPr>
            </w:pPr>
          </w:p>
        </w:tc>
      </w:tr>
      <w:tr>
        <w:trPr>
          <w:trHeight w:val="212"/>
        </w:trPr>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ind w:left="6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560" w:type="dxa"/>
            <w:vAlign w:val="bottom"/>
            <w:gridSpan w:val="3"/>
          </w:tcPr>
          <w:p>
            <w:pPr>
              <w:ind w:left="6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460" w:type="dxa"/>
            <w:vAlign w:val="bottom"/>
            <w:gridSpan w:val="2"/>
          </w:tcPr>
          <w:p>
            <w:pPr>
              <w:jc w:val="right"/>
              <w:spacing w:after="0" w:line="205" w:lineRule="exact"/>
              <w:rPr>
                <w:sz w:val="20"/>
                <w:szCs w:val="20"/>
                <w:color w:val="auto"/>
              </w:rPr>
            </w:pPr>
            <w:r>
              <w:rPr>
                <w:rFonts w:ascii="Calibri" w:cs="Calibri" w:eastAsia="Calibri" w:hAnsi="Calibri"/>
                <w:sz w:val="17"/>
                <w:szCs w:val="17"/>
                <w:b w:val="1"/>
                <w:bCs w:val="1"/>
                <w:color w:val="1C4787"/>
              </w:rPr>
              <w:t>December 31, 2021</w:t>
            </w:r>
          </w:p>
        </w:tc>
      </w:tr>
      <w:tr>
        <w:trPr>
          <w:trHeight w:val="219"/>
        </w:trPr>
        <w:tc>
          <w:tcPr>
            <w:tcW w:w="6640" w:type="dxa"/>
            <w:vAlign w:val="bottom"/>
            <w:tcBorders>
              <w:top w:val="single" w:sz="8" w:color="E6ECFF"/>
            </w:tcBorders>
            <w:gridSpan w:val="4"/>
            <w:shd w:val="clear" w:color="auto" w:fill="E6ECFF"/>
          </w:tcPr>
          <w:p>
            <w:pPr>
              <w:ind w:left="20"/>
              <w:spacing w:after="0" w:line="197" w:lineRule="exact"/>
              <w:rPr>
                <w:sz w:val="20"/>
                <w:szCs w:val="20"/>
                <w:color w:val="auto"/>
              </w:rPr>
            </w:pPr>
            <w:r>
              <w:rPr>
                <w:rFonts w:ascii="Calibri" w:cs="Calibri" w:eastAsia="Calibri" w:hAnsi="Calibri"/>
                <w:sz w:val="17"/>
                <w:szCs w:val="17"/>
                <w:color w:val="auto"/>
              </w:rPr>
              <w:t>Securites purchased using proceeds from repurchase agreements and principal repayments</w:t>
            </w:r>
          </w:p>
        </w:tc>
        <w:tc>
          <w:tcPr>
            <w:tcW w:w="360" w:type="dxa"/>
            <w:vAlign w:val="bottom"/>
            <w:tcBorders>
              <w:top w:val="single" w:sz="8" w:color="auto"/>
            </w:tcBorders>
            <w:shd w:val="clear" w:color="auto" w:fill="E6ECFF"/>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tcBorders>
              <w:top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10,730,949</w:t>
            </w:r>
          </w:p>
        </w:tc>
        <w:tc>
          <w:tcPr>
            <w:tcW w:w="100" w:type="dxa"/>
            <w:vAlign w:val="bottom"/>
            <w:tcBorders>
              <w:top w:val="single" w:sz="8" w:color="E6ECFF"/>
            </w:tcBorders>
            <w:shd w:val="clear" w:color="auto" w:fill="E6ECFF"/>
          </w:tcPr>
          <w:p>
            <w:pPr>
              <w:spacing w:after="0"/>
              <w:rPr>
                <w:sz w:val="19"/>
                <w:szCs w:val="19"/>
                <w:color w:val="auto"/>
              </w:rPr>
            </w:pPr>
          </w:p>
        </w:tc>
        <w:tc>
          <w:tcPr>
            <w:tcW w:w="360" w:type="dxa"/>
            <w:vAlign w:val="bottom"/>
            <w:tcBorders>
              <w:top w:val="single" w:sz="8" w:color="auto"/>
            </w:tcBorders>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tcBorders>
              <w:top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16,630,390</w:t>
            </w:r>
          </w:p>
        </w:tc>
        <w:tc>
          <w:tcPr>
            <w:tcW w:w="100" w:type="dxa"/>
            <w:vAlign w:val="bottom"/>
            <w:tcBorders>
              <w:top w:val="single" w:sz="8" w:color="E6ECFF"/>
            </w:tcBorders>
            <w:shd w:val="clear" w:color="auto" w:fill="E6ECFF"/>
          </w:tcPr>
          <w:p>
            <w:pPr>
              <w:spacing w:after="0"/>
              <w:rPr>
                <w:sz w:val="19"/>
                <w:szCs w:val="19"/>
                <w:color w:val="auto"/>
              </w:rPr>
            </w:pPr>
          </w:p>
        </w:tc>
        <w:tc>
          <w:tcPr>
            <w:tcW w:w="420" w:type="dxa"/>
            <w:vAlign w:val="bottom"/>
            <w:tcBorders>
              <w:top w:val="single" w:sz="8" w:color="auto"/>
            </w:tcBorders>
            <w:shd w:val="clear" w:color="auto" w:fill="E6ECFF"/>
          </w:tcPr>
          <w:p>
            <w:pPr>
              <w:jc w:val="right"/>
              <w:ind w:right="214"/>
              <w:spacing w:after="0" w:line="205" w:lineRule="exact"/>
              <w:rPr>
                <w:sz w:val="20"/>
                <w:szCs w:val="20"/>
                <w:color w:val="auto"/>
              </w:rPr>
            </w:pPr>
            <w:r>
              <w:rPr>
                <w:rFonts w:ascii="Calibri" w:cs="Calibri" w:eastAsia="Calibri" w:hAnsi="Calibri"/>
                <w:sz w:val="17"/>
                <w:szCs w:val="17"/>
                <w:color w:val="auto"/>
              </w:rPr>
              <w:t>$</w:t>
            </w:r>
          </w:p>
        </w:tc>
        <w:tc>
          <w:tcPr>
            <w:tcW w:w="1040" w:type="dxa"/>
            <w:vAlign w:val="bottom"/>
            <w:tcBorders>
              <w:top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2,253,829</w:t>
            </w:r>
          </w:p>
        </w:tc>
      </w:tr>
      <w:tr>
        <w:trPr>
          <w:trHeight w:val="212"/>
        </w:trPr>
        <w:tc>
          <w:tcPr>
            <w:tcW w:w="6640" w:type="dxa"/>
            <w:vAlign w:val="bottom"/>
            <w:gridSpan w:val="4"/>
          </w:tcPr>
          <w:p>
            <w:pPr>
              <w:ind w:left="20"/>
              <w:spacing w:after="0" w:line="205" w:lineRule="exact"/>
              <w:rPr>
                <w:sz w:val="20"/>
                <w:szCs w:val="20"/>
                <w:color w:val="auto"/>
              </w:rPr>
            </w:pPr>
            <w:r>
              <w:rPr>
                <w:rFonts w:ascii="Calibri" w:cs="Calibri" w:eastAsia="Calibri" w:hAnsi="Calibri"/>
                <w:sz w:val="17"/>
                <w:szCs w:val="17"/>
                <w:color w:val="auto"/>
              </w:rPr>
              <w:t>Average securites portolio, including TBA Securites</w:t>
            </w:r>
          </w:p>
        </w:tc>
        <w:tc>
          <w:tcPr>
            <w:tcW w:w="360" w:type="dxa"/>
            <w:vAlign w:val="bottom"/>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11,451,334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8,270,780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line="205" w:lineRule="exact"/>
              <w:rPr>
                <w:sz w:val="20"/>
                <w:szCs w:val="20"/>
                <w:color w:val="auto"/>
              </w:rPr>
            </w:pPr>
            <w:r>
              <w:rPr>
                <w:rFonts w:ascii="Calibri" w:cs="Calibri" w:eastAsia="Calibri" w:hAnsi="Calibri"/>
                <w:sz w:val="17"/>
                <w:szCs w:val="17"/>
                <w:color w:val="auto"/>
              </w:rPr>
              <w:t>7,677,721</w:t>
            </w:r>
          </w:p>
        </w:tc>
      </w:tr>
      <w:tr>
        <w:trPr>
          <w:trHeight w:val="226"/>
        </w:trPr>
        <w:tc>
          <w:tcPr>
            <w:tcW w:w="6640" w:type="dxa"/>
            <w:vAlign w:val="bottom"/>
            <w:gridSpan w:val="4"/>
            <w:shd w:val="clear" w:color="auto" w:fill="E6ECFF"/>
          </w:tcPr>
          <w:p>
            <w:pPr>
              <w:ind w:left="20"/>
              <w:spacing w:after="0"/>
              <w:rPr>
                <w:sz w:val="20"/>
                <w:szCs w:val="20"/>
                <w:color w:val="auto"/>
              </w:rPr>
            </w:pPr>
            <w:r>
              <w:rPr>
                <w:rFonts w:ascii="Calibri" w:cs="Calibri" w:eastAsia="Calibri" w:hAnsi="Calibri"/>
                <w:sz w:val="17"/>
                <w:szCs w:val="17"/>
                <w:color w:val="auto"/>
              </w:rPr>
              <w:t>Cash received from principal repayments on MBS</w:t>
            </w:r>
          </w:p>
        </w:tc>
        <w:tc>
          <w:tcPr>
            <w:tcW w:w="360" w:type="dxa"/>
            <w:vAlign w:val="bottom"/>
            <w:shd w:val="clear" w:color="auto" w:fill="E6ECFF"/>
          </w:tcPr>
          <w:p>
            <w:pPr>
              <w:jc w:val="right"/>
              <w:ind w:right="154"/>
              <w:spacing w:after="0"/>
              <w:rPr>
                <w:sz w:val="20"/>
                <w:szCs w:val="20"/>
                <w:color w:val="auto"/>
              </w:rPr>
            </w:pPr>
            <w:r>
              <w:rPr>
                <w:rFonts w:ascii="Calibri" w:cs="Calibri" w:eastAsia="Calibri" w:hAnsi="Calibri"/>
                <w:sz w:val="17"/>
                <w:szCs w:val="17"/>
                <w:color w:val="auto"/>
              </w:rPr>
              <w:t>$</w:t>
            </w:r>
          </w:p>
        </w:tc>
        <w:tc>
          <w:tcPr>
            <w:tcW w:w="11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803,158</w:t>
            </w:r>
          </w:p>
        </w:tc>
        <w:tc>
          <w:tcPr>
            <w:tcW w:w="100" w:type="dxa"/>
            <w:vAlign w:val="bottom"/>
            <w:shd w:val="clear" w:color="auto" w:fill="E6ECFF"/>
          </w:tcPr>
          <w:p>
            <w:pPr>
              <w:spacing w:after="0"/>
              <w:rPr>
                <w:sz w:val="19"/>
                <w:szCs w:val="19"/>
                <w:color w:val="auto"/>
              </w:rPr>
            </w:pPr>
          </w:p>
        </w:tc>
        <w:tc>
          <w:tcPr>
            <w:tcW w:w="36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573,609</w:t>
            </w:r>
          </w:p>
        </w:tc>
        <w:tc>
          <w:tcPr>
            <w:tcW w:w="100" w:type="dxa"/>
            <w:vAlign w:val="bottom"/>
            <w:shd w:val="clear" w:color="auto" w:fill="E6ECFF"/>
          </w:tcPr>
          <w:p>
            <w:pPr>
              <w:spacing w:after="0"/>
              <w:rPr>
                <w:sz w:val="19"/>
                <w:szCs w:val="19"/>
                <w:color w:val="auto"/>
              </w:rPr>
            </w:pPr>
          </w:p>
        </w:tc>
        <w:tc>
          <w:tcPr>
            <w:tcW w:w="420" w:type="dxa"/>
            <w:vAlign w:val="bottom"/>
            <w:shd w:val="clear" w:color="auto" w:fill="E6ECFF"/>
          </w:tcPr>
          <w:p>
            <w:pPr>
              <w:spacing w:after="0"/>
              <w:rPr>
                <w:sz w:val="19"/>
                <w:szCs w:val="19"/>
                <w:color w:val="auto"/>
              </w:rPr>
            </w:pPr>
          </w:p>
        </w:tc>
        <w:tc>
          <w:tcPr>
            <w:tcW w:w="104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870,985</w:t>
            </w:r>
          </w:p>
        </w:tc>
      </w:tr>
      <w:tr>
        <w:trPr>
          <w:trHeight w:val="212"/>
        </w:trPr>
        <w:tc>
          <w:tcPr>
            <w:tcW w:w="6640" w:type="dxa"/>
            <w:vAlign w:val="bottom"/>
            <w:gridSpan w:val="4"/>
          </w:tcPr>
          <w:p>
            <w:pPr>
              <w:ind w:left="20"/>
              <w:spacing w:after="0" w:line="205" w:lineRule="exact"/>
              <w:rPr>
                <w:sz w:val="20"/>
                <w:szCs w:val="20"/>
                <w:color w:val="auto"/>
              </w:rPr>
            </w:pPr>
            <w:r>
              <w:rPr>
                <w:rFonts w:ascii="Calibri" w:cs="Calibri" w:eastAsia="Calibri" w:hAnsi="Calibri"/>
                <w:sz w:val="17"/>
                <w:szCs w:val="17"/>
                <w:color w:val="auto"/>
              </w:rPr>
              <w:t>Net cash increase (decrease) from repurchase agreements</w:t>
            </w:r>
          </w:p>
        </w:tc>
        <w:tc>
          <w:tcPr>
            <w:tcW w:w="360" w:type="dxa"/>
            <w:vAlign w:val="bottom"/>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3,184,924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2,515,021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line="205" w:lineRule="exact"/>
              <w:rPr>
                <w:sz w:val="20"/>
                <w:szCs w:val="20"/>
                <w:color w:val="auto"/>
              </w:rPr>
            </w:pPr>
            <w:r>
              <w:rPr>
                <w:rFonts w:ascii="Calibri" w:cs="Calibri" w:eastAsia="Calibri" w:hAnsi="Calibri"/>
                <w:sz w:val="17"/>
                <w:szCs w:val="17"/>
                <w:color w:val="auto"/>
              </w:rPr>
              <w:t>(588,028)</w:t>
            </w:r>
          </w:p>
        </w:tc>
      </w:tr>
      <w:tr>
        <w:trPr>
          <w:trHeight w:val="226"/>
        </w:trPr>
        <w:tc>
          <w:tcPr>
            <w:tcW w:w="6640" w:type="dxa"/>
            <w:vAlign w:val="bottom"/>
            <w:gridSpan w:val="4"/>
            <w:shd w:val="clear" w:color="auto" w:fill="E6ECFF"/>
          </w:tcPr>
          <w:p>
            <w:pPr>
              <w:ind w:left="20"/>
              <w:spacing w:after="0"/>
              <w:rPr>
                <w:sz w:val="20"/>
                <w:szCs w:val="20"/>
                <w:color w:val="auto"/>
              </w:rPr>
            </w:pPr>
            <w:r>
              <w:rPr>
                <w:rFonts w:ascii="Calibri" w:cs="Calibri" w:eastAsia="Calibri" w:hAnsi="Calibri"/>
                <w:sz w:val="17"/>
                <w:szCs w:val="17"/>
                <w:color w:val="auto"/>
              </w:rPr>
              <w:t>Cash interest payments made on liabilites</w:t>
            </w:r>
          </w:p>
        </w:tc>
        <w:tc>
          <w:tcPr>
            <w:tcW w:w="360" w:type="dxa"/>
            <w:vAlign w:val="bottom"/>
            <w:shd w:val="clear" w:color="auto" w:fill="E6ECFF"/>
          </w:tcPr>
          <w:p>
            <w:pPr>
              <w:jc w:val="right"/>
              <w:ind w:right="154"/>
              <w:spacing w:after="0"/>
              <w:rPr>
                <w:sz w:val="20"/>
                <w:szCs w:val="20"/>
                <w:color w:val="auto"/>
              </w:rPr>
            </w:pPr>
            <w:r>
              <w:rPr>
                <w:rFonts w:ascii="Calibri" w:cs="Calibri" w:eastAsia="Calibri" w:hAnsi="Calibri"/>
                <w:sz w:val="17"/>
                <w:szCs w:val="17"/>
                <w:color w:val="auto"/>
              </w:rPr>
              <w:t>$</w:t>
            </w:r>
          </w:p>
        </w:tc>
        <w:tc>
          <w:tcPr>
            <w:tcW w:w="11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607,030</w:t>
            </w:r>
          </w:p>
        </w:tc>
        <w:tc>
          <w:tcPr>
            <w:tcW w:w="100" w:type="dxa"/>
            <w:vAlign w:val="bottom"/>
            <w:shd w:val="clear" w:color="auto" w:fill="E6ECFF"/>
          </w:tcPr>
          <w:p>
            <w:pPr>
              <w:spacing w:after="0"/>
              <w:rPr>
                <w:sz w:val="19"/>
                <w:szCs w:val="19"/>
                <w:color w:val="auto"/>
              </w:rPr>
            </w:pPr>
          </w:p>
        </w:tc>
        <w:tc>
          <w:tcPr>
            <w:tcW w:w="36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144,938</w:t>
            </w:r>
          </w:p>
        </w:tc>
        <w:tc>
          <w:tcPr>
            <w:tcW w:w="100" w:type="dxa"/>
            <w:vAlign w:val="bottom"/>
            <w:shd w:val="clear" w:color="auto" w:fill="E6ECFF"/>
          </w:tcPr>
          <w:p>
            <w:pPr>
              <w:spacing w:after="0"/>
              <w:rPr>
                <w:sz w:val="19"/>
                <w:szCs w:val="19"/>
                <w:color w:val="auto"/>
              </w:rPr>
            </w:pPr>
          </w:p>
        </w:tc>
        <w:tc>
          <w:tcPr>
            <w:tcW w:w="420" w:type="dxa"/>
            <w:vAlign w:val="bottom"/>
            <w:shd w:val="clear" w:color="auto" w:fill="E6ECFF"/>
          </w:tcPr>
          <w:p>
            <w:pPr>
              <w:spacing w:after="0"/>
              <w:rPr>
                <w:sz w:val="19"/>
                <w:szCs w:val="19"/>
                <w:color w:val="auto"/>
              </w:rPr>
            </w:pPr>
          </w:p>
        </w:tc>
        <w:tc>
          <w:tcPr>
            <w:tcW w:w="104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21,316</w:t>
            </w:r>
          </w:p>
        </w:tc>
      </w:tr>
      <w:tr>
        <w:trPr>
          <w:trHeight w:val="257"/>
        </w:trPr>
        <w:tc>
          <w:tcPr>
            <w:tcW w:w="6640" w:type="dxa"/>
            <w:vAlign w:val="bottom"/>
            <w:gridSpan w:val="4"/>
          </w:tcPr>
          <w:p>
            <w:pPr>
              <w:ind w:left="20"/>
              <w:spacing w:after="0" w:line="257" w:lineRule="exact"/>
              <w:rPr>
                <w:sz w:val="20"/>
                <w:szCs w:val="20"/>
                <w:color w:val="auto"/>
              </w:rPr>
            </w:pPr>
            <w:r>
              <w:rPr>
                <w:rFonts w:ascii="Calibri" w:cs="Calibri" w:eastAsia="Calibri" w:hAnsi="Calibri"/>
                <w:sz w:val="17"/>
                <w:szCs w:val="17"/>
                <w:color w:val="auto"/>
              </w:rPr>
              <w:t xml:space="preserve">Cash and cash collateral posted to counterpartes provided by operatng actvites </w:t>
            </w:r>
            <w:r>
              <w:rPr>
                <w:rFonts w:ascii="Calibri" w:cs="Calibri" w:eastAsia="Calibri" w:hAnsi="Calibri"/>
                <w:sz w:val="22"/>
                <w:szCs w:val="22"/>
                <w:color w:val="auto"/>
                <w:vertAlign w:val="superscript"/>
              </w:rPr>
              <w:t>(1)</w:t>
            </w:r>
          </w:p>
        </w:tc>
        <w:tc>
          <w:tcPr>
            <w:tcW w:w="360" w:type="dxa"/>
            <w:vAlign w:val="bottom"/>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132,816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124,085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line="205" w:lineRule="exact"/>
              <w:rPr>
                <w:sz w:val="20"/>
                <w:szCs w:val="20"/>
                <w:color w:val="auto"/>
              </w:rPr>
            </w:pPr>
            <w:r>
              <w:rPr>
                <w:rFonts w:ascii="Calibri" w:cs="Calibri" w:eastAsia="Calibri" w:hAnsi="Calibri"/>
                <w:sz w:val="17"/>
                <w:szCs w:val="17"/>
                <w:color w:val="auto"/>
              </w:rPr>
              <w:t>11,738</w:t>
            </w:r>
          </w:p>
        </w:tc>
      </w:tr>
    </w:tbl>
    <w:p>
      <w:pPr>
        <w:spacing w:after="0" w:line="199" w:lineRule="exact"/>
        <w:rPr>
          <w:sz w:val="20"/>
          <w:szCs w:val="20"/>
          <w:color w:val="auto"/>
        </w:rPr>
      </w:pPr>
    </w:p>
    <w:p>
      <w:pPr>
        <w:ind w:left="320" w:hanging="317"/>
        <w:spacing w:after="0" w:line="237" w:lineRule="auto"/>
        <w:tabs>
          <w:tab w:leader="none" w:pos="313"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The increase in cash and cash collateral posted to counterpartes related to operatng actvites from 2022 to 2023 is related to the repositoning of our securites portolio and the increase from 2021 to 2022 is related to the realized gains on derivatves.</w:t>
      </w:r>
    </w:p>
    <w:p>
      <w:pPr>
        <w:spacing w:after="0" w:line="168"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Other Contractual Obligatons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Company is managed by ACM, pursuant to a management agreement (see Note 8 and Note 14 to the consolidated fnancial statements)</w:t>
      </w:r>
      <w:r>
        <w:rPr>
          <w:rFonts w:ascii="Calibri" w:cs="Calibri" w:eastAsia="Calibri" w:hAnsi="Calibri"/>
          <w:sz w:val="17"/>
          <w:szCs w:val="17"/>
          <w:i w:val="1"/>
          <w:iCs w:val="1"/>
          <w:color w:val="auto"/>
        </w:rPr>
        <w:t>.</w:t>
      </w:r>
      <w:r>
        <w:rPr>
          <w:rFonts w:ascii="Calibri" w:cs="Calibri" w:eastAsia="Calibri" w:hAnsi="Calibri"/>
          <w:sz w:val="17"/>
          <w:szCs w:val="17"/>
          <w:color w:val="auto"/>
        </w:rPr>
        <w:t xml:space="preserve"> The management agreement runs through December 31, 2029 and is thereafer automatcally renewed for an additonal fve-year term unless terminated under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1163955</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440055</wp:posOffset>
            </wp:positionV>
            <wp:extent cx="458470" cy="5073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65" w:name="page66"/>
    <w:bookmarkEnd w:id="65"/>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64</w:t>
      </w:r>
    </w:p>
    <w:p>
      <w:pPr>
        <w:spacing w:after="0" w:line="200" w:lineRule="exact"/>
        <w:rPr>
          <w:sz w:val="20"/>
          <w:szCs w:val="20"/>
          <w:color w:val="auto"/>
        </w:rPr>
      </w:pPr>
    </w:p>
    <w:p>
      <w:pPr>
        <w:spacing w:after="0" w:line="3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following table reconciles the fees incurred in accordance with the management agreement for the years ended December 31, 2023, December 31, 2022 and December 31, 2021 (see Note 8 to the consolidated fnancial statements).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6540" w:type="dxa"/>
            <w:vAlign w:val="bottom"/>
            <w:shd w:val="clear" w:color="auto" w:fill="E6ECFF"/>
          </w:tcPr>
          <w:p>
            <w:pPr>
              <w:spacing w:after="0"/>
              <w:rPr>
                <w:sz w:val="19"/>
                <w:szCs w:val="19"/>
                <w:color w:val="auto"/>
              </w:rPr>
            </w:pPr>
          </w:p>
        </w:tc>
        <w:tc>
          <w:tcPr>
            <w:tcW w:w="100" w:type="dxa"/>
            <w:vAlign w:val="bottom"/>
            <w:tcBorders>
              <w:bottom w:val="single" w:sz="8" w:color="auto"/>
            </w:tcBorders>
            <w:shd w:val="clear" w:color="auto" w:fill="E6ECFF"/>
          </w:tcPr>
          <w:p>
            <w:pPr>
              <w:spacing w:after="0"/>
              <w:rPr>
                <w:sz w:val="19"/>
                <w:szCs w:val="19"/>
                <w:color w:val="auto"/>
              </w:rPr>
            </w:pPr>
          </w:p>
        </w:tc>
        <w:tc>
          <w:tcPr>
            <w:tcW w:w="520" w:type="dxa"/>
            <w:vAlign w:val="bottom"/>
            <w:tcBorders>
              <w:bottom w:val="single" w:sz="8" w:color="auto"/>
            </w:tcBorders>
            <w:shd w:val="clear" w:color="auto" w:fill="E6ECFF"/>
          </w:tcPr>
          <w:p>
            <w:pPr>
              <w:spacing w:after="0"/>
              <w:rPr>
                <w:sz w:val="19"/>
                <w:szCs w:val="19"/>
                <w:color w:val="auto"/>
              </w:rPr>
            </w:pPr>
          </w:p>
        </w:tc>
        <w:tc>
          <w:tcPr>
            <w:tcW w:w="940" w:type="dxa"/>
            <w:vAlign w:val="bottom"/>
            <w:tcBorders>
              <w:bottom w:val="single" w:sz="8" w:color="auto"/>
            </w:tcBorders>
            <w:shd w:val="clear" w:color="auto" w:fill="E6ECFF"/>
          </w:tcPr>
          <w:p>
            <w:pPr>
              <w:spacing w:after="0"/>
              <w:rPr>
                <w:sz w:val="19"/>
                <w:szCs w:val="19"/>
                <w:color w:val="auto"/>
              </w:rPr>
            </w:pPr>
          </w:p>
        </w:tc>
        <w:tc>
          <w:tcPr>
            <w:tcW w:w="100" w:type="dxa"/>
            <w:vAlign w:val="bottom"/>
            <w:tcBorders>
              <w:bottom w:val="single" w:sz="8" w:color="auto"/>
            </w:tcBorders>
            <w:shd w:val="clear" w:color="auto" w:fill="E6ECFF"/>
          </w:tcPr>
          <w:p>
            <w:pPr>
              <w:spacing w:after="0"/>
              <w:rPr>
                <w:sz w:val="19"/>
                <w:szCs w:val="19"/>
                <w:color w:val="auto"/>
              </w:rPr>
            </w:pPr>
          </w:p>
        </w:tc>
        <w:tc>
          <w:tcPr>
            <w:tcW w:w="1560" w:type="dxa"/>
            <w:vAlign w:val="bottom"/>
            <w:tcBorders>
              <w:bottom w:val="single" w:sz="8" w:color="auto"/>
            </w:tcBorders>
            <w:gridSpan w:val="3"/>
            <w:shd w:val="clear" w:color="auto" w:fill="E6ECFF"/>
          </w:tcPr>
          <w:p>
            <w:pPr>
              <w:ind w:left="40"/>
              <w:spacing w:after="0"/>
              <w:rPr>
                <w:sz w:val="20"/>
                <w:szCs w:val="20"/>
                <w:color w:val="auto"/>
              </w:rPr>
            </w:pPr>
            <w:r>
              <w:rPr>
                <w:rFonts w:ascii="Calibri" w:cs="Calibri" w:eastAsia="Calibri" w:hAnsi="Calibri"/>
                <w:sz w:val="17"/>
                <w:szCs w:val="17"/>
                <w:b w:val="1"/>
                <w:bCs w:val="1"/>
                <w:color w:val="1C4787"/>
              </w:rPr>
              <w:t>For the Years Ended</w:t>
            </w:r>
          </w:p>
        </w:tc>
        <w:tc>
          <w:tcPr>
            <w:tcW w:w="520" w:type="dxa"/>
            <w:vAlign w:val="bottom"/>
            <w:tcBorders>
              <w:bottom w:val="single" w:sz="8" w:color="auto"/>
            </w:tcBorders>
            <w:shd w:val="clear" w:color="auto" w:fill="E6ECFF"/>
          </w:tcPr>
          <w:p>
            <w:pPr>
              <w:spacing w:after="0"/>
              <w:rPr>
                <w:sz w:val="19"/>
                <w:szCs w:val="19"/>
                <w:color w:val="auto"/>
              </w:rPr>
            </w:pPr>
          </w:p>
        </w:tc>
        <w:tc>
          <w:tcPr>
            <w:tcW w:w="940" w:type="dxa"/>
            <w:vAlign w:val="bottom"/>
            <w:tcBorders>
              <w:bottom w:val="single" w:sz="8" w:color="auto"/>
            </w:tcBorders>
            <w:shd w:val="clear" w:color="auto" w:fill="E6ECFF"/>
          </w:tcPr>
          <w:p>
            <w:pPr>
              <w:spacing w:after="0"/>
              <w:rPr>
                <w:sz w:val="19"/>
                <w:szCs w:val="19"/>
                <w:color w:val="auto"/>
              </w:rPr>
            </w:pPr>
          </w:p>
        </w:tc>
      </w:tr>
      <w:tr>
        <w:trPr>
          <w:trHeight w:val="205"/>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ind w:left="6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560" w:type="dxa"/>
            <w:vAlign w:val="bottom"/>
            <w:gridSpan w:val="3"/>
          </w:tcPr>
          <w:p>
            <w:pPr>
              <w:ind w:left="6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460" w:type="dxa"/>
            <w:vAlign w:val="bottom"/>
            <w:gridSpan w:val="2"/>
          </w:tcPr>
          <w:p>
            <w:pPr>
              <w:ind w:left="60"/>
              <w:spacing w:after="0" w:line="205" w:lineRule="exact"/>
              <w:rPr>
                <w:sz w:val="20"/>
                <w:szCs w:val="20"/>
                <w:color w:val="auto"/>
              </w:rPr>
            </w:pPr>
            <w:r>
              <w:rPr>
                <w:rFonts w:ascii="Calibri" w:cs="Calibri" w:eastAsia="Calibri" w:hAnsi="Calibri"/>
                <w:sz w:val="17"/>
                <w:szCs w:val="17"/>
                <w:b w:val="1"/>
                <w:bCs w:val="1"/>
                <w:color w:val="1C4787"/>
              </w:rPr>
              <w:t>December 31, 2021</w:t>
            </w:r>
          </w:p>
        </w:tc>
      </w:tr>
      <w:tr>
        <w:trPr>
          <w:trHeight w:val="219"/>
        </w:trPr>
        <w:tc>
          <w:tcPr>
            <w:tcW w:w="6640" w:type="dxa"/>
            <w:vAlign w:val="bottom"/>
            <w:tcBorders>
              <w:top w:val="single" w:sz="8" w:color="E6ECFF"/>
            </w:tcBorders>
            <w:gridSpan w:val="2"/>
            <w:shd w:val="clear" w:color="auto" w:fill="E6ECFF"/>
          </w:tcPr>
          <w:p>
            <w:pPr>
              <w:ind w:left="20"/>
              <w:spacing w:after="0" w:line="197" w:lineRule="exact"/>
              <w:rPr>
                <w:sz w:val="20"/>
                <w:szCs w:val="20"/>
                <w:color w:val="auto"/>
              </w:rPr>
            </w:pPr>
            <w:r>
              <w:rPr>
                <w:rFonts w:ascii="Calibri" w:cs="Calibri" w:eastAsia="Calibri" w:hAnsi="Calibri"/>
                <w:sz w:val="17"/>
                <w:szCs w:val="17"/>
                <w:color w:val="auto"/>
              </w:rPr>
              <w:t>ARMOUR management fees</w:t>
            </w:r>
          </w:p>
        </w:tc>
        <w:tc>
          <w:tcPr>
            <w:tcW w:w="520" w:type="dxa"/>
            <w:vAlign w:val="bottom"/>
            <w:tcBorders>
              <w:top w:val="single" w:sz="8" w:color="auto"/>
            </w:tcBorders>
            <w:shd w:val="clear" w:color="auto" w:fill="E6ECFF"/>
          </w:tcPr>
          <w:p>
            <w:pPr>
              <w:jc w:val="right"/>
              <w:ind w:right="33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top w:val="single" w:sz="8" w:color="auto"/>
            </w:tcBorders>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38,121</w:t>
            </w:r>
          </w:p>
        </w:tc>
        <w:tc>
          <w:tcPr>
            <w:tcW w:w="100" w:type="dxa"/>
            <w:vAlign w:val="bottom"/>
            <w:tcBorders>
              <w:top w:val="single" w:sz="8" w:color="E6ECFF"/>
            </w:tcBorders>
            <w:shd w:val="clear" w:color="auto" w:fill="E6ECFF"/>
          </w:tcPr>
          <w:p>
            <w:pPr>
              <w:spacing w:after="0"/>
              <w:rPr>
                <w:sz w:val="19"/>
                <w:szCs w:val="19"/>
                <w:color w:val="auto"/>
              </w:rPr>
            </w:pPr>
          </w:p>
        </w:tc>
        <w:tc>
          <w:tcPr>
            <w:tcW w:w="520" w:type="dxa"/>
            <w:vAlign w:val="bottom"/>
            <w:tcBorders>
              <w:top w:val="single" w:sz="8" w:color="auto"/>
            </w:tcBorders>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top w:val="single" w:sz="8" w:color="auto"/>
            </w:tcBorders>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33,714</w:t>
            </w:r>
          </w:p>
        </w:tc>
        <w:tc>
          <w:tcPr>
            <w:tcW w:w="100" w:type="dxa"/>
            <w:vAlign w:val="bottom"/>
            <w:tcBorders>
              <w:top w:val="single" w:sz="8" w:color="E6ECFF"/>
            </w:tcBorders>
            <w:shd w:val="clear" w:color="auto" w:fill="E6ECFF"/>
          </w:tcPr>
          <w:p>
            <w:pPr>
              <w:spacing w:after="0"/>
              <w:rPr>
                <w:sz w:val="19"/>
                <w:szCs w:val="19"/>
                <w:color w:val="auto"/>
              </w:rPr>
            </w:pPr>
          </w:p>
        </w:tc>
        <w:tc>
          <w:tcPr>
            <w:tcW w:w="520" w:type="dxa"/>
            <w:vAlign w:val="bottom"/>
            <w:tcBorders>
              <w:top w:val="single" w:sz="8" w:color="auto"/>
            </w:tcBorders>
            <w:shd w:val="clear" w:color="auto" w:fill="E6ECFF"/>
          </w:tcPr>
          <w:p>
            <w:pPr>
              <w:jc w:val="right"/>
              <w:ind w:right="33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top w:val="single" w:sz="8" w:color="auto"/>
            </w:tcBorders>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31,063</w:t>
            </w:r>
          </w:p>
        </w:tc>
      </w:tr>
      <w:tr>
        <w:trPr>
          <w:trHeight w:val="212"/>
        </w:trPr>
        <w:tc>
          <w:tcPr>
            <w:tcW w:w="6640" w:type="dxa"/>
            <w:vAlign w:val="bottom"/>
            <w:tcBorders>
              <w:bottom w:val="single" w:sz="8" w:color="E6ECFF"/>
            </w:tcBorders>
            <w:gridSpan w:val="2"/>
          </w:tcPr>
          <w:p>
            <w:pPr>
              <w:ind w:left="20"/>
              <w:spacing w:after="0" w:line="205" w:lineRule="exact"/>
              <w:rPr>
                <w:sz w:val="20"/>
                <w:szCs w:val="20"/>
                <w:color w:val="auto"/>
              </w:rPr>
            </w:pPr>
            <w:r>
              <w:rPr>
                <w:rFonts w:ascii="Calibri" w:cs="Calibri" w:eastAsia="Calibri" w:hAnsi="Calibri"/>
                <w:sz w:val="17"/>
                <w:szCs w:val="17"/>
                <w:color w:val="auto"/>
              </w:rPr>
              <w:t>Less management fees waived</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20"/>
              <w:spacing w:after="0" w:line="205" w:lineRule="exact"/>
              <w:rPr>
                <w:sz w:val="20"/>
                <w:szCs w:val="20"/>
                <w:color w:val="auto"/>
              </w:rPr>
            </w:pPr>
            <w:r>
              <w:rPr>
                <w:rFonts w:ascii="Calibri" w:cs="Calibri" w:eastAsia="Calibri" w:hAnsi="Calibri"/>
                <w:sz w:val="17"/>
                <w:szCs w:val="17"/>
                <w:color w:val="auto"/>
              </w:rPr>
              <w:t>(6,600)</w:t>
            </w:r>
          </w:p>
        </w:tc>
        <w:tc>
          <w:tcPr>
            <w:tcW w:w="100" w:type="dxa"/>
            <w:vAlign w:val="bottom"/>
            <w:tcBorders>
              <w:bottom w:val="single" w:sz="8" w:color="E6EC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20"/>
              <w:spacing w:after="0" w:line="205" w:lineRule="exact"/>
              <w:rPr>
                <w:sz w:val="20"/>
                <w:szCs w:val="20"/>
                <w:color w:val="auto"/>
              </w:rPr>
            </w:pPr>
            <w:r>
              <w:rPr>
                <w:rFonts w:ascii="Calibri" w:cs="Calibri" w:eastAsia="Calibri" w:hAnsi="Calibri"/>
                <w:sz w:val="17"/>
                <w:szCs w:val="17"/>
                <w:color w:val="auto"/>
              </w:rPr>
              <w:t>(7,800)</w:t>
            </w:r>
          </w:p>
        </w:tc>
        <w:tc>
          <w:tcPr>
            <w:tcW w:w="100" w:type="dxa"/>
            <w:vAlign w:val="bottom"/>
            <w:tcBorders>
              <w:bottom w:val="single" w:sz="8" w:color="E6EC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20"/>
              <w:spacing w:after="0" w:line="205" w:lineRule="exact"/>
              <w:rPr>
                <w:sz w:val="20"/>
                <w:szCs w:val="20"/>
                <w:color w:val="auto"/>
              </w:rPr>
            </w:pPr>
            <w:r>
              <w:rPr>
                <w:rFonts w:ascii="Calibri" w:cs="Calibri" w:eastAsia="Calibri" w:hAnsi="Calibri"/>
                <w:sz w:val="17"/>
                <w:szCs w:val="17"/>
                <w:color w:val="auto"/>
              </w:rPr>
              <w:t>(8,600)</w:t>
            </w:r>
          </w:p>
        </w:tc>
      </w:tr>
      <w:tr>
        <w:trPr>
          <w:trHeight w:val="244"/>
        </w:trPr>
        <w:tc>
          <w:tcPr>
            <w:tcW w:w="6640" w:type="dxa"/>
            <w:vAlign w:val="bottom"/>
            <w:tcBorders>
              <w:bottom w:val="single" w:sz="8" w:color="E6ECFF"/>
            </w:tcBorders>
            <w:gridSpan w:val="2"/>
            <w:shd w:val="clear" w:color="auto" w:fill="E6ECFF"/>
          </w:tcPr>
          <w:p>
            <w:pPr>
              <w:ind w:left="20"/>
              <w:spacing w:after="0"/>
              <w:rPr>
                <w:sz w:val="20"/>
                <w:szCs w:val="20"/>
                <w:color w:val="auto"/>
              </w:rPr>
            </w:pPr>
            <w:r>
              <w:rPr>
                <w:rFonts w:ascii="Calibri" w:cs="Calibri" w:eastAsia="Calibri" w:hAnsi="Calibri"/>
                <w:sz w:val="17"/>
                <w:szCs w:val="17"/>
                <w:color w:val="auto"/>
              </w:rPr>
              <w:t>Total management fee expense</w:t>
            </w:r>
          </w:p>
        </w:tc>
        <w:tc>
          <w:tcPr>
            <w:tcW w:w="520" w:type="dxa"/>
            <w:vAlign w:val="bottom"/>
            <w:tcBorders>
              <w:bottom w:val="single" w:sz="8" w:color="auto"/>
            </w:tcBorders>
            <w:shd w:val="clear" w:color="auto" w:fill="E6ECFF"/>
          </w:tcPr>
          <w:p>
            <w:pPr>
              <w:jc w:val="right"/>
              <w:ind w:right="33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31,521</w:t>
            </w:r>
          </w:p>
        </w:tc>
        <w:tc>
          <w:tcPr>
            <w:tcW w:w="100" w:type="dxa"/>
            <w:vAlign w:val="bottom"/>
            <w:tcBorders>
              <w:bottom w:val="single" w:sz="8" w:color="E6ECFF"/>
            </w:tcBorders>
            <w:shd w:val="clear" w:color="auto" w:fill="E6ECFF"/>
          </w:tcPr>
          <w:p>
            <w:pPr>
              <w:spacing w:after="0"/>
              <w:rPr>
                <w:sz w:val="20"/>
                <w:szCs w:val="20"/>
                <w:color w:val="auto"/>
              </w:rPr>
            </w:pPr>
          </w:p>
        </w:tc>
        <w:tc>
          <w:tcPr>
            <w:tcW w:w="520" w:type="dxa"/>
            <w:vAlign w:val="bottom"/>
            <w:tcBorders>
              <w:bottom w:val="single" w:sz="8" w:color="auto"/>
            </w:tcBorders>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bottom w:val="single" w:sz="8" w:color="auto"/>
            </w:tcBorders>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25,914</w:t>
            </w:r>
          </w:p>
        </w:tc>
        <w:tc>
          <w:tcPr>
            <w:tcW w:w="100" w:type="dxa"/>
            <w:vAlign w:val="bottom"/>
            <w:tcBorders>
              <w:bottom w:val="single" w:sz="8" w:color="E6ECFF"/>
            </w:tcBorders>
            <w:shd w:val="clear" w:color="auto" w:fill="E6ECFF"/>
          </w:tcPr>
          <w:p>
            <w:pPr>
              <w:spacing w:after="0"/>
              <w:rPr>
                <w:sz w:val="20"/>
                <w:szCs w:val="20"/>
                <w:color w:val="auto"/>
              </w:rPr>
            </w:pPr>
          </w:p>
        </w:tc>
        <w:tc>
          <w:tcPr>
            <w:tcW w:w="520" w:type="dxa"/>
            <w:vAlign w:val="bottom"/>
            <w:tcBorders>
              <w:bottom w:val="single" w:sz="8" w:color="auto"/>
            </w:tcBorders>
            <w:shd w:val="clear" w:color="auto" w:fill="E6ECFF"/>
          </w:tcPr>
          <w:p>
            <w:pPr>
              <w:jc w:val="right"/>
              <w:ind w:right="33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22,463</w:t>
            </w:r>
          </w:p>
        </w:tc>
      </w:tr>
      <w:tr>
        <w:trPr>
          <w:trHeight w:val="20"/>
        </w:trPr>
        <w:tc>
          <w:tcPr>
            <w:tcW w:w="6540" w:type="dxa"/>
            <w:vAlign w:val="bottom"/>
            <w:tcBorders>
              <w:top w:val="single" w:sz="8" w:color="E6ECFF"/>
            </w:tcBorders>
          </w:tcPr>
          <w:p>
            <w:pPr>
              <w:spacing w:after="0" w:line="20" w:lineRule="exact"/>
              <w:rPr>
                <w:sz w:val="1"/>
                <w:szCs w:val="1"/>
                <w:color w:val="auto"/>
              </w:rPr>
            </w:pPr>
          </w:p>
        </w:tc>
        <w:tc>
          <w:tcPr>
            <w:tcW w:w="100" w:type="dxa"/>
            <w:vAlign w:val="bottom"/>
            <w:tcBorders>
              <w:top w:val="single" w:sz="8" w:color="E6ECFF"/>
            </w:tcBorders>
          </w:tcPr>
          <w:p>
            <w:pPr>
              <w:spacing w:after="0" w:line="20" w:lineRule="exact"/>
              <w:rPr>
                <w:sz w:val="1"/>
                <w:szCs w:val="1"/>
                <w:color w:val="auto"/>
              </w:rPr>
            </w:pPr>
          </w:p>
        </w:tc>
        <w:tc>
          <w:tcPr>
            <w:tcW w:w="520" w:type="dxa"/>
            <w:vAlign w:val="bottom"/>
            <w:tcBorders>
              <w:top w:val="single" w:sz="8" w:color="E6ECFF"/>
              <w:bottom w:val="single" w:sz="8" w:color="auto"/>
            </w:tcBorders>
          </w:tcPr>
          <w:p>
            <w:pPr>
              <w:spacing w:after="0" w:line="20" w:lineRule="exact"/>
              <w:rPr>
                <w:sz w:val="1"/>
                <w:szCs w:val="1"/>
                <w:color w:val="auto"/>
              </w:rPr>
            </w:pPr>
          </w:p>
        </w:tc>
        <w:tc>
          <w:tcPr>
            <w:tcW w:w="940" w:type="dxa"/>
            <w:vAlign w:val="bottom"/>
            <w:tcBorders>
              <w:top w:val="single" w:sz="8" w:color="E6ECFF"/>
              <w:bottom w:val="single" w:sz="8" w:color="auto"/>
            </w:tcBorders>
          </w:tcPr>
          <w:p>
            <w:pPr>
              <w:spacing w:after="0" w:line="20" w:lineRule="exact"/>
              <w:rPr>
                <w:sz w:val="1"/>
                <w:szCs w:val="1"/>
                <w:color w:val="auto"/>
              </w:rPr>
            </w:pPr>
          </w:p>
        </w:tc>
        <w:tc>
          <w:tcPr>
            <w:tcW w:w="100" w:type="dxa"/>
            <w:vAlign w:val="bottom"/>
            <w:tcBorders>
              <w:top w:val="single" w:sz="8" w:color="E6ECFF"/>
            </w:tcBorders>
          </w:tcPr>
          <w:p>
            <w:pPr>
              <w:spacing w:after="0" w:line="20" w:lineRule="exact"/>
              <w:rPr>
                <w:sz w:val="1"/>
                <w:szCs w:val="1"/>
                <w:color w:val="auto"/>
              </w:rPr>
            </w:pPr>
          </w:p>
        </w:tc>
        <w:tc>
          <w:tcPr>
            <w:tcW w:w="520" w:type="dxa"/>
            <w:vAlign w:val="bottom"/>
            <w:tcBorders>
              <w:top w:val="single" w:sz="8" w:color="E6ECFF"/>
              <w:bottom w:val="single" w:sz="8" w:color="auto"/>
            </w:tcBorders>
          </w:tcPr>
          <w:p>
            <w:pPr>
              <w:spacing w:after="0" w:line="20" w:lineRule="exact"/>
              <w:rPr>
                <w:sz w:val="1"/>
                <w:szCs w:val="1"/>
                <w:color w:val="auto"/>
              </w:rPr>
            </w:pPr>
          </w:p>
        </w:tc>
        <w:tc>
          <w:tcPr>
            <w:tcW w:w="940" w:type="dxa"/>
            <w:vAlign w:val="bottom"/>
            <w:tcBorders>
              <w:top w:val="single" w:sz="8" w:color="E6ECFF"/>
              <w:bottom w:val="single" w:sz="8" w:color="auto"/>
            </w:tcBorders>
          </w:tcPr>
          <w:p>
            <w:pPr>
              <w:spacing w:after="0" w:line="20" w:lineRule="exact"/>
              <w:rPr>
                <w:sz w:val="1"/>
                <w:szCs w:val="1"/>
                <w:color w:val="auto"/>
              </w:rPr>
            </w:pPr>
          </w:p>
        </w:tc>
        <w:tc>
          <w:tcPr>
            <w:tcW w:w="100" w:type="dxa"/>
            <w:vAlign w:val="bottom"/>
            <w:tcBorders>
              <w:top w:val="single" w:sz="8" w:color="E6ECFF"/>
            </w:tcBorders>
          </w:tcPr>
          <w:p>
            <w:pPr>
              <w:spacing w:after="0" w:line="20" w:lineRule="exact"/>
              <w:rPr>
                <w:sz w:val="1"/>
                <w:szCs w:val="1"/>
                <w:color w:val="auto"/>
              </w:rPr>
            </w:pPr>
          </w:p>
        </w:tc>
        <w:tc>
          <w:tcPr>
            <w:tcW w:w="520" w:type="dxa"/>
            <w:vAlign w:val="bottom"/>
            <w:tcBorders>
              <w:top w:val="single" w:sz="8" w:color="E6ECFF"/>
              <w:bottom w:val="single" w:sz="8" w:color="auto"/>
            </w:tcBorders>
          </w:tcPr>
          <w:p>
            <w:pPr>
              <w:spacing w:after="0" w:line="20" w:lineRule="exact"/>
              <w:rPr>
                <w:sz w:val="1"/>
                <w:szCs w:val="1"/>
                <w:color w:val="auto"/>
              </w:rPr>
            </w:pPr>
          </w:p>
        </w:tc>
        <w:tc>
          <w:tcPr>
            <w:tcW w:w="940" w:type="dxa"/>
            <w:vAlign w:val="bottom"/>
            <w:tcBorders>
              <w:top w:val="single" w:sz="8" w:color="E6EC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adopted the 2009 Stock Incentve Plan (as amended, the “Plan”) to atract, retain and reward directors and other persons who provide services to us in the course of operatons. The Plan authorizes the Board to grant awards including common stock, restricted shares of common stock (“RSUs”), stock optons, performance shares, performance units, stock appreciaton rights and other equity and cash-based awards (collectvely, “Awards”), subject to terms as provided in the Plan. At December 31, 2023, there were 173 shares available for future issuance under the Plan.</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At December 31, 2023, there was approximately $11,404 of unvested stock based compensaton related to the Awards (based on a weighted grant date price of $38.21 per share), which we expect to recognize as an expense as follows: in 2024 an expense of $3,626, in 2025 an expense of $2,346, and thereafer an expense of $5,432. Our policy is to account for forfeitures as they occur. We also pay each of our non-executve Board members quarterly fees, which are payable in cash, common stock, RSUs or a combinaton of common stock, RSUs and cash at the opton of the director. Compensaton to be paid to our non-executve Board in the form of cash and common equity is $1,351 annually (see Note 9 to the consolidated fnancial statements).</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We currently believe that we have sufcient liquidity and capital resources available for the acquisiton of additonal investments, repayments on repurchase borrowings, reacquisiton of securites to be returned to borrowers and the payment of cash dividends as required for contnued qualifcaton as a REIT.</w:t>
      </w:r>
    </w:p>
    <w:p>
      <w:pPr>
        <w:spacing w:after="0" w:line="18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Repurchase Agreements, net</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Declines in the value of our Agency Securites portolio can trigger margin calls by our lenders under our repurchase agreements. An event of default or terminaton event under the standard MRA would give our counterparty the opton to terminate all repurchase transactons existng with us and require any amount due to be payable immediately.</w:t>
      </w:r>
    </w:p>
    <w:p>
      <w:pPr>
        <w:spacing w:after="0" w:line="169"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Changing capital or other fnancial market regulatory requirements may cause our lenders to exit the repurchase market, increase fnancing rates, tghten lending standards or increase the amount of required equity capital or haircut we post, any of which could make it more difcult or costly for us to obtain fnancing.</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following graph represents the outstanding balances of our repurchase agreements (before the efect of netng reverse repurchase agreements), which fnance most of our MBS. Our repurchase agreements balance will fuctuate based on our change in capital, leverage targets and the market prices of our assets (including the efects of principal paydowns) and the level and tming of investment and reinvestment actvity (see Note 6 and Note 14 to the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1164590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440055</wp:posOffset>
            </wp:positionV>
            <wp:extent cx="458470" cy="5073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66" w:name="page67"/>
    <w:bookmarkEnd w:id="66"/>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334010</wp:posOffset>
            </wp:positionV>
            <wp:extent cx="5075555" cy="29883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75555" cy="298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Efects of Margin Requirements, Leverage and Credit Spreads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MBS have values that fuctuate according to market conditons and, as discussed above, the market value of our MBS will decrease as prevailing interest rates or credit spreads increase. When the value of the securites pledged to secure a repurchase agreement decreases to the point where the positve diference between the collateral value and the loan amount is less than the haircut, our lenders may issue a margin call, which requires us to pay the diference in cash or pledge additonal collateral to meet the obligatons under our repurchase agreements. Under our repurchase facilites, our lenders have full discreton to determine the value of the MBS we pledge to them. Most of our lenders will value securites based on recent trades in the market. Lenders also issue margin calls as the published current principal balance factors change on the pool of mortgages underlying the securites pledged as collateral when scheduled and unscheduled principal repayments are announced monthly.</w:t>
      </w:r>
    </w:p>
    <w:p>
      <w:pPr>
        <w:spacing w:after="0" w:line="18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Forward-Looking Statements Regarding Liquidity</w:t>
      </w:r>
    </w:p>
    <w:p>
      <w:pPr>
        <w:spacing w:after="0" w:line="105" w:lineRule="exact"/>
        <w:rPr>
          <w:sz w:val="20"/>
          <w:szCs w:val="20"/>
          <w:color w:val="auto"/>
        </w:rPr>
      </w:pPr>
    </w:p>
    <w:p>
      <w:pPr>
        <w:jc w:val="both"/>
        <w:ind w:firstLine="619"/>
        <w:spacing w:after="0" w:line="259" w:lineRule="auto"/>
        <w:rPr>
          <w:sz w:val="20"/>
          <w:szCs w:val="20"/>
          <w:color w:val="auto"/>
        </w:rPr>
      </w:pPr>
      <w:r>
        <w:rPr>
          <w:rFonts w:ascii="Calibri" w:cs="Calibri" w:eastAsia="Calibri" w:hAnsi="Calibri"/>
          <w:sz w:val="16"/>
          <w:szCs w:val="16"/>
          <w:color w:val="auto"/>
        </w:rPr>
        <w:t>Based on our current portolio, leverage rate and available borrowing arrangements, we believe that our cash fow from operatons and our ability to make tmely portolio adjustments will be sufcient to enable us to meet antcipated short-term (one year or less) liquidity requirements such as to fund our investment actvites, meet our fnancing obligatons, pay fees under the management agreement and fund our distributons to stockholders and pay general corporate expenses.</w:t>
      </w:r>
    </w:p>
    <w:p>
      <w:pPr>
        <w:spacing w:after="0" w:line="154"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may increase our capital resources by obtaining long-term credit facilites or making public or private oferings of equity or debt securites, including classes of preferred stock, common stock and senior or subordinated notes to meet our liquidity requirements. These requirements include maturing repurchase agreements, setling TBA Agency Security positons and potentally making net payments on our interest rate swap contracts, and in each case, contnuing to meet ongoing margin requirements. Such fnancing will depend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1156335</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67" w:name="page68"/>
    <w:bookmarkEnd w:id="67"/>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66</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alibri" w:cs="Calibri" w:eastAsia="Calibri" w:hAnsi="Calibri"/>
          <w:sz w:val="17"/>
          <w:szCs w:val="17"/>
          <w:color w:val="auto"/>
        </w:rPr>
        <w:t>market conditons for capital raises and for the investment of any proceeds and there can be no assurances that we will successfully obtain any such fnancing.</w:t>
      </w:r>
    </w:p>
    <w:p>
      <w:pPr>
        <w:spacing w:after="0" w:line="17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Stockholders’ Equity</w:t>
      </w:r>
    </w:p>
    <w:p>
      <w:pPr>
        <w:spacing w:after="0" w:line="102" w:lineRule="exact"/>
        <w:rPr>
          <w:sz w:val="20"/>
          <w:szCs w:val="20"/>
          <w:color w:val="auto"/>
        </w:rPr>
      </w:pPr>
    </w:p>
    <w:p>
      <w:pPr>
        <w:ind w:left="780"/>
        <w:spacing w:after="0"/>
        <w:rPr>
          <w:sz w:val="20"/>
          <w:szCs w:val="20"/>
          <w:color w:val="auto"/>
        </w:rPr>
      </w:pPr>
      <w:r>
        <w:rPr>
          <w:rFonts w:ascii="Calibri" w:cs="Calibri" w:eastAsia="Calibri" w:hAnsi="Calibri"/>
          <w:sz w:val="17"/>
          <w:szCs w:val="17"/>
          <w:color w:val="auto"/>
        </w:rPr>
        <w:t>See Note 10 to the consolidated fnancial statements.</w:t>
      </w:r>
    </w:p>
    <w:p>
      <w:pPr>
        <w:spacing w:after="0" w:line="1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Critcal Accountng Estmates</w:t>
      </w:r>
    </w:p>
    <w:p>
      <w:pPr>
        <w:spacing w:after="0" w:line="102"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Valuaton</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Fair value is based on valuatons obtained from third-party pricing services and/or dealer quotes. The third-party pricing services use common market pricing methods that include valuaton models which incorporate such factors as coupons, collateral type, bond structure, historical and projected future prepayment speeds, priority of payments, historical and projected future delinquency rates and default severites, spread to the Treasury curve and interest rate swap curves, duraton, periodic and life caps and credit enhancement. If the fair value of the MBS is not available from the third-party pricing services or such data appears unreliable, we obtain pricing indicatons from up to three dealers who make markets in similar MBS. Management reviews pricing used to ensure that current market conditons are properly refected. This review includes, but is not limited to, comparisons of similar market transactons or alternatve third-party pricing services, dealer pricing indicatons and comparisons to a third-party pricing model.</w:t>
      </w:r>
    </w:p>
    <w:p>
      <w:pPr>
        <w:spacing w:after="0" w:line="171"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Valuaton modeling is required because each individual MBS pool is a separately identfed security with individual combinatons of characteristcs that infuence market pricing. While the Agency Security market is generally very actve and liquid within the context of broader classes of MBS, any partcular security will likely trade infrequently. Our interest rate contracts are bilateral contracts with individual dealers and counterpartes and are not cleared through recognized clearing organizatons. Valuaton models for these positons rely on informaton from the actve and liquid general interest rate swap market to infer the value of these unique positons.</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From tme to tme, we challenge the informaton and valuatons we receive from third-party pricing services. Occasionally, the third-party pricing services revise their informaton or valuatons as a result of such challenges. While we have concluded that the fair values refected in the fnancial statements are appropriate, there is no way to verify that the partcular fair value estmated for any individual positon represents the price at which it may actually be bought or sold at any given date.</w:t>
      </w:r>
    </w:p>
    <w:p>
      <w:pPr>
        <w:spacing w:after="0" w:line="167"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Fair value for our U.S. Treasury Securites is based on obtaining a valuaton for each U.S. Treasury Security from third-party pricing services and/or dealer</w:t>
      </w:r>
    </w:p>
    <w:p>
      <w:pPr>
        <w:spacing w:after="0" w:line="238" w:lineRule="auto"/>
        <w:rPr>
          <w:sz w:val="20"/>
          <w:szCs w:val="20"/>
          <w:color w:val="auto"/>
        </w:rPr>
      </w:pPr>
      <w:r>
        <w:rPr>
          <w:rFonts w:ascii="Calibri" w:cs="Calibri" w:eastAsia="Calibri" w:hAnsi="Calibri"/>
          <w:sz w:val="17"/>
          <w:szCs w:val="17"/>
          <w:color w:val="auto"/>
        </w:rPr>
        <w:t>quotes.</w:t>
      </w:r>
    </w:p>
    <w:p>
      <w:pPr>
        <w:spacing w:after="0" w:line="169" w:lineRule="exact"/>
        <w:rPr>
          <w:sz w:val="20"/>
          <w:szCs w:val="20"/>
          <w:color w:val="auto"/>
        </w:rPr>
      </w:pPr>
    </w:p>
    <w:p>
      <w:pPr>
        <w:jc w:val="both"/>
        <w:ind w:firstLine="619"/>
        <w:spacing w:after="0" w:line="257" w:lineRule="auto"/>
        <w:rPr>
          <w:sz w:val="20"/>
          <w:szCs w:val="20"/>
          <w:color w:val="auto"/>
        </w:rPr>
      </w:pPr>
      <w:r>
        <w:rPr>
          <w:rFonts w:ascii="Calibri" w:cs="Calibri" w:eastAsia="Calibri" w:hAnsi="Calibri"/>
          <w:sz w:val="16"/>
          <w:szCs w:val="16"/>
          <w:color w:val="auto"/>
        </w:rPr>
        <w:t>We update our fair value estmates at the end of each business day to refect current market dynamics. During tmes of high market volatlity, it can be difcult to obtain accurate market informaton tmely, and accordingly, the confdence interval around our valuaton estmates will increase, potentally signifcantly. During 2023, the largest inter-day movement was the overall estmated values of our investment and hedge positons translated to a change in estmated book value of $(0.94) per common share. Similarly, 95% of inter-day movements in estmated value translated to changes in estmated book value per share of $1.30 or less.</w:t>
      </w:r>
    </w:p>
    <w:p>
      <w:pPr>
        <w:spacing w:after="0" w:line="1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Infaton</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Virtually all of our assets and liabilites are interest rate-sensitve in nature. As a result, interest rates and other factors infuence our performance far more than infaton. Changes in interest rates do not necessarily correlate with infaton rates or changes in infaton rates. Our fnancial statements are prepared in accordance with GAAP and any distributons we may make will be determined by our Board based in part on our REIT taxable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68" w:name="page69"/>
    <w:bookmarkEnd w:id="68"/>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ind w:left="11080"/>
        <w:spacing w:after="0"/>
        <w:rPr>
          <w:sz w:val="20"/>
          <w:szCs w:val="20"/>
          <w:color w:val="auto"/>
        </w:rPr>
      </w:pPr>
      <w:r>
        <w:rPr>
          <w:rFonts w:ascii="Calibri" w:cs="Calibri" w:eastAsia="Calibri" w:hAnsi="Calibri"/>
          <w:sz w:val="15"/>
          <w:szCs w:val="15"/>
          <w:color w:val="1C4787"/>
        </w:rPr>
        <w:t>67</w:t>
      </w:r>
    </w:p>
    <w:p>
      <w:pPr>
        <w:spacing w:after="0" w:line="200" w:lineRule="exact"/>
        <w:rPr>
          <w:sz w:val="20"/>
          <w:szCs w:val="20"/>
          <w:color w:val="auto"/>
        </w:rPr>
      </w:pPr>
    </w:p>
    <w:p>
      <w:pPr>
        <w:spacing w:after="0" w:line="323"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income as calculated according to the requirements of the Code; in each case, our actvites and balance sheet are measured with reference to fair value without considering infaton.</w:t>
      </w:r>
    </w:p>
    <w:p>
      <w:pPr>
        <w:spacing w:after="0" w:line="18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Subsequent Events</w:t>
      </w:r>
    </w:p>
    <w:p>
      <w:pPr>
        <w:spacing w:after="0" w:line="102"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See Note 10 to the consolidated fnancial statements.</w:t>
      </w:r>
    </w:p>
    <w:p>
      <w:pPr>
        <w:spacing w:after="0" w:line="166"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1C4787"/>
        </w:rPr>
        <w:t>CAUTIONARY NOTE REGARDING FORWARD-LOOKING STATEMENTS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forward-looking statements in this report are based on our beliefs, assumptons and expectatons of our future performance, taking into account all informaton currently available to us. These beliefs, assumptons and expectatons are subject to risks and uncertaintes and can change as a result of many possible events or factors, not all of which are known to us. If a change occurs, our business, fnancial conditon, liquidity and results of operatons may vary materially from those expressed in our forward-looking statements. See Part I, Item 1A. "Risk Factors" of this Annual Report on Form 10-K. You should carefully consider these risks before you make an investment decision with respect to our stock, along with the following factors that could cause actual results to vary from our forward-looking statements:</w:t>
      </w:r>
    </w:p>
    <w:p>
      <w:pPr>
        <w:spacing w:after="0" w:line="168" w:lineRule="exact"/>
        <w:rPr>
          <w:sz w:val="20"/>
          <w:szCs w:val="20"/>
          <w:color w:val="auto"/>
        </w:rPr>
      </w:pPr>
    </w:p>
    <w:p>
      <w:pPr>
        <w:ind w:left="620" w:hanging="307"/>
        <w:spacing w:after="0"/>
        <w:tabs>
          <w:tab w:leader="none" w:pos="62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the impact of COVID-19 or a new pandemic on our operatons;</w:t>
      </w:r>
    </w:p>
    <w:p>
      <w:pPr>
        <w:spacing w:after="0" w:line="52"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the geopolitcal situaton as a result of the war between Russia and Ukraine, as well as the recent outbreak of hostlites in the Middle East, may contnue to adversely afect the U.S. economy, which may lead the Fed to take actons that may impact our business;</w:t>
      </w:r>
    </w:p>
    <w:p>
      <w:pPr>
        <w:spacing w:after="0" w:line="54"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the impact of the federal conservatorship of Fannie Mae and Freddie Mac and related eforts, along with any changes in laws and regulatons afectng the relatonship between Fannie Mae and Freddie Mac and the federal government and the Fed system;</w:t>
      </w:r>
    </w:p>
    <w:p>
      <w:pPr>
        <w:spacing w:after="0" w:line="51" w:lineRule="exact"/>
        <w:rPr>
          <w:rFonts w:ascii="Calibri" w:cs="Calibri" w:eastAsia="Calibri" w:hAnsi="Calibri"/>
          <w:sz w:val="17"/>
          <w:szCs w:val="17"/>
          <w:color w:val="auto"/>
        </w:rPr>
      </w:pPr>
    </w:p>
    <w:p>
      <w:pPr>
        <w:ind w:left="620" w:hanging="307"/>
        <w:spacing w:after="0"/>
        <w:tabs>
          <w:tab w:leader="none" w:pos="62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the possible material adverse efect on our business if the U.S. Congress passed legislaton reforming or winding down Fannie Mae or Freddie Mac;</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mortgage loan modifcaton programs and future legislatve acton;</w:t>
      </w:r>
    </w:p>
    <w:p>
      <w:pPr>
        <w:spacing w:after="0" w:line="52"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actons by the Fed which could cause a change of the yield curve, which could materially adversely afect our business, fnancial conditon and results of operatons and our ability to pay distributons to our stockholders;</w:t>
      </w:r>
    </w:p>
    <w:p>
      <w:pPr>
        <w:spacing w:after="0" w:line="51" w:lineRule="exact"/>
        <w:rPr>
          <w:rFonts w:ascii="Calibri" w:cs="Calibri" w:eastAsia="Calibri" w:hAnsi="Calibri"/>
          <w:sz w:val="17"/>
          <w:szCs w:val="17"/>
          <w:color w:val="auto"/>
        </w:rPr>
      </w:pPr>
    </w:p>
    <w:p>
      <w:pPr>
        <w:ind w:left="620" w:hanging="307"/>
        <w:spacing w:after="0"/>
        <w:tabs>
          <w:tab w:leader="none" w:pos="62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the impact of a delay or failure of the U.S. Government in reaching an agreement on the natonal debt ceiling;</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availability, terms and deployment of capital;</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extended trade disputes with foreign countries;</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changes in economic conditons generally;</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changes in interest rates, interest rate spreads and the yield curve or prepayment rates;</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general volatlity of the fnancial markets, including markets for mortgage securites;</w:t>
      </w:r>
    </w:p>
    <w:p>
      <w:pPr>
        <w:spacing w:after="0" w:line="52"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a downgrade of the U.S. Government's or certain European countries' credit ratngs and future downgrades of the U.S. Government's or certain European countries' credit ratngs may materially adversely afect our business, fnancial conditon and results of operatons;</w:t>
      </w:r>
    </w:p>
    <w:p>
      <w:pPr>
        <w:spacing w:after="0" w:line="54"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our inability to maintain the level of non-taxable returns of capital through the payment of dividends to our stockholders or to pay dividends to our stockholders at all;</w:t>
      </w:r>
    </w:p>
    <w:p>
      <w:pPr>
        <w:spacing w:after="0" w:line="51" w:lineRule="exact"/>
        <w:rPr>
          <w:rFonts w:ascii="Calibri" w:cs="Calibri" w:eastAsia="Calibri" w:hAnsi="Calibri"/>
          <w:sz w:val="17"/>
          <w:szCs w:val="17"/>
          <w:color w:val="auto"/>
        </w:rPr>
      </w:pPr>
    </w:p>
    <w:p>
      <w:pPr>
        <w:ind w:left="620" w:hanging="307"/>
        <w:spacing w:after="0"/>
        <w:tabs>
          <w:tab w:leader="none" w:pos="62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infaton or defaton;</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the impact of a shutdown of the U.S. Government;</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availability of suitable investment opportunites;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1082040</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358140</wp:posOffset>
            </wp:positionV>
            <wp:extent cx="458470" cy="5073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69" w:name="page70"/>
    <w:bookmarkEnd w:id="69"/>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Management’s Discussion and Analysis of</w:t>
      </w:r>
    </w:p>
    <w:p>
      <w:pPr>
        <w:jc w:val="center"/>
        <w:spacing w:after="0"/>
        <w:rPr>
          <w:sz w:val="20"/>
          <w:szCs w:val="20"/>
          <w:color w:val="auto"/>
        </w:rPr>
      </w:pPr>
      <w:r>
        <w:rPr>
          <w:rFonts w:ascii="Calibri" w:cs="Calibri" w:eastAsia="Calibri" w:hAnsi="Calibri"/>
          <w:sz w:val="19"/>
          <w:szCs w:val="19"/>
          <w:b w:val="1"/>
          <w:bCs w:val="1"/>
          <w:color w:val="1C4787"/>
        </w:rPr>
        <w:t>Financial Conditon and Results of Operatons (contnued)</w:t>
      </w:r>
    </w:p>
    <w:p>
      <w:pPr>
        <w:jc w:val="right"/>
        <w:spacing w:after="0" w:line="233" w:lineRule="auto"/>
        <w:rPr>
          <w:sz w:val="20"/>
          <w:szCs w:val="20"/>
          <w:color w:val="auto"/>
        </w:rPr>
      </w:pPr>
      <w:r>
        <w:rPr>
          <w:rFonts w:ascii="Calibri" w:cs="Calibri" w:eastAsia="Calibri" w:hAnsi="Calibri"/>
          <w:sz w:val="17"/>
          <w:szCs w:val="17"/>
          <w:color w:val="1C4787"/>
        </w:rPr>
        <w:t>68</w:t>
      </w:r>
    </w:p>
    <w:p>
      <w:pPr>
        <w:spacing w:after="0" w:line="200" w:lineRule="exact"/>
        <w:rPr>
          <w:sz w:val="20"/>
          <w:szCs w:val="20"/>
          <w:color w:val="auto"/>
        </w:rPr>
      </w:pPr>
    </w:p>
    <w:p>
      <w:pPr>
        <w:spacing w:after="0" w:line="302" w:lineRule="exact"/>
        <w:rPr>
          <w:sz w:val="20"/>
          <w:szCs w:val="20"/>
          <w:color w:val="auto"/>
        </w:rPr>
      </w:pPr>
    </w:p>
    <w:p>
      <w:pPr>
        <w:ind w:left="620" w:hanging="307"/>
        <w:spacing w:after="0"/>
        <w:tabs>
          <w:tab w:leader="none" w:pos="620"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the degree and nature of our competton, including competton for MBS;</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changes in our business and investment strategy;</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our failure to maintain our qualifcaton as a REIT;</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our failure to maintain an exempton from being regulated as a commodity pool operator;</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our dependence on ACM and ability to fnd a suitable replacement if ACM was to terminate its management relatonship with us;</w:t>
      </w:r>
    </w:p>
    <w:p>
      <w:pPr>
        <w:spacing w:after="0" w:line="52"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the existence of conficts of interest in our relatonship with ACM, BUCKLER, certain of our directors and our ofcers, which could result in decisions that are not in the best interest of our stockholders;</w:t>
      </w:r>
    </w:p>
    <w:p>
      <w:pPr>
        <w:spacing w:after="0" w:line="51" w:lineRule="exact"/>
        <w:rPr>
          <w:rFonts w:ascii="Calibri" w:cs="Calibri" w:eastAsia="Calibri" w:hAnsi="Calibri"/>
          <w:sz w:val="17"/>
          <w:szCs w:val="17"/>
          <w:color w:val="auto"/>
        </w:rPr>
      </w:pPr>
    </w:p>
    <w:p>
      <w:pPr>
        <w:ind w:left="620" w:hanging="307"/>
        <w:spacing w:after="0"/>
        <w:tabs>
          <w:tab w:leader="none" w:pos="620"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the potental for BUCKLER's inability to access atractve repurchase fnancing on our behalf or secure proftable third-party business;</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our management's competng dutes to other afliated enttes, which could result in decisions that are not in the best interest of our stockholders;</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changes in personnel at ACM or the availability of qualifed personnel at ACM;</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limitatons imposed on our business by our status as a REIT under the Code;</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the potental burdens on our business of maintaining our exclusion from the 1940 Act and possible consequences of losing that exclusion;</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changes in GAAP, including interpretatons thereof; and</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changes in applicable laws and regulatons.</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cannot guarantee future results, levels of actvity, performance or achievements. You should not place undue reliance on forward-looking statements, which apply only as of the date of this report. We do not intend and disclaim any duty or obligaton to update or revise any industry informaton or forward-looking statements set forth in this report to refect new informaton, future events or otherwise, except as required under the U.S. federal securites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70" w:name="page71"/>
    <w:bookmarkEnd w:id="70"/>
    <w:p>
      <w:pPr>
        <w:jc w:val="center"/>
        <w:spacing w:after="0"/>
        <w:rPr>
          <w:sz w:val="20"/>
          <w:szCs w:val="20"/>
          <w:color w:val="auto"/>
        </w:rPr>
      </w:pPr>
      <w:r>
        <w:rPr>
          <w:rFonts w:ascii="Calibri" w:cs="Calibri" w:eastAsia="Calibri" w:hAnsi="Calibri"/>
          <w:sz w:val="19"/>
          <w:szCs w:val="19"/>
          <w:b w:val="1"/>
          <w:bCs w:val="1"/>
          <w:color w:val="1C4787"/>
        </w:rPr>
        <w:t>Item 7A. Quanttatve and Qualitatve Disclosures about Market Risk</w:t>
      </w:r>
    </w:p>
    <w:p>
      <w:pPr>
        <w:jc w:val="center"/>
        <w:spacing w:after="0" w:line="226" w:lineRule="auto"/>
        <w:rPr>
          <w:sz w:val="20"/>
          <w:szCs w:val="20"/>
          <w:color w:val="auto"/>
        </w:rPr>
      </w:pPr>
      <w:r>
        <w:rPr>
          <w:rFonts w:ascii="Calibri" w:cs="Calibri" w:eastAsia="Calibri" w:hAnsi="Calibri"/>
          <w:sz w:val="19"/>
          <w:szCs w:val="19"/>
          <w:b w:val="1"/>
          <w:bCs w:val="1"/>
          <w:color w:val="1C4787"/>
        </w:rPr>
        <w:t>ARMOUR Residental REIT, Inc.</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auto"/>
        </w:rPr>
        <w:t>69</w:t>
      </w:r>
    </w:p>
    <w:p>
      <w:pPr>
        <w:spacing w:after="0" w:line="200" w:lineRule="exact"/>
        <w:rPr>
          <w:sz w:val="20"/>
          <w:szCs w:val="20"/>
          <w:color w:val="auto"/>
        </w:rPr>
      </w:pPr>
    </w:p>
    <w:p>
      <w:pPr>
        <w:spacing w:after="0" w:line="35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seek to create stockholder value through thoughtul investment and risk management of a leveraged and diversifed portolio of MBS. While we do not seek to avoid risk completely, we believe the risk can be quantfed from historical experience and seek to actvely manage that risk, to earn sufcient compensaton to justfy taking those risks and to maintain capital levels consistent with the risks we undertake.</w:t>
      </w:r>
    </w:p>
    <w:p>
      <w:pPr>
        <w:spacing w:after="0" w:line="17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Interest Rate Risk</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primary market risk is interest rate risk. Interest rates are highly sensitve to many factors, including governmental monetary and tax policies, domestc and internatonal economic and politcal consideratons and other factors beyond our control. Changes in the general level of interest rates can afect net interest income, which is the diference between the interest income earned on our assets and the interest expense incurred in connecton with our liabilites, by afectng the spread between the interest-earning assets and interest-bearing liabilites. Changes in the level of interest rates also can afect the value of MBS and our ability to realize gains from the sale of these assets. A decline in the value of the MBS pledged as collateral for borrowings under repurchase agreements could result in the counterpartes demanding additonal collateral pledges or liquidaton of some of the existng collateral to reduce borrowing levels.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borrowings are not subject to similar restrictons and are generally repurchase agreements of limited duraton that track the Federal Funds Rate and SOFR and are periodically refnanced at current market rates. Therefore, on average, our cost of funds may rise or fall more quickly than our earnings rate on our assets. Hence, in a period of increasing interest rates, interest rates on our borrowings could increase without limitaton, while the changes in the interest rates on our mortgage related assets could be limited. These factors could lower our net interest income or cause a net loss during periods of rising interest rates, which would negatvely impact our liquidity, net income and our ability to make distributons to stockholders.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antcipate that in most cases the interest rates, interest rate indices and repricing terms of our mortgage assets and our funding sources will not be identcal, thereby creatng an interest rate mismatch between assets and liabilites. These indices generally move in the same directon, but there can be no assurance that this will contnue to occur. Furthermore, our net income may vary somewhat as the spread between one-month interest rates, the typical term for our repurchase agreements, and the interest rates on our mortgage assets varies. During periods of changing interest rates, such interest rate mismatches could negatvely impact our net interest income, dividend yield and the market price of our stock.</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Another component of interest rate risk is the efect changes in interest rates will have on the market value of our MBS. We face the risk that the market value of our MBS will increase or decrease at diferent rates than that of our liabilites, including our derivatve instruments and obligatons to return securites received as collateral.</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primarily assess our interest rate risk by estmatng the efectve duraton of our assets and the efectve duraton of our liabilites and by estmatng the tme diference between the interest rate adjustment of our assets and the interest rate adjustment of our liabilites. Efectve duraton essentally measures the market price volatlity of fnancial instruments as interest rates change. We generally estmate efectve duraton using various fnancial models and empirical data. Diferent models and methodologies can produce diferent efectve duraton estmates for the same securites.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sensitvity analysis tables presented below refect the estmated impact of an instantaneous parallel shif in the yield curve, up and down 50 and 100 basis points, on the market value of our interest rate-sensitve investments and net interest income, at December 31, 2023 and December 31, 2022. It assumes that the mortgage spread on our MBS remains constant. Actual interest rate movements over tme will likely be diferent, and such diferences may be material. When evaluatng the impact of changes in interest rates, prepayment assumptons and principal reinvestment rates are adjusted based on ACM’s expectatons. Interest rates for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1164590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440690</wp:posOffset>
            </wp:positionV>
            <wp:extent cx="458470" cy="5073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71" w:name="page72"/>
    <w:bookmarkEnd w:id="71"/>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line="226" w:lineRule="auto"/>
        <w:rPr>
          <w:sz w:val="20"/>
          <w:szCs w:val="20"/>
          <w:color w:val="auto"/>
        </w:rPr>
      </w:pPr>
      <w:r>
        <w:rPr>
          <w:rFonts w:ascii="Calibri" w:cs="Calibri" w:eastAsia="Calibri" w:hAnsi="Calibri"/>
          <w:sz w:val="19"/>
          <w:szCs w:val="19"/>
          <w:b w:val="1"/>
          <w:bCs w:val="1"/>
          <w:color w:val="1C4787"/>
        </w:rPr>
        <w:t>Market Risk Disclosures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auto"/>
        </w:rPr>
        <w:t>70</w:t>
      </w:r>
    </w:p>
    <w:p>
      <w:pPr>
        <w:spacing w:after="0" w:line="200" w:lineRule="exact"/>
        <w:rPr>
          <w:sz w:val="20"/>
          <w:szCs w:val="20"/>
          <w:color w:val="auto"/>
        </w:rPr>
      </w:pPr>
    </w:p>
    <w:p>
      <w:pPr>
        <w:spacing w:after="0" w:line="356"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and repurchase agreements are assumed to remain positve. The analysis presented utlized assumptons, models and estmates of ACM based on ACM's judgment and experience.</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2660" w:type="dxa"/>
            <w:vAlign w:val="bottom"/>
            <w:shd w:val="clear" w:color="auto" w:fill="E6ECFF"/>
          </w:tcPr>
          <w:p>
            <w:pPr>
              <w:spacing w:after="0"/>
              <w:rPr>
                <w:sz w:val="19"/>
                <w:szCs w:val="19"/>
                <w:color w:val="auto"/>
              </w:rPr>
            </w:pPr>
          </w:p>
        </w:tc>
        <w:tc>
          <w:tcPr>
            <w:tcW w:w="120" w:type="dxa"/>
            <w:vAlign w:val="bottom"/>
            <w:shd w:val="clear" w:color="auto" w:fill="E6ECFF"/>
          </w:tcPr>
          <w:p>
            <w:pPr>
              <w:spacing w:after="0"/>
              <w:rPr>
                <w:sz w:val="19"/>
                <w:szCs w:val="19"/>
                <w:color w:val="auto"/>
              </w:rPr>
            </w:pPr>
          </w:p>
        </w:tc>
        <w:tc>
          <w:tcPr>
            <w:tcW w:w="2740" w:type="dxa"/>
            <w:vAlign w:val="bottom"/>
            <w:tcBorders>
              <w:bottom w:val="single" w:sz="8" w:color="auto"/>
            </w:tcBorders>
            <w:shd w:val="clear" w:color="auto" w:fill="E6ECFF"/>
          </w:tcPr>
          <w:p>
            <w:pPr>
              <w:spacing w:after="0"/>
              <w:rPr>
                <w:sz w:val="19"/>
                <w:szCs w:val="19"/>
                <w:color w:val="auto"/>
              </w:rPr>
            </w:pPr>
          </w:p>
        </w:tc>
        <w:tc>
          <w:tcPr>
            <w:tcW w:w="100" w:type="dxa"/>
            <w:vAlign w:val="bottom"/>
            <w:tcBorders>
              <w:bottom w:val="single" w:sz="8" w:color="auto"/>
            </w:tcBorders>
            <w:shd w:val="clear" w:color="auto" w:fill="E6ECFF"/>
          </w:tcPr>
          <w:p>
            <w:pPr>
              <w:spacing w:after="0"/>
              <w:rPr>
                <w:sz w:val="19"/>
                <w:szCs w:val="19"/>
                <w:color w:val="auto"/>
              </w:rPr>
            </w:pPr>
          </w:p>
        </w:tc>
        <w:tc>
          <w:tcPr>
            <w:tcW w:w="2880" w:type="dxa"/>
            <w:vAlign w:val="bottom"/>
            <w:tcBorders>
              <w:bottom w:val="single" w:sz="8" w:color="auto"/>
            </w:tcBorders>
            <w:gridSpan w:val="2"/>
            <w:shd w:val="clear" w:color="auto" w:fill="E6ECFF"/>
          </w:tcPr>
          <w:p>
            <w:pPr>
              <w:jc w:val="center"/>
              <w:ind w:right="140"/>
              <w:spacing w:after="0"/>
              <w:rPr>
                <w:sz w:val="20"/>
                <w:szCs w:val="20"/>
                <w:color w:val="auto"/>
              </w:rPr>
            </w:pPr>
            <w:r>
              <w:rPr>
                <w:rFonts w:ascii="Calibri" w:cs="Calibri" w:eastAsia="Calibri" w:hAnsi="Calibri"/>
                <w:sz w:val="17"/>
                <w:szCs w:val="17"/>
                <w:b w:val="1"/>
                <w:bCs w:val="1"/>
                <w:color w:val="1C4787"/>
                <w:w w:val="97"/>
              </w:rPr>
              <w:t>Percentage Change in Projected</w:t>
            </w:r>
          </w:p>
        </w:tc>
        <w:tc>
          <w:tcPr>
            <w:tcW w:w="2720" w:type="dxa"/>
            <w:vAlign w:val="bottom"/>
            <w:tcBorders>
              <w:bottom w:val="single" w:sz="8" w:color="auto"/>
            </w:tcBorders>
            <w:shd w:val="clear" w:color="auto" w:fill="E6ECFF"/>
          </w:tcPr>
          <w:p>
            <w:pPr>
              <w:spacing w:after="0"/>
              <w:rPr>
                <w:sz w:val="19"/>
                <w:szCs w:val="19"/>
                <w:color w:val="auto"/>
              </w:rPr>
            </w:pPr>
          </w:p>
        </w:tc>
      </w:tr>
      <w:tr>
        <w:trPr>
          <w:trHeight w:val="205"/>
        </w:trPr>
        <w:tc>
          <w:tcPr>
            <w:tcW w:w="2660" w:type="dxa"/>
            <w:vAlign w:val="bottom"/>
          </w:tcPr>
          <w:p>
            <w:pPr>
              <w:jc w:val="right"/>
              <w:ind w:right="414"/>
              <w:spacing w:after="0" w:line="190" w:lineRule="exact"/>
              <w:rPr>
                <w:sz w:val="20"/>
                <w:szCs w:val="20"/>
                <w:color w:val="auto"/>
              </w:rPr>
            </w:pPr>
            <w:r>
              <w:rPr>
                <w:rFonts w:ascii="Calibri" w:cs="Calibri" w:eastAsia="Calibri" w:hAnsi="Calibri"/>
                <w:sz w:val="17"/>
                <w:szCs w:val="17"/>
                <w:b w:val="1"/>
                <w:bCs w:val="1"/>
                <w:color w:val="1C4787"/>
              </w:rPr>
              <w:t>Change in Interest Rates</w:t>
            </w:r>
          </w:p>
        </w:tc>
        <w:tc>
          <w:tcPr>
            <w:tcW w:w="120" w:type="dxa"/>
            <w:vAlign w:val="bottom"/>
          </w:tcPr>
          <w:p>
            <w:pPr>
              <w:spacing w:after="0"/>
              <w:rPr>
                <w:sz w:val="17"/>
                <w:szCs w:val="17"/>
                <w:color w:val="auto"/>
              </w:rPr>
            </w:pPr>
          </w:p>
        </w:tc>
        <w:tc>
          <w:tcPr>
            <w:tcW w:w="2840" w:type="dxa"/>
            <w:vAlign w:val="bottom"/>
            <w:gridSpan w:val="2"/>
          </w:tcPr>
          <w:p>
            <w:pPr>
              <w:ind w:left="660"/>
              <w:spacing w:after="0" w:line="205" w:lineRule="exact"/>
              <w:rPr>
                <w:sz w:val="20"/>
                <w:szCs w:val="20"/>
                <w:color w:val="auto"/>
              </w:rPr>
            </w:pPr>
            <w:r>
              <w:rPr>
                <w:rFonts w:ascii="Calibri" w:cs="Calibri" w:eastAsia="Calibri" w:hAnsi="Calibri"/>
                <w:sz w:val="17"/>
                <w:szCs w:val="17"/>
                <w:b w:val="1"/>
                <w:bCs w:val="1"/>
                <w:color w:val="1C4787"/>
              </w:rPr>
              <w:t>Net Interest Income</w:t>
            </w:r>
          </w:p>
        </w:tc>
        <w:tc>
          <w:tcPr>
            <w:tcW w:w="2880" w:type="dxa"/>
            <w:vAlign w:val="bottom"/>
            <w:gridSpan w:val="2"/>
          </w:tcPr>
          <w:p>
            <w:pPr>
              <w:jc w:val="center"/>
              <w:ind w:right="160"/>
              <w:spacing w:after="0" w:line="205" w:lineRule="exact"/>
              <w:rPr>
                <w:sz w:val="20"/>
                <w:szCs w:val="20"/>
                <w:color w:val="auto"/>
              </w:rPr>
            </w:pPr>
            <w:r>
              <w:rPr>
                <w:rFonts w:ascii="Calibri" w:cs="Calibri" w:eastAsia="Calibri" w:hAnsi="Calibri"/>
                <w:sz w:val="17"/>
                <w:szCs w:val="17"/>
                <w:b w:val="1"/>
                <w:bCs w:val="1"/>
                <w:color w:val="1C4787"/>
              </w:rPr>
              <w:t>Portolio Including Derivatves</w:t>
            </w:r>
          </w:p>
        </w:tc>
        <w:tc>
          <w:tcPr>
            <w:tcW w:w="2720" w:type="dxa"/>
            <w:vAlign w:val="bottom"/>
          </w:tcPr>
          <w:p>
            <w:pPr>
              <w:ind w:left="640"/>
              <w:spacing w:after="0" w:line="205" w:lineRule="exact"/>
              <w:rPr>
                <w:sz w:val="20"/>
                <w:szCs w:val="20"/>
                <w:color w:val="auto"/>
              </w:rPr>
            </w:pPr>
            <w:r>
              <w:rPr>
                <w:rFonts w:ascii="Calibri" w:cs="Calibri" w:eastAsia="Calibri" w:hAnsi="Calibri"/>
                <w:sz w:val="17"/>
                <w:szCs w:val="17"/>
                <w:b w:val="1"/>
                <w:bCs w:val="1"/>
                <w:color w:val="1C4787"/>
              </w:rPr>
              <w:t>Stockholder's Equity</w:t>
            </w:r>
          </w:p>
        </w:tc>
      </w:tr>
      <w:tr>
        <w:trPr>
          <w:trHeight w:val="219"/>
        </w:trPr>
        <w:tc>
          <w:tcPr>
            <w:tcW w:w="2660" w:type="dxa"/>
            <w:vAlign w:val="bottom"/>
            <w:tcBorders>
              <w:top w:val="single" w:sz="8" w:color="auto"/>
              <w:bottom w:val="single" w:sz="8" w:color="auto"/>
            </w:tcBorders>
            <w:shd w:val="clear" w:color="auto" w:fill="E6ECFF"/>
          </w:tcPr>
          <w:p>
            <w:pPr>
              <w:jc w:val="right"/>
              <w:ind w:right="1214"/>
              <w:spacing w:after="0" w:line="205" w:lineRule="exact"/>
              <w:rPr>
                <w:sz w:val="20"/>
                <w:szCs w:val="20"/>
                <w:color w:val="auto"/>
              </w:rPr>
            </w:pPr>
            <w:r>
              <w:rPr>
                <w:rFonts w:ascii="Calibri" w:cs="Calibri" w:eastAsia="Calibri" w:hAnsi="Calibri"/>
                <w:sz w:val="17"/>
                <w:szCs w:val="17"/>
                <w:b w:val="1"/>
                <w:bCs w:val="1"/>
                <w:color w:val="1C4787"/>
                <w:w w:val="98"/>
              </w:rPr>
              <w:t>December 31, 2023</w:t>
            </w:r>
          </w:p>
        </w:tc>
        <w:tc>
          <w:tcPr>
            <w:tcW w:w="120" w:type="dxa"/>
            <w:vAlign w:val="bottom"/>
            <w:tcBorders>
              <w:top w:val="single" w:sz="8" w:color="E6ECFF"/>
            </w:tcBorders>
            <w:shd w:val="clear" w:color="auto" w:fill="E6ECFF"/>
          </w:tcPr>
          <w:p>
            <w:pPr>
              <w:spacing w:after="0"/>
              <w:rPr>
                <w:sz w:val="19"/>
                <w:szCs w:val="19"/>
                <w:color w:val="auto"/>
              </w:rPr>
            </w:pPr>
          </w:p>
        </w:tc>
        <w:tc>
          <w:tcPr>
            <w:tcW w:w="2740" w:type="dxa"/>
            <w:vAlign w:val="bottom"/>
            <w:tcBorders>
              <w:top w:val="single" w:sz="8" w:color="auto"/>
            </w:tcBorders>
            <w:shd w:val="clear" w:color="auto" w:fill="E6ECFF"/>
          </w:tcPr>
          <w:p>
            <w:pPr>
              <w:spacing w:after="0"/>
              <w:rPr>
                <w:sz w:val="19"/>
                <w:szCs w:val="19"/>
                <w:color w:val="auto"/>
              </w:rPr>
            </w:pPr>
          </w:p>
        </w:tc>
        <w:tc>
          <w:tcPr>
            <w:tcW w:w="100" w:type="dxa"/>
            <w:vAlign w:val="bottom"/>
            <w:tcBorders>
              <w:top w:val="single" w:sz="8" w:color="E6ECFF"/>
            </w:tcBorders>
            <w:shd w:val="clear" w:color="auto" w:fill="E6ECFF"/>
          </w:tcPr>
          <w:p>
            <w:pPr>
              <w:spacing w:after="0"/>
              <w:rPr>
                <w:sz w:val="19"/>
                <w:szCs w:val="19"/>
                <w:color w:val="auto"/>
              </w:rPr>
            </w:pPr>
          </w:p>
        </w:tc>
        <w:tc>
          <w:tcPr>
            <w:tcW w:w="2760" w:type="dxa"/>
            <w:vAlign w:val="bottom"/>
            <w:tcBorders>
              <w:top w:val="single" w:sz="8" w:color="auto"/>
            </w:tcBorders>
            <w:shd w:val="clear" w:color="auto" w:fill="E6ECFF"/>
          </w:tcPr>
          <w:p>
            <w:pPr>
              <w:spacing w:after="0"/>
              <w:rPr>
                <w:sz w:val="19"/>
                <w:szCs w:val="19"/>
                <w:color w:val="auto"/>
              </w:rPr>
            </w:pPr>
          </w:p>
        </w:tc>
        <w:tc>
          <w:tcPr>
            <w:tcW w:w="120" w:type="dxa"/>
            <w:vAlign w:val="bottom"/>
            <w:tcBorders>
              <w:top w:val="single" w:sz="8" w:color="E6ECFF"/>
            </w:tcBorders>
            <w:shd w:val="clear" w:color="auto" w:fill="E6ECFF"/>
          </w:tcPr>
          <w:p>
            <w:pPr>
              <w:spacing w:after="0"/>
              <w:rPr>
                <w:sz w:val="19"/>
                <w:szCs w:val="19"/>
                <w:color w:val="auto"/>
              </w:rPr>
            </w:pPr>
          </w:p>
        </w:tc>
        <w:tc>
          <w:tcPr>
            <w:tcW w:w="2720" w:type="dxa"/>
            <w:vAlign w:val="bottom"/>
            <w:tcBorders>
              <w:top w:val="single" w:sz="8" w:color="auto"/>
            </w:tcBorders>
            <w:shd w:val="clear" w:color="auto" w:fill="E6ECFF"/>
          </w:tcPr>
          <w:p>
            <w:pPr>
              <w:spacing w:after="0"/>
              <w:rPr>
                <w:sz w:val="19"/>
                <w:szCs w:val="19"/>
                <w:color w:val="auto"/>
              </w:rPr>
            </w:pPr>
          </w:p>
        </w:tc>
      </w:tr>
      <w:tr>
        <w:trPr>
          <w:trHeight w:val="205"/>
        </w:trPr>
        <w:tc>
          <w:tcPr>
            <w:tcW w:w="2660" w:type="dxa"/>
            <w:vAlign w:val="bottom"/>
          </w:tcPr>
          <w:p>
            <w:pPr>
              <w:jc w:val="right"/>
              <w:ind w:right="1034"/>
              <w:spacing w:after="0" w:line="205" w:lineRule="exact"/>
              <w:rPr>
                <w:sz w:val="20"/>
                <w:szCs w:val="20"/>
                <w:color w:val="auto"/>
              </w:rPr>
            </w:pPr>
            <w:r>
              <w:rPr>
                <w:rFonts w:ascii="Calibri" w:cs="Calibri" w:eastAsia="Calibri" w:hAnsi="Calibri"/>
                <w:sz w:val="17"/>
                <w:szCs w:val="17"/>
                <w:color w:val="auto"/>
              </w:rPr>
              <w:t>1.00%</w:t>
            </w:r>
          </w:p>
        </w:tc>
        <w:tc>
          <w:tcPr>
            <w:tcW w:w="2860" w:type="dxa"/>
            <w:vAlign w:val="bottom"/>
            <w:gridSpan w:val="2"/>
          </w:tcPr>
          <w:p>
            <w:pPr>
              <w:jc w:val="right"/>
              <w:ind w:right="1034"/>
              <w:spacing w:after="0" w:line="190" w:lineRule="exact"/>
              <w:rPr>
                <w:sz w:val="20"/>
                <w:szCs w:val="20"/>
                <w:color w:val="auto"/>
              </w:rPr>
            </w:pPr>
            <w:r>
              <w:rPr>
                <w:rFonts w:ascii="Calibri" w:cs="Calibri" w:eastAsia="Calibri" w:hAnsi="Calibri"/>
                <w:sz w:val="17"/>
                <w:szCs w:val="17"/>
                <w:color w:val="auto"/>
              </w:rPr>
              <w:t>(5.93)%</w:t>
            </w:r>
          </w:p>
        </w:tc>
        <w:tc>
          <w:tcPr>
            <w:tcW w:w="100" w:type="dxa"/>
            <w:vAlign w:val="bottom"/>
          </w:tcPr>
          <w:p>
            <w:pPr>
              <w:spacing w:after="0"/>
              <w:rPr>
                <w:sz w:val="17"/>
                <w:szCs w:val="17"/>
                <w:color w:val="auto"/>
              </w:rPr>
            </w:pPr>
          </w:p>
        </w:tc>
        <w:tc>
          <w:tcPr>
            <w:tcW w:w="2760" w:type="dxa"/>
            <w:vAlign w:val="bottom"/>
          </w:tcPr>
          <w:p>
            <w:pPr>
              <w:jc w:val="right"/>
              <w:ind w:right="1034"/>
              <w:spacing w:after="0" w:line="190" w:lineRule="exact"/>
              <w:rPr>
                <w:sz w:val="20"/>
                <w:szCs w:val="20"/>
                <w:color w:val="auto"/>
              </w:rPr>
            </w:pPr>
            <w:r>
              <w:rPr>
                <w:rFonts w:ascii="Calibri" w:cs="Calibri" w:eastAsia="Calibri" w:hAnsi="Calibri"/>
                <w:sz w:val="17"/>
                <w:szCs w:val="17"/>
                <w:color w:val="auto"/>
              </w:rPr>
              <w:t>(1.24)%</w:t>
            </w:r>
          </w:p>
        </w:tc>
        <w:tc>
          <w:tcPr>
            <w:tcW w:w="120" w:type="dxa"/>
            <w:vAlign w:val="bottom"/>
          </w:tcPr>
          <w:p>
            <w:pPr>
              <w:spacing w:after="0"/>
              <w:rPr>
                <w:sz w:val="17"/>
                <w:szCs w:val="17"/>
                <w:color w:val="auto"/>
              </w:rPr>
            </w:pPr>
          </w:p>
        </w:tc>
        <w:tc>
          <w:tcPr>
            <w:tcW w:w="2720" w:type="dxa"/>
            <w:vAlign w:val="bottom"/>
          </w:tcPr>
          <w:p>
            <w:pPr>
              <w:jc w:val="center"/>
              <w:spacing w:after="0" w:line="190" w:lineRule="exact"/>
              <w:rPr>
                <w:sz w:val="20"/>
                <w:szCs w:val="20"/>
                <w:color w:val="auto"/>
              </w:rPr>
            </w:pPr>
            <w:r>
              <w:rPr>
                <w:rFonts w:ascii="Calibri" w:cs="Calibri" w:eastAsia="Calibri" w:hAnsi="Calibri"/>
                <w:sz w:val="17"/>
                <w:szCs w:val="17"/>
                <w:color w:val="auto"/>
              </w:rPr>
              <w:t>(11.57)%</w:t>
            </w:r>
          </w:p>
        </w:tc>
      </w:tr>
      <w:tr>
        <w:trPr>
          <w:trHeight w:val="226"/>
        </w:trPr>
        <w:tc>
          <w:tcPr>
            <w:tcW w:w="2660" w:type="dxa"/>
            <w:vAlign w:val="bottom"/>
            <w:shd w:val="clear" w:color="auto" w:fill="E6ECFF"/>
          </w:tcPr>
          <w:p>
            <w:pPr>
              <w:jc w:val="right"/>
              <w:ind w:right="1034"/>
              <w:spacing w:after="0"/>
              <w:rPr>
                <w:sz w:val="20"/>
                <w:szCs w:val="20"/>
                <w:color w:val="auto"/>
              </w:rPr>
            </w:pPr>
            <w:r>
              <w:rPr>
                <w:rFonts w:ascii="Calibri" w:cs="Calibri" w:eastAsia="Calibri" w:hAnsi="Calibri"/>
                <w:sz w:val="17"/>
                <w:szCs w:val="17"/>
                <w:color w:val="auto"/>
              </w:rPr>
              <w:t>0.50%</w:t>
            </w:r>
          </w:p>
        </w:tc>
        <w:tc>
          <w:tcPr>
            <w:tcW w:w="2860" w:type="dxa"/>
            <w:vAlign w:val="bottom"/>
            <w:gridSpan w:val="2"/>
            <w:shd w:val="clear" w:color="auto" w:fill="E6ECFF"/>
          </w:tcPr>
          <w:p>
            <w:pPr>
              <w:jc w:val="right"/>
              <w:ind w:right="1034"/>
              <w:spacing w:after="0"/>
              <w:rPr>
                <w:sz w:val="20"/>
                <w:szCs w:val="20"/>
                <w:color w:val="auto"/>
              </w:rPr>
            </w:pPr>
            <w:r>
              <w:rPr>
                <w:rFonts w:ascii="Calibri" w:cs="Calibri" w:eastAsia="Calibri" w:hAnsi="Calibri"/>
                <w:sz w:val="17"/>
                <w:szCs w:val="17"/>
                <w:color w:val="auto"/>
              </w:rPr>
              <w:t>(2.96)%</w:t>
            </w:r>
          </w:p>
        </w:tc>
        <w:tc>
          <w:tcPr>
            <w:tcW w:w="100" w:type="dxa"/>
            <w:vAlign w:val="bottom"/>
            <w:shd w:val="clear" w:color="auto" w:fill="E6ECFF"/>
          </w:tcPr>
          <w:p>
            <w:pPr>
              <w:spacing w:after="0"/>
              <w:rPr>
                <w:sz w:val="19"/>
                <w:szCs w:val="19"/>
                <w:color w:val="auto"/>
              </w:rPr>
            </w:pPr>
          </w:p>
        </w:tc>
        <w:tc>
          <w:tcPr>
            <w:tcW w:w="2760" w:type="dxa"/>
            <w:vAlign w:val="bottom"/>
            <w:shd w:val="clear" w:color="auto" w:fill="E6ECFF"/>
          </w:tcPr>
          <w:p>
            <w:pPr>
              <w:jc w:val="right"/>
              <w:ind w:right="1034"/>
              <w:spacing w:after="0"/>
              <w:rPr>
                <w:sz w:val="20"/>
                <w:szCs w:val="20"/>
                <w:color w:val="auto"/>
              </w:rPr>
            </w:pPr>
            <w:r>
              <w:rPr>
                <w:rFonts w:ascii="Calibri" w:cs="Calibri" w:eastAsia="Calibri" w:hAnsi="Calibri"/>
                <w:sz w:val="17"/>
                <w:szCs w:val="17"/>
                <w:color w:val="auto"/>
              </w:rPr>
              <w:t>(0.50)%</w:t>
            </w:r>
          </w:p>
        </w:tc>
        <w:tc>
          <w:tcPr>
            <w:tcW w:w="120" w:type="dxa"/>
            <w:vAlign w:val="bottom"/>
            <w:shd w:val="clear" w:color="auto" w:fill="E6ECFF"/>
          </w:tcPr>
          <w:p>
            <w:pPr>
              <w:spacing w:after="0"/>
              <w:rPr>
                <w:sz w:val="19"/>
                <w:szCs w:val="19"/>
                <w:color w:val="auto"/>
              </w:rPr>
            </w:pPr>
          </w:p>
        </w:tc>
        <w:tc>
          <w:tcPr>
            <w:tcW w:w="2720" w:type="dxa"/>
            <w:vAlign w:val="bottom"/>
            <w:shd w:val="clear" w:color="auto" w:fill="E6ECFF"/>
          </w:tcPr>
          <w:p>
            <w:pPr>
              <w:jc w:val="center"/>
              <w:spacing w:after="0"/>
              <w:rPr>
                <w:sz w:val="20"/>
                <w:szCs w:val="20"/>
                <w:color w:val="auto"/>
              </w:rPr>
            </w:pPr>
            <w:r>
              <w:rPr>
                <w:rFonts w:ascii="Calibri" w:cs="Calibri" w:eastAsia="Calibri" w:hAnsi="Calibri"/>
                <w:sz w:val="17"/>
                <w:szCs w:val="17"/>
                <w:color w:val="auto"/>
                <w:w w:val="98"/>
              </w:rPr>
              <w:t>(4.64)%</w:t>
            </w:r>
          </w:p>
        </w:tc>
      </w:tr>
      <w:tr>
        <w:trPr>
          <w:trHeight w:val="212"/>
        </w:trPr>
        <w:tc>
          <w:tcPr>
            <w:tcW w:w="2660" w:type="dxa"/>
            <w:vAlign w:val="bottom"/>
          </w:tcPr>
          <w:p>
            <w:pPr>
              <w:jc w:val="right"/>
              <w:ind w:right="974"/>
              <w:spacing w:after="0" w:line="205" w:lineRule="exact"/>
              <w:rPr>
                <w:sz w:val="20"/>
                <w:szCs w:val="20"/>
                <w:color w:val="auto"/>
              </w:rPr>
            </w:pPr>
            <w:r>
              <w:rPr>
                <w:rFonts w:ascii="Calibri" w:cs="Calibri" w:eastAsia="Calibri" w:hAnsi="Calibri"/>
                <w:sz w:val="17"/>
                <w:szCs w:val="17"/>
                <w:color w:val="auto"/>
              </w:rPr>
              <w:t>(0.50)%</w:t>
            </w:r>
          </w:p>
        </w:tc>
        <w:tc>
          <w:tcPr>
            <w:tcW w:w="2860" w:type="dxa"/>
            <w:vAlign w:val="bottom"/>
            <w:gridSpan w:val="2"/>
          </w:tcPr>
          <w:p>
            <w:pPr>
              <w:jc w:val="right"/>
              <w:ind w:right="1074"/>
              <w:spacing w:after="0" w:line="205" w:lineRule="exact"/>
              <w:rPr>
                <w:sz w:val="20"/>
                <w:szCs w:val="20"/>
                <w:color w:val="auto"/>
              </w:rPr>
            </w:pPr>
            <w:r>
              <w:rPr>
                <w:rFonts w:ascii="Calibri" w:cs="Calibri" w:eastAsia="Calibri" w:hAnsi="Calibri"/>
                <w:sz w:val="17"/>
                <w:szCs w:val="17"/>
                <w:color w:val="auto"/>
              </w:rPr>
              <w:t>2.95%</w:t>
            </w:r>
          </w:p>
        </w:tc>
        <w:tc>
          <w:tcPr>
            <w:tcW w:w="100" w:type="dxa"/>
            <w:vAlign w:val="bottom"/>
          </w:tcPr>
          <w:p>
            <w:pPr>
              <w:spacing w:after="0"/>
              <w:rPr>
                <w:sz w:val="18"/>
                <w:szCs w:val="18"/>
                <w:color w:val="auto"/>
              </w:rPr>
            </w:pPr>
          </w:p>
        </w:tc>
        <w:tc>
          <w:tcPr>
            <w:tcW w:w="2760" w:type="dxa"/>
            <w:vAlign w:val="bottom"/>
          </w:tcPr>
          <w:p>
            <w:pPr>
              <w:jc w:val="right"/>
              <w:ind w:right="1094"/>
              <w:spacing w:after="0" w:line="205" w:lineRule="exact"/>
              <w:rPr>
                <w:sz w:val="20"/>
                <w:szCs w:val="20"/>
                <w:color w:val="auto"/>
              </w:rPr>
            </w:pPr>
            <w:r>
              <w:rPr>
                <w:rFonts w:ascii="Calibri" w:cs="Calibri" w:eastAsia="Calibri" w:hAnsi="Calibri"/>
                <w:sz w:val="17"/>
                <w:szCs w:val="17"/>
                <w:color w:val="auto"/>
              </w:rPr>
              <w:t>0.20%</w:t>
            </w:r>
          </w:p>
        </w:tc>
        <w:tc>
          <w:tcPr>
            <w:tcW w:w="120" w:type="dxa"/>
            <w:vAlign w:val="bottom"/>
          </w:tcPr>
          <w:p>
            <w:pPr>
              <w:spacing w:after="0"/>
              <w:rPr>
                <w:sz w:val="18"/>
                <w:szCs w:val="18"/>
                <w:color w:val="auto"/>
              </w:rPr>
            </w:pPr>
          </w:p>
        </w:tc>
        <w:tc>
          <w:tcPr>
            <w:tcW w:w="2720" w:type="dxa"/>
            <w:vAlign w:val="bottom"/>
          </w:tcPr>
          <w:p>
            <w:pPr>
              <w:jc w:val="center"/>
              <w:spacing w:after="0" w:line="205" w:lineRule="exact"/>
              <w:rPr>
                <w:sz w:val="20"/>
                <w:szCs w:val="20"/>
                <w:color w:val="auto"/>
              </w:rPr>
            </w:pPr>
            <w:r>
              <w:rPr>
                <w:rFonts w:ascii="Calibri" w:cs="Calibri" w:eastAsia="Calibri" w:hAnsi="Calibri"/>
                <w:sz w:val="17"/>
                <w:szCs w:val="17"/>
                <w:color w:val="auto"/>
                <w:w w:val="99"/>
              </w:rPr>
              <w:t>1.83%</w:t>
            </w:r>
          </w:p>
        </w:tc>
      </w:tr>
      <w:tr>
        <w:trPr>
          <w:trHeight w:val="226"/>
        </w:trPr>
        <w:tc>
          <w:tcPr>
            <w:tcW w:w="2660" w:type="dxa"/>
            <w:vAlign w:val="bottom"/>
            <w:shd w:val="clear" w:color="auto" w:fill="E6ECFF"/>
          </w:tcPr>
          <w:p>
            <w:pPr>
              <w:jc w:val="right"/>
              <w:ind w:right="974"/>
              <w:spacing w:after="0"/>
              <w:rPr>
                <w:sz w:val="20"/>
                <w:szCs w:val="20"/>
                <w:color w:val="auto"/>
              </w:rPr>
            </w:pPr>
            <w:r>
              <w:rPr>
                <w:rFonts w:ascii="Calibri" w:cs="Calibri" w:eastAsia="Calibri" w:hAnsi="Calibri"/>
                <w:sz w:val="17"/>
                <w:szCs w:val="17"/>
                <w:color w:val="auto"/>
              </w:rPr>
              <w:t>(1.00)%</w:t>
            </w:r>
          </w:p>
        </w:tc>
        <w:tc>
          <w:tcPr>
            <w:tcW w:w="2860" w:type="dxa"/>
            <w:vAlign w:val="bottom"/>
            <w:gridSpan w:val="2"/>
            <w:shd w:val="clear" w:color="auto" w:fill="E6ECFF"/>
          </w:tcPr>
          <w:p>
            <w:pPr>
              <w:jc w:val="right"/>
              <w:ind w:right="1074"/>
              <w:spacing w:after="0"/>
              <w:rPr>
                <w:sz w:val="20"/>
                <w:szCs w:val="20"/>
                <w:color w:val="auto"/>
              </w:rPr>
            </w:pPr>
            <w:r>
              <w:rPr>
                <w:rFonts w:ascii="Calibri" w:cs="Calibri" w:eastAsia="Calibri" w:hAnsi="Calibri"/>
                <w:sz w:val="17"/>
                <w:szCs w:val="17"/>
                <w:color w:val="auto"/>
              </w:rPr>
              <w:t>5.89%</w:t>
            </w:r>
          </w:p>
        </w:tc>
        <w:tc>
          <w:tcPr>
            <w:tcW w:w="100" w:type="dxa"/>
            <w:vAlign w:val="bottom"/>
            <w:shd w:val="clear" w:color="auto" w:fill="E6ECFF"/>
          </w:tcPr>
          <w:p>
            <w:pPr>
              <w:spacing w:after="0"/>
              <w:rPr>
                <w:sz w:val="19"/>
                <w:szCs w:val="19"/>
                <w:color w:val="auto"/>
              </w:rPr>
            </w:pPr>
          </w:p>
        </w:tc>
        <w:tc>
          <w:tcPr>
            <w:tcW w:w="2760" w:type="dxa"/>
            <w:vAlign w:val="bottom"/>
            <w:shd w:val="clear" w:color="auto" w:fill="E6ECFF"/>
          </w:tcPr>
          <w:p>
            <w:pPr>
              <w:jc w:val="right"/>
              <w:ind w:right="1094"/>
              <w:spacing w:after="0"/>
              <w:rPr>
                <w:sz w:val="20"/>
                <w:szCs w:val="20"/>
                <w:color w:val="auto"/>
              </w:rPr>
            </w:pPr>
            <w:r>
              <w:rPr>
                <w:rFonts w:ascii="Calibri" w:cs="Calibri" w:eastAsia="Calibri" w:hAnsi="Calibri"/>
                <w:sz w:val="17"/>
                <w:szCs w:val="17"/>
                <w:color w:val="auto"/>
              </w:rPr>
              <w:t>0.07%</w:t>
            </w:r>
          </w:p>
        </w:tc>
        <w:tc>
          <w:tcPr>
            <w:tcW w:w="120" w:type="dxa"/>
            <w:vAlign w:val="bottom"/>
            <w:shd w:val="clear" w:color="auto" w:fill="E6ECFF"/>
          </w:tcPr>
          <w:p>
            <w:pPr>
              <w:spacing w:after="0"/>
              <w:rPr>
                <w:sz w:val="19"/>
                <w:szCs w:val="19"/>
                <w:color w:val="auto"/>
              </w:rPr>
            </w:pPr>
          </w:p>
        </w:tc>
        <w:tc>
          <w:tcPr>
            <w:tcW w:w="2720" w:type="dxa"/>
            <w:vAlign w:val="bottom"/>
            <w:shd w:val="clear" w:color="auto" w:fill="E6ECFF"/>
          </w:tcPr>
          <w:p>
            <w:pPr>
              <w:jc w:val="center"/>
              <w:spacing w:after="0"/>
              <w:rPr>
                <w:sz w:val="20"/>
                <w:szCs w:val="20"/>
                <w:color w:val="auto"/>
              </w:rPr>
            </w:pPr>
            <w:r>
              <w:rPr>
                <w:rFonts w:ascii="Calibri" w:cs="Calibri" w:eastAsia="Calibri" w:hAnsi="Calibri"/>
                <w:sz w:val="17"/>
                <w:szCs w:val="17"/>
                <w:color w:val="auto"/>
                <w:w w:val="99"/>
              </w:rPr>
              <w:t>0.61%</w:t>
            </w:r>
          </w:p>
        </w:tc>
      </w:tr>
      <w:tr>
        <w:trPr>
          <w:trHeight w:val="103"/>
        </w:trPr>
        <w:tc>
          <w:tcPr>
            <w:tcW w:w="2660" w:type="dxa"/>
            <w:vAlign w:val="bottom"/>
            <w:tcBorders>
              <w:bottom w:val="single" w:sz="8" w:color="auto"/>
            </w:tcBorders>
          </w:tcPr>
          <w:p>
            <w:pPr>
              <w:spacing w:after="0"/>
              <w:rPr>
                <w:sz w:val="8"/>
                <w:szCs w:val="8"/>
                <w:color w:val="auto"/>
              </w:rPr>
            </w:pPr>
          </w:p>
        </w:tc>
        <w:tc>
          <w:tcPr>
            <w:tcW w:w="120" w:type="dxa"/>
            <w:vAlign w:val="bottom"/>
            <w:tcBorders>
              <w:bottom w:val="single" w:sz="8" w:color="E6ECFF"/>
            </w:tcBorders>
          </w:tcPr>
          <w:p>
            <w:pPr>
              <w:spacing w:after="0"/>
              <w:rPr>
                <w:sz w:val="8"/>
                <w:szCs w:val="8"/>
                <w:color w:val="auto"/>
              </w:rPr>
            </w:pPr>
          </w:p>
        </w:tc>
        <w:tc>
          <w:tcPr>
            <w:tcW w:w="2740" w:type="dxa"/>
            <w:vAlign w:val="bottom"/>
            <w:tcBorders>
              <w:bottom w:val="single" w:sz="8" w:color="E6ECFF"/>
            </w:tcBorders>
          </w:tcPr>
          <w:p>
            <w:pPr>
              <w:spacing w:after="0"/>
              <w:rPr>
                <w:sz w:val="8"/>
                <w:szCs w:val="8"/>
                <w:color w:val="auto"/>
              </w:rPr>
            </w:pPr>
          </w:p>
        </w:tc>
        <w:tc>
          <w:tcPr>
            <w:tcW w:w="100" w:type="dxa"/>
            <w:vAlign w:val="bottom"/>
            <w:tcBorders>
              <w:bottom w:val="single" w:sz="8" w:color="E6ECFF"/>
            </w:tcBorders>
          </w:tcPr>
          <w:p>
            <w:pPr>
              <w:spacing w:after="0"/>
              <w:rPr>
                <w:sz w:val="8"/>
                <w:szCs w:val="8"/>
                <w:color w:val="auto"/>
              </w:rPr>
            </w:pPr>
          </w:p>
        </w:tc>
        <w:tc>
          <w:tcPr>
            <w:tcW w:w="2760" w:type="dxa"/>
            <w:vAlign w:val="bottom"/>
            <w:tcBorders>
              <w:bottom w:val="single" w:sz="8" w:color="E6ECFF"/>
            </w:tcBorders>
          </w:tcPr>
          <w:p>
            <w:pPr>
              <w:spacing w:after="0"/>
              <w:rPr>
                <w:sz w:val="8"/>
                <w:szCs w:val="8"/>
                <w:color w:val="auto"/>
              </w:rPr>
            </w:pPr>
          </w:p>
        </w:tc>
        <w:tc>
          <w:tcPr>
            <w:tcW w:w="120" w:type="dxa"/>
            <w:vAlign w:val="bottom"/>
            <w:tcBorders>
              <w:bottom w:val="single" w:sz="8" w:color="E6ECFF"/>
            </w:tcBorders>
          </w:tcPr>
          <w:p>
            <w:pPr>
              <w:spacing w:after="0"/>
              <w:rPr>
                <w:sz w:val="8"/>
                <w:szCs w:val="8"/>
                <w:color w:val="auto"/>
              </w:rPr>
            </w:pPr>
          </w:p>
        </w:tc>
        <w:tc>
          <w:tcPr>
            <w:tcW w:w="2720" w:type="dxa"/>
            <w:vAlign w:val="bottom"/>
            <w:tcBorders>
              <w:bottom w:val="single" w:sz="8" w:color="E6ECFF"/>
            </w:tcBorders>
          </w:tcPr>
          <w:p>
            <w:pPr>
              <w:spacing w:after="0"/>
              <w:rPr>
                <w:sz w:val="8"/>
                <w:szCs w:val="8"/>
                <w:color w:val="auto"/>
              </w:rPr>
            </w:pPr>
          </w:p>
        </w:tc>
      </w:tr>
      <w:tr>
        <w:trPr>
          <w:trHeight w:val="212"/>
        </w:trPr>
        <w:tc>
          <w:tcPr>
            <w:tcW w:w="2660" w:type="dxa"/>
            <w:vAlign w:val="bottom"/>
            <w:tcBorders>
              <w:bottom w:val="single" w:sz="8" w:color="auto"/>
            </w:tcBorders>
            <w:shd w:val="clear" w:color="auto" w:fill="E6ECFF"/>
          </w:tcPr>
          <w:p>
            <w:pPr>
              <w:jc w:val="right"/>
              <w:ind w:right="1214"/>
              <w:spacing w:after="0" w:line="205" w:lineRule="exact"/>
              <w:rPr>
                <w:sz w:val="20"/>
                <w:szCs w:val="20"/>
                <w:color w:val="auto"/>
              </w:rPr>
            </w:pPr>
            <w:r>
              <w:rPr>
                <w:rFonts w:ascii="Calibri" w:cs="Calibri" w:eastAsia="Calibri" w:hAnsi="Calibri"/>
                <w:sz w:val="17"/>
                <w:szCs w:val="17"/>
                <w:b w:val="1"/>
                <w:bCs w:val="1"/>
                <w:color w:val="1C4787"/>
                <w:w w:val="98"/>
              </w:rPr>
              <w:t>December 31, 2022</w:t>
            </w:r>
          </w:p>
        </w:tc>
        <w:tc>
          <w:tcPr>
            <w:tcW w:w="120" w:type="dxa"/>
            <w:vAlign w:val="bottom"/>
            <w:shd w:val="clear" w:color="auto" w:fill="E6ECFF"/>
          </w:tcPr>
          <w:p>
            <w:pPr>
              <w:spacing w:after="0"/>
              <w:rPr>
                <w:sz w:val="18"/>
                <w:szCs w:val="18"/>
                <w:color w:val="auto"/>
              </w:rPr>
            </w:pPr>
          </w:p>
        </w:tc>
        <w:tc>
          <w:tcPr>
            <w:tcW w:w="2740" w:type="dxa"/>
            <w:vAlign w:val="bottom"/>
            <w:shd w:val="clear" w:color="auto" w:fill="E6ECFF"/>
          </w:tcPr>
          <w:p>
            <w:pPr>
              <w:spacing w:after="0"/>
              <w:rPr>
                <w:sz w:val="18"/>
                <w:szCs w:val="18"/>
                <w:color w:val="auto"/>
              </w:rPr>
            </w:pPr>
          </w:p>
        </w:tc>
        <w:tc>
          <w:tcPr>
            <w:tcW w:w="100" w:type="dxa"/>
            <w:vAlign w:val="bottom"/>
            <w:shd w:val="clear" w:color="auto" w:fill="E6ECFF"/>
          </w:tcPr>
          <w:p>
            <w:pPr>
              <w:spacing w:after="0"/>
              <w:rPr>
                <w:sz w:val="18"/>
                <w:szCs w:val="18"/>
                <w:color w:val="auto"/>
              </w:rPr>
            </w:pPr>
          </w:p>
        </w:tc>
        <w:tc>
          <w:tcPr>
            <w:tcW w:w="2760" w:type="dxa"/>
            <w:vAlign w:val="bottom"/>
            <w:shd w:val="clear" w:color="auto" w:fill="E6ECFF"/>
          </w:tcPr>
          <w:p>
            <w:pPr>
              <w:spacing w:after="0"/>
              <w:rPr>
                <w:sz w:val="18"/>
                <w:szCs w:val="18"/>
                <w:color w:val="auto"/>
              </w:rPr>
            </w:pPr>
          </w:p>
        </w:tc>
        <w:tc>
          <w:tcPr>
            <w:tcW w:w="120" w:type="dxa"/>
            <w:vAlign w:val="bottom"/>
            <w:shd w:val="clear" w:color="auto" w:fill="E6ECFF"/>
          </w:tcPr>
          <w:p>
            <w:pPr>
              <w:spacing w:after="0"/>
              <w:rPr>
                <w:sz w:val="18"/>
                <w:szCs w:val="18"/>
                <w:color w:val="auto"/>
              </w:rPr>
            </w:pPr>
          </w:p>
        </w:tc>
        <w:tc>
          <w:tcPr>
            <w:tcW w:w="2720" w:type="dxa"/>
            <w:vAlign w:val="bottom"/>
            <w:shd w:val="clear" w:color="auto" w:fill="E6ECFF"/>
          </w:tcPr>
          <w:p>
            <w:pPr>
              <w:spacing w:after="0"/>
              <w:rPr>
                <w:sz w:val="18"/>
                <w:szCs w:val="18"/>
                <w:color w:val="auto"/>
              </w:rPr>
            </w:pPr>
          </w:p>
        </w:tc>
      </w:tr>
      <w:tr>
        <w:trPr>
          <w:trHeight w:val="205"/>
        </w:trPr>
        <w:tc>
          <w:tcPr>
            <w:tcW w:w="2660" w:type="dxa"/>
            <w:vAlign w:val="bottom"/>
          </w:tcPr>
          <w:p>
            <w:pPr>
              <w:jc w:val="right"/>
              <w:ind w:right="1034"/>
              <w:spacing w:after="0" w:line="205" w:lineRule="exact"/>
              <w:rPr>
                <w:sz w:val="20"/>
                <w:szCs w:val="20"/>
                <w:color w:val="auto"/>
              </w:rPr>
            </w:pPr>
            <w:r>
              <w:rPr>
                <w:rFonts w:ascii="Calibri" w:cs="Calibri" w:eastAsia="Calibri" w:hAnsi="Calibri"/>
                <w:sz w:val="17"/>
                <w:szCs w:val="17"/>
                <w:color w:val="auto"/>
              </w:rPr>
              <w:t>1.00%</w:t>
            </w:r>
          </w:p>
        </w:tc>
        <w:tc>
          <w:tcPr>
            <w:tcW w:w="2860" w:type="dxa"/>
            <w:vAlign w:val="bottom"/>
            <w:gridSpan w:val="2"/>
          </w:tcPr>
          <w:p>
            <w:pPr>
              <w:jc w:val="right"/>
              <w:ind w:right="1074"/>
              <w:spacing w:after="0" w:line="190" w:lineRule="exact"/>
              <w:rPr>
                <w:sz w:val="20"/>
                <w:szCs w:val="20"/>
                <w:color w:val="auto"/>
              </w:rPr>
            </w:pPr>
            <w:r>
              <w:rPr>
                <w:rFonts w:ascii="Calibri" w:cs="Calibri" w:eastAsia="Calibri" w:hAnsi="Calibri"/>
                <w:sz w:val="17"/>
                <w:szCs w:val="17"/>
                <w:color w:val="auto"/>
              </w:rPr>
              <w:t>2.81%</w:t>
            </w:r>
          </w:p>
        </w:tc>
        <w:tc>
          <w:tcPr>
            <w:tcW w:w="100" w:type="dxa"/>
            <w:vAlign w:val="bottom"/>
          </w:tcPr>
          <w:p>
            <w:pPr>
              <w:spacing w:after="0"/>
              <w:rPr>
                <w:sz w:val="17"/>
                <w:szCs w:val="17"/>
                <w:color w:val="auto"/>
              </w:rPr>
            </w:pPr>
          </w:p>
        </w:tc>
        <w:tc>
          <w:tcPr>
            <w:tcW w:w="2760" w:type="dxa"/>
            <w:vAlign w:val="bottom"/>
          </w:tcPr>
          <w:p>
            <w:pPr>
              <w:jc w:val="right"/>
              <w:ind w:right="1034"/>
              <w:spacing w:after="0" w:line="190" w:lineRule="exact"/>
              <w:rPr>
                <w:sz w:val="20"/>
                <w:szCs w:val="20"/>
                <w:color w:val="auto"/>
              </w:rPr>
            </w:pPr>
            <w:r>
              <w:rPr>
                <w:rFonts w:ascii="Calibri" w:cs="Calibri" w:eastAsia="Calibri" w:hAnsi="Calibri"/>
                <w:sz w:val="17"/>
                <w:szCs w:val="17"/>
                <w:color w:val="auto"/>
              </w:rPr>
              <w:t>(1.60)%</w:t>
            </w:r>
          </w:p>
        </w:tc>
        <w:tc>
          <w:tcPr>
            <w:tcW w:w="120" w:type="dxa"/>
            <w:vAlign w:val="bottom"/>
          </w:tcPr>
          <w:p>
            <w:pPr>
              <w:spacing w:after="0"/>
              <w:rPr>
                <w:sz w:val="17"/>
                <w:szCs w:val="17"/>
                <w:color w:val="auto"/>
              </w:rPr>
            </w:pPr>
          </w:p>
        </w:tc>
        <w:tc>
          <w:tcPr>
            <w:tcW w:w="2720" w:type="dxa"/>
            <w:vAlign w:val="bottom"/>
          </w:tcPr>
          <w:p>
            <w:pPr>
              <w:jc w:val="center"/>
              <w:spacing w:after="0" w:line="190" w:lineRule="exact"/>
              <w:rPr>
                <w:sz w:val="20"/>
                <w:szCs w:val="20"/>
                <w:color w:val="auto"/>
              </w:rPr>
            </w:pPr>
            <w:r>
              <w:rPr>
                <w:rFonts w:ascii="Calibri" w:cs="Calibri" w:eastAsia="Calibri" w:hAnsi="Calibri"/>
                <w:sz w:val="17"/>
                <w:szCs w:val="17"/>
                <w:color w:val="auto"/>
              </w:rPr>
              <w:t>(13.54)%</w:t>
            </w:r>
          </w:p>
        </w:tc>
      </w:tr>
      <w:tr>
        <w:trPr>
          <w:trHeight w:val="226"/>
        </w:trPr>
        <w:tc>
          <w:tcPr>
            <w:tcW w:w="2660" w:type="dxa"/>
            <w:vAlign w:val="bottom"/>
            <w:shd w:val="clear" w:color="auto" w:fill="E6ECFF"/>
          </w:tcPr>
          <w:p>
            <w:pPr>
              <w:jc w:val="right"/>
              <w:ind w:right="1034"/>
              <w:spacing w:after="0"/>
              <w:rPr>
                <w:sz w:val="20"/>
                <w:szCs w:val="20"/>
                <w:color w:val="auto"/>
              </w:rPr>
            </w:pPr>
            <w:r>
              <w:rPr>
                <w:rFonts w:ascii="Calibri" w:cs="Calibri" w:eastAsia="Calibri" w:hAnsi="Calibri"/>
                <w:sz w:val="17"/>
                <w:szCs w:val="17"/>
                <w:color w:val="auto"/>
              </w:rPr>
              <w:t>0.50%</w:t>
            </w:r>
          </w:p>
        </w:tc>
        <w:tc>
          <w:tcPr>
            <w:tcW w:w="2860" w:type="dxa"/>
            <w:vAlign w:val="bottom"/>
            <w:gridSpan w:val="2"/>
            <w:shd w:val="clear" w:color="auto" w:fill="E6ECFF"/>
          </w:tcPr>
          <w:p>
            <w:pPr>
              <w:jc w:val="right"/>
              <w:ind w:right="1074"/>
              <w:spacing w:after="0"/>
              <w:rPr>
                <w:sz w:val="20"/>
                <w:szCs w:val="20"/>
                <w:color w:val="auto"/>
              </w:rPr>
            </w:pPr>
            <w:r>
              <w:rPr>
                <w:rFonts w:ascii="Calibri" w:cs="Calibri" w:eastAsia="Calibri" w:hAnsi="Calibri"/>
                <w:sz w:val="17"/>
                <w:szCs w:val="17"/>
                <w:color w:val="auto"/>
              </w:rPr>
              <w:t>1.41%</w:t>
            </w:r>
          </w:p>
        </w:tc>
        <w:tc>
          <w:tcPr>
            <w:tcW w:w="100" w:type="dxa"/>
            <w:vAlign w:val="bottom"/>
            <w:shd w:val="clear" w:color="auto" w:fill="E6ECFF"/>
          </w:tcPr>
          <w:p>
            <w:pPr>
              <w:spacing w:after="0"/>
              <w:rPr>
                <w:sz w:val="19"/>
                <w:szCs w:val="19"/>
                <w:color w:val="auto"/>
              </w:rPr>
            </w:pPr>
          </w:p>
        </w:tc>
        <w:tc>
          <w:tcPr>
            <w:tcW w:w="2760" w:type="dxa"/>
            <w:vAlign w:val="bottom"/>
            <w:shd w:val="clear" w:color="auto" w:fill="E6ECFF"/>
          </w:tcPr>
          <w:p>
            <w:pPr>
              <w:jc w:val="right"/>
              <w:ind w:right="1034"/>
              <w:spacing w:after="0"/>
              <w:rPr>
                <w:sz w:val="20"/>
                <w:szCs w:val="20"/>
                <w:color w:val="auto"/>
              </w:rPr>
            </w:pPr>
            <w:r>
              <w:rPr>
                <w:rFonts w:ascii="Calibri" w:cs="Calibri" w:eastAsia="Calibri" w:hAnsi="Calibri"/>
                <w:sz w:val="17"/>
                <w:szCs w:val="17"/>
                <w:color w:val="auto"/>
              </w:rPr>
              <w:t>(0.76)%</w:t>
            </w:r>
          </w:p>
        </w:tc>
        <w:tc>
          <w:tcPr>
            <w:tcW w:w="120" w:type="dxa"/>
            <w:vAlign w:val="bottom"/>
            <w:shd w:val="clear" w:color="auto" w:fill="E6ECFF"/>
          </w:tcPr>
          <w:p>
            <w:pPr>
              <w:spacing w:after="0"/>
              <w:rPr>
                <w:sz w:val="19"/>
                <w:szCs w:val="19"/>
                <w:color w:val="auto"/>
              </w:rPr>
            </w:pPr>
          </w:p>
        </w:tc>
        <w:tc>
          <w:tcPr>
            <w:tcW w:w="2720" w:type="dxa"/>
            <w:vAlign w:val="bottom"/>
            <w:shd w:val="clear" w:color="auto" w:fill="E6ECFF"/>
          </w:tcPr>
          <w:p>
            <w:pPr>
              <w:jc w:val="center"/>
              <w:spacing w:after="0"/>
              <w:rPr>
                <w:sz w:val="20"/>
                <w:szCs w:val="20"/>
                <w:color w:val="auto"/>
              </w:rPr>
            </w:pPr>
            <w:r>
              <w:rPr>
                <w:rFonts w:ascii="Calibri" w:cs="Calibri" w:eastAsia="Calibri" w:hAnsi="Calibri"/>
                <w:sz w:val="17"/>
                <w:szCs w:val="17"/>
                <w:color w:val="auto"/>
                <w:w w:val="98"/>
              </w:rPr>
              <w:t>(6.39)%</w:t>
            </w:r>
          </w:p>
        </w:tc>
      </w:tr>
      <w:tr>
        <w:trPr>
          <w:trHeight w:val="212"/>
        </w:trPr>
        <w:tc>
          <w:tcPr>
            <w:tcW w:w="2660" w:type="dxa"/>
            <w:vAlign w:val="bottom"/>
          </w:tcPr>
          <w:p>
            <w:pPr>
              <w:jc w:val="right"/>
              <w:ind w:right="974"/>
              <w:spacing w:after="0" w:line="205" w:lineRule="exact"/>
              <w:rPr>
                <w:sz w:val="20"/>
                <w:szCs w:val="20"/>
                <w:color w:val="auto"/>
              </w:rPr>
            </w:pPr>
            <w:r>
              <w:rPr>
                <w:rFonts w:ascii="Calibri" w:cs="Calibri" w:eastAsia="Calibri" w:hAnsi="Calibri"/>
                <w:sz w:val="17"/>
                <w:szCs w:val="17"/>
                <w:color w:val="auto"/>
              </w:rPr>
              <w:t>(0.50)%</w:t>
            </w:r>
          </w:p>
        </w:tc>
        <w:tc>
          <w:tcPr>
            <w:tcW w:w="2860" w:type="dxa"/>
            <w:vAlign w:val="bottom"/>
            <w:gridSpan w:val="2"/>
          </w:tcPr>
          <w:p>
            <w:pPr>
              <w:jc w:val="right"/>
              <w:ind w:right="1034"/>
              <w:spacing w:after="0" w:line="205" w:lineRule="exact"/>
              <w:rPr>
                <w:sz w:val="20"/>
                <w:szCs w:val="20"/>
                <w:color w:val="auto"/>
              </w:rPr>
            </w:pPr>
            <w:r>
              <w:rPr>
                <w:rFonts w:ascii="Calibri" w:cs="Calibri" w:eastAsia="Calibri" w:hAnsi="Calibri"/>
                <w:sz w:val="17"/>
                <w:szCs w:val="17"/>
                <w:color w:val="auto"/>
              </w:rPr>
              <w:t>(1.42)%</w:t>
            </w:r>
          </w:p>
        </w:tc>
        <w:tc>
          <w:tcPr>
            <w:tcW w:w="100" w:type="dxa"/>
            <w:vAlign w:val="bottom"/>
          </w:tcPr>
          <w:p>
            <w:pPr>
              <w:spacing w:after="0"/>
              <w:rPr>
                <w:sz w:val="18"/>
                <w:szCs w:val="18"/>
                <w:color w:val="auto"/>
              </w:rPr>
            </w:pPr>
          </w:p>
        </w:tc>
        <w:tc>
          <w:tcPr>
            <w:tcW w:w="2760" w:type="dxa"/>
            <w:vAlign w:val="bottom"/>
          </w:tcPr>
          <w:p>
            <w:pPr>
              <w:jc w:val="right"/>
              <w:ind w:right="1094"/>
              <w:spacing w:after="0" w:line="205" w:lineRule="exact"/>
              <w:rPr>
                <w:sz w:val="20"/>
                <w:szCs w:val="20"/>
                <w:color w:val="auto"/>
              </w:rPr>
            </w:pPr>
            <w:r>
              <w:rPr>
                <w:rFonts w:ascii="Calibri" w:cs="Calibri" w:eastAsia="Calibri" w:hAnsi="Calibri"/>
                <w:sz w:val="17"/>
                <w:szCs w:val="17"/>
                <w:color w:val="auto"/>
              </w:rPr>
              <w:t>0.60%</w:t>
            </w:r>
          </w:p>
        </w:tc>
        <w:tc>
          <w:tcPr>
            <w:tcW w:w="120" w:type="dxa"/>
            <w:vAlign w:val="bottom"/>
          </w:tcPr>
          <w:p>
            <w:pPr>
              <w:spacing w:after="0"/>
              <w:rPr>
                <w:sz w:val="18"/>
                <w:szCs w:val="18"/>
                <w:color w:val="auto"/>
              </w:rPr>
            </w:pPr>
          </w:p>
        </w:tc>
        <w:tc>
          <w:tcPr>
            <w:tcW w:w="2720" w:type="dxa"/>
            <w:vAlign w:val="bottom"/>
          </w:tcPr>
          <w:p>
            <w:pPr>
              <w:jc w:val="center"/>
              <w:spacing w:after="0" w:line="205" w:lineRule="exact"/>
              <w:rPr>
                <w:sz w:val="20"/>
                <w:szCs w:val="20"/>
                <w:color w:val="auto"/>
              </w:rPr>
            </w:pPr>
            <w:r>
              <w:rPr>
                <w:rFonts w:ascii="Calibri" w:cs="Calibri" w:eastAsia="Calibri" w:hAnsi="Calibri"/>
                <w:sz w:val="17"/>
                <w:szCs w:val="17"/>
                <w:color w:val="auto"/>
                <w:w w:val="99"/>
              </w:rPr>
              <w:t>5.08%</w:t>
            </w:r>
          </w:p>
        </w:tc>
      </w:tr>
      <w:tr>
        <w:trPr>
          <w:trHeight w:val="226"/>
        </w:trPr>
        <w:tc>
          <w:tcPr>
            <w:tcW w:w="2660" w:type="dxa"/>
            <w:vAlign w:val="bottom"/>
            <w:shd w:val="clear" w:color="auto" w:fill="E6ECFF"/>
          </w:tcPr>
          <w:p>
            <w:pPr>
              <w:jc w:val="right"/>
              <w:ind w:right="974"/>
              <w:spacing w:after="0"/>
              <w:rPr>
                <w:sz w:val="20"/>
                <w:szCs w:val="20"/>
                <w:color w:val="auto"/>
              </w:rPr>
            </w:pPr>
            <w:r>
              <w:rPr>
                <w:rFonts w:ascii="Calibri" w:cs="Calibri" w:eastAsia="Calibri" w:hAnsi="Calibri"/>
                <w:sz w:val="17"/>
                <w:szCs w:val="17"/>
                <w:color w:val="auto"/>
              </w:rPr>
              <w:t>(1.00)%</w:t>
            </w:r>
          </w:p>
        </w:tc>
        <w:tc>
          <w:tcPr>
            <w:tcW w:w="2860" w:type="dxa"/>
            <w:vAlign w:val="bottom"/>
            <w:gridSpan w:val="2"/>
            <w:shd w:val="clear" w:color="auto" w:fill="E6ECFF"/>
          </w:tcPr>
          <w:p>
            <w:pPr>
              <w:jc w:val="right"/>
              <w:ind w:right="1034"/>
              <w:spacing w:after="0"/>
              <w:rPr>
                <w:sz w:val="20"/>
                <w:szCs w:val="20"/>
                <w:color w:val="auto"/>
              </w:rPr>
            </w:pPr>
            <w:r>
              <w:rPr>
                <w:rFonts w:ascii="Calibri" w:cs="Calibri" w:eastAsia="Calibri" w:hAnsi="Calibri"/>
                <w:sz w:val="17"/>
                <w:szCs w:val="17"/>
                <w:color w:val="auto"/>
              </w:rPr>
              <w:t>(2.87)%</w:t>
            </w:r>
          </w:p>
        </w:tc>
        <w:tc>
          <w:tcPr>
            <w:tcW w:w="100" w:type="dxa"/>
            <w:vAlign w:val="bottom"/>
            <w:shd w:val="clear" w:color="auto" w:fill="E6ECFF"/>
          </w:tcPr>
          <w:p>
            <w:pPr>
              <w:spacing w:after="0"/>
              <w:rPr>
                <w:sz w:val="19"/>
                <w:szCs w:val="19"/>
                <w:color w:val="auto"/>
              </w:rPr>
            </w:pPr>
          </w:p>
        </w:tc>
        <w:tc>
          <w:tcPr>
            <w:tcW w:w="2760" w:type="dxa"/>
            <w:vAlign w:val="bottom"/>
            <w:shd w:val="clear" w:color="auto" w:fill="E6ECFF"/>
          </w:tcPr>
          <w:p>
            <w:pPr>
              <w:jc w:val="right"/>
              <w:ind w:right="1094"/>
              <w:spacing w:after="0"/>
              <w:rPr>
                <w:sz w:val="20"/>
                <w:szCs w:val="20"/>
                <w:color w:val="auto"/>
              </w:rPr>
            </w:pPr>
            <w:r>
              <w:rPr>
                <w:rFonts w:ascii="Calibri" w:cs="Calibri" w:eastAsia="Calibri" w:hAnsi="Calibri"/>
                <w:sz w:val="17"/>
                <w:szCs w:val="17"/>
                <w:color w:val="auto"/>
              </w:rPr>
              <w:t>0.98%</w:t>
            </w:r>
          </w:p>
        </w:tc>
        <w:tc>
          <w:tcPr>
            <w:tcW w:w="120" w:type="dxa"/>
            <w:vAlign w:val="bottom"/>
            <w:shd w:val="clear" w:color="auto" w:fill="E6ECFF"/>
          </w:tcPr>
          <w:p>
            <w:pPr>
              <w:spacing w:after="0"/>
              <w:rPr>
                <w:sz w:val="19"/>
                <w:szCs w:val="19"/>
                <w:color w:val="auto"/>
              </w:rPr>
            </w:pPr>
          </w:p>
        </w:tc>
        <w:tc>
          <w:tcPr>
            <w:tcW w:w="2720" w:type="dxa"/>
            <w:vAlign w:val="bottom"/>
            <w:shd w:val="clear" w:color="auto" w:fill="E6ECFF"/>
          </w:tcPr>
          <w:p>
            <w:pPr>
              <w:jc w:val="center"/>
              <w:spacing w:after="0"/>
              <w:rPr>
                <w:sz w:val="20"/>
                <w:szCs w:val="20"/>
                <w:color w:val="auto"/>
              </w:rPr>
            </w:pPr>
            <w:r>
              <w:rPr>
                <w:rFonts w:ascii="Calibri" w:cs="Calibri" w:eastAsia="Calibri" w:hAnsi="Calibri"/>
                <w:sz w:val="17"/>
                <w:szCs w:val="17"/>
                <w:color w:val="auto"/>
                <w:w w:val="99"/>
              </w:rPr>
              <w:t>8.31%</w:t>
            </w:r>
          </w:p>
        </w:tc>
      </w:tr>
    </w:tbl>
    <w:p>
      <w:pPr>
        <w:spacing w:after="0" w:line="237"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While the tables above refect the estmated immediate impact of interest rate increases and decreases on a statc securites portolio, we rebalance our securites portolio from tme to tme either to seek to take advantage of or reduce the impact of changes in interest rates. It is important to note that the impact of changing interest rates on market value and net interest income can change signifcantly when interest rates change beyond 100 basis points from current levels. Therefore, the volatlity in the market value of our assets could increase signifcantly when interest rates change beyond amounts shown in the tables above. In additon, other factors impact the market value of and net interest income from our interest rate-sensitve investments and derivatve instruments, such as the shape of the yield curve, market expectatons as to future interest rate changes and other market conditons. Accordingly, interest income would likely difer from that shown above and such diference might be material and adverse to our stockholders.</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Mortgage Spread Risk</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Weakness in the mortgage market may adversely afect the performance and market value of our investments. This could negatvely impact our book value. Furthermore, if our lenders are unwilling or unable to provide additonal fnancing, we could be forced to sell our MBS at an inopportune tme when prices are depressed.</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table below quantfes the estmated changes in the fair value of our securites portolio and in our stockholders' equity as of December 31, 2023 and December 31, 2022. The estmated impact of changes in spreads is in additon to our interest rate sensitvity presented above. Our securites portolio's sensitvity to mortgage spread changes will vary with changes in interest rates and in the size and compositon of our securites portolio. Therefore, actual results could difer materially from our estmates.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1164590</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440055</wp:posOffset>
            </wp:positionV>
            <wp:extent cx="458470" cy="5073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72" w:name="page73"/>
    <w:bookmarkEnd w:id="72"/>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line="226" w:lineRule="auto"/>
        <w:rPr>
          <w:sz w:val="20"/>
          <w:szCs w:val="20"/>
          <w:color w:val="auto"/>
        </w:rPr>
      </w:pPr>
      <w:r>
        <w:rPr>
          <w:rFonts w:ascii="Calibri" w:cs="Calibri" w:eastAsia="Calibri" w:hAnsi="Calibri"/>
          <w:sz w:val="19"/>
          <w:szCs w:val="19"/>
          <w:b w:val="1"/>
          <w:bCs w:val="1"/>
          <w:color w:val="1C4787"/>
        </w:rPr>
        <w:t>Market Risk Disclosures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480" w:type="dxa"/>
            <w:vAlign w:val="bottom"/>
            <w:shd w:val="clear" w:color="auto" w:fill="E6ECFF"/>
          </w:tcPr>
          <w:p>
            <w:pPr>
              <w:spacing w:after="0"/>
              <w:rPr>
                <w:sz w:val="19"/>
                <w:szCs w:val="19"/>
                <w:color w:val="auto"/>
              </w:rPr>
            </w:pPr>
          </w:p>
        </w:tc>
        <w:tc>
          <w:tcPr>
            <w:tcW w:w="120" w:type="dxa"/>
            <w:vAlign w:val="bottom"/>
            <w:shd w:val="clear" w:color="auto" w:fill="E6ECFF"/>
          </w:tcPr>
          <w:p>
            <w:pPr>
              <w:spacing w:after="0"/>
              <w:rPr>
                <w:sz w:val="19"/>
                <w:szCs w:val="19"/>
                <w:color w:val="auto"/>
              </w:rPr>
            </w:pPr>
          </w:p>
        </w:tc>
        <w:tc>
          <w:tcPr>
            <w:tcW w:w="4420" w:type="dxa"/>
            <w:vAlign w:val="bottom"/>
            <w:gridSpan w:val="4"/>
            <w:shd w:val="clear" w:color="auto" w:fill="E6ECFF"/>
          </w:tcPr>
          <w:p>
            <w:pPr>
              <w:jc w:val="center"/>
              <w:ind w:right="120"/>
              <w:spacing w:after="0"/>
              <w:rPr>
                <w:sz w:val="20"/>
                <w:szCs w:val="20"/>
                <w:color w:val="auto"/>
              </w:rPr>
            </w:pPr>
            <w:r>
              <w:rPr>
                <w:rFonts w:ascii="Calibri" w:cs="Calibri" w:eastAsia="Calibri" w:hAnsi="Calibri"/>
                <w:sz w:val="17"/>
                <w:szCs w:val="17"/>
                <w:b w:val="1"/>
                <w:bCs w:val="1"/>
                <w:color w:val="1C4787"/>
                <w:w w:val="98"/>
              </w:rPr>
              <w:t>December 31, 2023</w:t>
            </w:r>
          </w:p>
        </w:tc>
        <w:tc>
          <w:tcPr>
            <w:tcW w:w="4160" w:type="dxa"/>
            <w:vAlign w:val="bottom"/>
            <w:gridSpan w:val="3"/>
            <w:shd w:val="clear" w:color="auto" w:fill="E6ECFF"/>
          </w:tcPr>
          <w:p>
            <w:pPr>
              <w:jc w:val="center"/>
              <w:spacing w:after="0"/>
              <w:rPr>
                <w:sz w:val="20"/>
                <w:szCs w:val="20"/>
                <w:color w:val="auto"/>
              </w:rPr>
            </w:pPr>
            <w:r>
              <w:rPr>
                <w:rFonts w:ascii="Calibri" w:cs="Calibri" w:eastAsia="Calibri" w:hAnsi="Calibri"/>
                <w:sz w:val="17"/>
                <w:szCs w:val="17"/>
                <w:b w:val="1"/>
                <w:bCs w:val="1"/>
                <w:color w:val="1C4787"/>
                <w:w w:val="98"/>
              </w:rPr>
              <w:t>December 31, 2022</w:t>
            </w:r>
          </w:p>
        </w:tc>
      </w:tr>
      <w:tr>
        <w:trPr>
          <w:trHeight w:val="205"/>
        </w:trPr>
        <w:tc>
          <w:tcPr>
            <w:tcW w:w="2480" w:type="dxa"/>
            <w:vAlign w:val="bottom"/>
            <w:tcBorders>
              <w:bottom w:val="single" w:sz="8" w:color="E6ECFF"/>
            </w:tcBorders>
          </w:tcPr>
          <w:p>
            <w:pPr>
              <w:spacing w:after="0"/>
              <w:rPr>
                <w:sz w:val="17"/>
                <w:szCs w:val="17"/>
                <w:color w:val="auto"/>
              </w:rPr>
            </w:pPr>
          </w:p>
        </w:tc>
        <w:tc>
          <w:tcPr>
            <w:tcW w:w="120" w:type="dxa"/>
            <w:vAlign w:val="bottom"/>
            <w:tcBorders>
              <w:bottom w:val="single" w:sz="8" w:color="E6ECFF"/>
            </w:tcBorders>
          </w:tcPr>
          <w:p>
            <w:pPr>
              <w:spacing w:after="0"/>
              <w:rPr>
                <w:sz w:val="17"/>
                <w:szCs w:val="17"/>
                <w:color w:val="auto"/>
              </w:rPr>
            </w:pPr>
          </w:p>
        </w:tc>
        <w:tc>
          <w:tcPr>
            <w:tcW w:w="4300" w:type="dxa"/>
            <w:vAlign w:val="bottom"/>
            <w:tcBorders>
              <w:top w:val="single" w:sz="8" w:color="auto"/>
              <w:bottom w:val="single" w:sz="8" w:color="auto"/>
            </w:tcBorders>
            <w:gridSpan w:val="3"/>
          </w:tcPr>
          <w:p>
            <w:pPr>
              <w:jc w:val="center"/>
              <w:spacing w:after="0" w:line="205" w:lineRule="exact"/>
              <w:rPr>
                <w:sz w:val="20"/>
                <w:szCs w:val="20"/>
                <w:color w:val="auto"/>
              </w:rPr>
            </w:pPr>
            <w:r>
              <w:rPr>
                <w:rFonts w:ascii="Calibri" w:cs="Calibri" w:eastAsia="Calibri" w:hAnsi="Calibri"/>
                <w:sz w:val="17"/>
                <w:szCs w:val="17"/>
                <w:b w:val="1"/>
                <w:bCs w:val="1"/>
                <w:color w:val="1C4787"/>
                <w:w w:val="98"/>
              </w:rPr>
              <w:t>Percentage Change in Projected</w:t>
            </w:r>
          </w:p>
        </w:tc>
        <w:tc>
          <w:tcPr>
            <w:tcW w:w="120" w:type="dxa"/>
            <w:vAlign w:val="bottom"/>
            <w:tcBorders>
              <w:bottom w:val="single" w:sz="8" w:color="E6ECFF"/>
            </w:tcBorders>
          </w:tcPr>
          <w:p>
            <w:pPr>
              <w:spacing w:after="0"/>
              <w:rPr>
                <w:sz w:val="17"/>
                <w:szCs w:val="17"/>
                <w:color w:val="auto"/>
              </w:rPr>
            </w:pPr>
          </w:p>
        </w:tc>
        <w:tc>
          <w:tcPr>
            <w:tcW w:w="4160" w:type="dxa"/>
            <w:vAlign w:val="bottom"/>
            <w:tcBorders>
              <w:top w:val="single" w:sz="8" w:color="auto"/>
              <w:bottom w:val="single" w:sz="8" w:color="auto"/>
            </w:tcBorders>
            <w:gridSpan w:val="3"/>
          </w:tcPr>
          <w:p>
            <w:pPr>
              <w:jc w:val="center"/>
              <w:spacing w:after="0" w:line="205" w:lineRule="exact"/>
              <w:rPr>
                <w:sz w:val="20"/>
                <w:szCs w:val="20"/>
                <w:color w:val="auto"/>
              </w:rPr>
            </w:pPr>
            <w:r>
              <w:rPr>
                <w:rFonts w:ascii="Calibri" w:cs="Calibri" w:eastAsia="Calibri" w:hAnsi="Calibri"/>
                <w:sz w:val="17"/>
                <w:szCs w:val="17"/>
                <w:b w:val="1"/>
                <w:bCs w:val="1"/>
                <w:color w:val="1C4787"/>
                <w:w w:val="98"/>
              </w:rPr>
              <w:t>Percentage Change in Projected</w:t>
            </w:r>
          </w:p>
        </w:tc>
      </w:tr>
      <w:tr>
        <w:trPr>
          <w:trHeight w:val="219"/>
        </w:trPr>
        <w:tc>
          <w:tcPr>
            <w:tcW w:w="2600" w:type="dxa"/>
            <w:vAlign w:val="bottom"/>
            <w:gridSpan w:val="2"/>
            <w:shd w:val="clear" w:color="auto" w:fill="E6ECFF"/>
          </w:tcPr>
          <w:p>
            <w:pPr>
              <w:jc w:val="center"/>
              <w:ind w:right="120"/>
              <w:spacing w:after="0" w:line="197" w:lineRule="exact"/>
              <w:rPr>
                <w:sz w:val="20"/>
                <w:szCs w:val="20"/>
                <w:color w:val="auto"/>
              </w:rPr>
            </w:pPr>
            <w:r>
              <w:rPr>
                <w:rFonts w:ascii="Calibri" w:cs="Calibri" w:eastAsia="Calibri" w:hAnsi="Calibri"/>
                <w:sz w:val="17"/>
                <w:szCs w:val="17"/>
                <w:b w:val="1"/>
                <w:bCs w:val="1"/>
                <w:color w:val="1C4787"/>
                <w:w w:val="98"/>
              </w:rPr>
              <w:t>Change in MBS spread</w:t>
            </w:r>
          </w:p>
        </w:tc>
        <w:tc>
          <w:tcPr>
            <w:tcW w:w="2280" w:type="dxa"/>
            <w:vAlign w:val="bottom"/>
            <w:gridSpan w:val="2"/>
            <w:shd w:val="clear" w:color="auto" w:fill="E6ECFF"/>
          </w:tcPr>
          <w:p>
            <w:pPr>
              <w:ind w:left="560"/>
              <w:spacing w:after="0" w:line="205" w:lineRule="exact"/>
              <w:rPr>
                <w:sz w:val="20"/>
                <w:szCs w:val="20"/>
                <w:color w:val="auto"/>
              </w:rPr>
            </w:pPr>
            <w:r>
              <w:rPr>
                <w:rFonts w:ascii="Calibri" w:cs="Calibri" w:eastAsia="Calibri" w:hAnsi="Calibri"/>
                <w:sz w:val="17"/>
                <w:szCs w:val="17"/>
                <w:b w:val="1"/>
                <w:bCs w:val="1"/>
                <w:color w:val="1C4787"/>
              </w:rPr>
              <w:t>Portolio Value</w:t>
            </w:r>
          </w:p>
        </w:tc>
        <w:tc>
          <w:tcPr>
            <w:tcW w:w="2020" w:type="dxa"/>
            <w:vAlign w:val="bottom"/>
            <w:shd w:val="clear" w:color="auto" w:fill="E6ECFF"/>
          </w:tcPr>
          <w:p>
            <w:pPr>
              <w:ind w:left="300"/>
              <w:spacing w:after="0" w:line="205" w:lineRule="exact"/>
              <w:rPr>
                <w:sz w:val="20"/>
                <w:szCs w:val="20"/>
                <w:color w:val="auto"/>
              </w:rPr>
            </w:pPr>
            <w:r>
              <w:rPr>
                <w:rFonts w:ascii="Calibri" w:cs="Calibri" w:eastAsia="Calibri" w:hAnsi="Calibri"/>
                <w:sz w:val="17"/>
                <w:szCs w:val="17"/>
                <w:b w:val="1"/>
                <w:bCs w:val="1"/>
                <w:color w:val="1C4787"/>
              </w:rPr>
              <w:t>Stockholders' Equity</w:t>
            </w:r>
          </w:p>
        </w:tc>
        <w:tc>
          <w:tcPr>
            <w:tcW w:w="120" w:type="dxa"/>
            <w:vAlign w:val="bottom"/>
            <w:shd w:val="clear" w:color="auto" w:fill="E6ECFF"/>
          </w:tcPr>
          <w:p>
            <w:pPr>
              <w:spacing w:after="0"/>
              <w:rPr>
                <w:sz w:val="19"/>
                <w:szCs w:val="19"/>
                <w:color w:val="auto"/>
              </w:rPr>
            </w:pPr>
          </w:p>
        </w:tc>
        <w:tc>
          <w:tcPr>
            <w:tcW w:w="2140" w:type="dxa"/>
            <w:vAlign w:val="bottom"/>
            <w:gridSpan w:val="2"/>
            <w:shd w:val="clear" w:color="auto" w:fill="E6ECFF"/>
          </w:tcPr>
          <w:p>
            <w:pPr>
              <w:ind w:left="480"/>
              <w:spacing w:after="0" w:line="205" w:lineRule="exact"/>
              <w:rPr>
                <w:sz w:val="20"/>
                <w:szCs w:val="20"/>
                <w:color w:val="auto"/>
              </w:rPr>
            </w:pPr>
            <w:r>
              <w:rPr>
                <w:rFonts w:ascii="Calibri" w:cs="Calibri" w:eastAsia="Calibri" w:hAnsi="Calibri"/>
                <w:sz w:val="17"/>
                <w:szCs w:val="17"/>
                <w:b w:val="1"/>
                <w:bCs w:val="1"/>
                <w:color w:val="1C4787"/>
              </w:rPr>
              <w:t>Portolio Value</w:t>
            </w:r>
          </w:p>
        </w:tc>
        <w:tc>
          <w:tcPr>
            <w:tcW w:w="2020" w:type="dxa"/>
            <w:vAlign w:val="bottom"/>
            <w:shd w:val="clear" w:color="auto" w:fill="E6ECFF"/>
          </w:tcPr>
          <w:p>
            <w:pPr>
              <w:ind w:left="300"/>
              <w:spacing w:after="0" w:line="205" w:lineRule="exact"/>
              <w:rPr>
                <w:sz w:val="20"/>
                <w:szCs w:val="20"/>
                <w:color w:val="auto"/>
              </w:rPr>
            </w:pPr>
            <w:r>
              <w:rPr>
                <w:rFonts w:ascii="Calibri" w:cs="Calibri" w:eastAsia="Calibri" w:hAnsi="Calibri"/>
                <w:sz w:val="17"/>
                <w:szCs w:val="17"/>
                <w:b w:val="1"/>
                <w:bCs w:val="1"/>
                <w:color w:val="1C4787"/>
              </w:rPr>
              <w:t>Stockholders' Equity</w:t>
            </w:r>
          </w:p>
        </w:tc>
      </w:tr>
      <w:tr>
        <w:trPr>
          <w:trHeight w:val="205"/>
        </w:trPr>
        <w:tc>
          <w:tcPr>
            <w:tcW w:w="2480" w:type="dxa"/>
            <w:vAlign w:val="bottom"/>
            <w:tcBorders>
              <w:top w:val="single" w:sz="8" w:color="auto"/>
            </w:tcBorders>
          </w:tcPr>
          <w:p>
            <w:pPr>
              <w:jc w:val="center"/>
              <w:spacing w:after="0" w:line="205" w:lineRule="exact"/>
              <w:rPr>
                <w:sz w:val="20"/>
                <w:szCs w:val="20"/>
                <w:color w:val="auto"/>
              </w:rPr>
            </w:pPr>
            <w:r>
              <w:rPr>
                <w:rFonts w:ascii="Calibri" w:cs="Calibri" w:eastAsia="Calibri" w:hAnsi="Calibri"/>
                <w:sz w:val="17"/>
                <w:szCs w:val="17"/>
                <w:color w:val="auto"/>
              </w:rPr>
              <w:t>+25 BPS</w:t>
            </w:r>
          </w:p>
        </w:tc>
        <w:tc>
          <w:tcPr>
            <w:tcW w:w="120" w:type="dxa"/>
            <w:vAlign w:val="bottom"/>
          </w:tcPr>
          <w:p>
            <w:pPr>
              <w:spacing w:after="0"/>
              <w:rPr>
                <w:sz w:val="17"/>
                <w:szCs w:val="17"/>
                <w:color w:val="auto"/>
              </w:rPr>
            </w:pPr>
          </w:p>
        </w:tc>
        <w:tc>
          <w:tcPr>
            <w:tcW w:w="2160" w:type="dxa"/>
            <w:vAlign w:val="bottom"/>
            <w:tcBorders>
              <w:top w:val="single" w:sz="8" w:color="auto"/>
            </w:tcBorders>
          </w:tcPr>
          <w:p>
            <w:pPr>
              <w:jc w:val="right"/>
              <w:ind w:right="734"/>
              <w:spacing w:after="0" w:line="205" w:lineRule="exact"/>
              <w:rPr>
                <w:sz w:val="20"/>
                <w:szCs w:val="20"/>
                <w:color w:val="auto"/>
              </w:rPr>
            </w:pPr>
            <w:r>
              <w:rPr>
                <w:rFonts w:ascii="Calibri" w:cs="Calibri" w:eastAsia="Calibri" w:hAnsi="Calibri"/>
                <w:sz w:val="17"/>
                <w:szCs w:val="17"/>
                <w:color w:val="auto"/>
              </w:rPr>
              <w:t>(1.14)%</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7"/>
              </w:rPr>
              <w:t>(10.29)%</w:t>
            </w:r>
          </w:p>
        </w:tc>
        <w:tc>
          <w:tcPr>
            <w:tcW w:w="1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jc w:val="right"/>
              <w:ind w:right="674"/>
              <w:spacing w:after="0" w:line="205" w:lineRule="exact"/>
              <w:rPr>
                <w:sz w:val="20"/>
                <w:szCs w:val="20"/>
                <w:color w:val="auto"/>
              </w:rPr>
            </w:pPr>
            <w:r>
              <w:rPr>
                <w:rFonts w:ascii="Calibri" w:cs="Calibri" w:eastAsia="Calibri" w:hAnsi="Calibri"/>
                <w:sz w:val="17"/>
                <w:szCs w:val="17"/>
                <w:color w:val="auto"/>
              </w:rPr>
              <w:t>(1.54)%</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7"/>
              </w:rPr>
              <w:t>(12.39)%</w:t>
            </w:r>
          </w:p>
        </w:tc>
      </w:tr>
      <w:tr>
        <w:trPr>
          <w:trHeight w:val="226"/>
        </w:trPr>
        <w:tc>
          <w:tcPr>
            <w:tcW w:w="2600" w:type="dxa"/>
            <w:vAlign w:val="bottom"/>
            <w:gridSpan w:val="2"/>
            <w:shd w:val="clear" w:color="auto" w:fill="E6ECFF"/>
          </w:tcPr>
          <w:p>
            <w:pPr>
              <w:jc w:val="center"/>
              <w:ind w:right="120"/>
              <w:spacing w:after="0"/>
              <w:rPr>
                <w:sz w:val="20"/>
                <w:szCs w:val="20"/>
                <w:color w:val="auto"/>
              </w:rPr>
            </w:pPr>
            <w:r>
              <w:rPr>
                <w:rFonts w:ascii="Calibri" w:cs="Calibri" w:eastAsia="Calibri" w:hAnsi="Calibri"/>
                <w:sz w:val="17"/>
                <w:szCs w:val="17"/>
                <w:color w:val="auto"/>
              </w:rPr>
              <w:t>+10 BPS</w:t>
            </w:r>
          </w:p>
        </w:tc>
        <w:tc>
          <w:tcPr>
            <w:tcW w:w="2160" w:type="dxa"/>
            <w:vAlign w:val="bottom"/>
            <w:shd w:val="clear" w:color="auto" w:fill="E6ECFF"/>
          </w:tcPr>
          <w:p>
            <w:pPr>
              <w:jc w:val="right"/>
              <w:ind w:right="734"/>
              <w:spacing w:after="0"/>
              <w:rPr>
                <w:sz w:val="20"/>
                <w:szCs w:val="20"/>
                <w:color w:val="auto"/>
              </w:rPr>
            </w:pPr>
            <w:r>
              <w:rPr>
                <w:rFonts w:ascii="Calibri" w:cs="Calibri" w:eastAsia="Calibri" w:hAnsi="Calibri"/>
                <w:sz w:val="17"/>
                <w:szCs w:val="17"/>
                <w:color w:val="auto"/>
              </w:rPr>
              <w:t>(0.46)%</w:t>
            </w:r>
          </w:p>
        </w:tc>
        <w:tc>
          <w:tcPr>
            <w:tcW w:w="120" w:type="dxa"/>
            <w:vAlign w:val="bottom"/>
            <w:shd w:val="clear" w:color="auto" w:fill="E6ECFF"/>
          </w:tcPr>
          <w:p>
            <w:pPr>
              <w:spacing w:after="0"/>
              <w:rPr>
                <w:sz w:val="19"/>
                <w:szCs w:val="19"/>
                <w:color w:val="auto"/>
              </w:rPr>
            </w:pPr>
          </w:p>
        </w:tc>
        <w:tc>
          <w:tcPr>
            <w:tcW w:w="2020" w:type="dxa"/>
            <w:vAlign w:val="bottom"/>
            <w:shd w:val="clear" w:color="auto" w:fill="E6ECFF"/>
          </w:tcPr>
          <w:p>
            <w:pPr>
              <w:jc w:val="center"/>
              <w:spacing w:after="0"/>
              <w:rPr>
                <w:sz w:val="20"/>
                <w:szCs w:val="20"/>
                <w:color w:val="auto"/>
              </w:rPr>
            </w:pPr>
            <w:r>
              <w:rPr>
                <w:rFonts w:ascii="Calibri" w:cs="Calibri" w:eastAsia="Calibri" w:hAnsi="Calibri"/>
                <w:sz w:val="17"/>
                <w:szCs w:val="17"/>
                <w:color w:val="auto"/>
                <w:w w:val="98"/>
              </w:rPr>
              <w:t>(4.12)%</w:t>
            </w:r>
          </w:p>
        </w:tc>
        <w:tc>
          <w:tcPr>
            <w:tcW w:w="120" w:type="dxa"/>
            <w:vAlign w:val="bottom"/>
            <w:shd w:val="clear" w:color="auto" w:fill="E6ECFF"/>
          </w:tcPr>
          <w:p>
            <w:pPr>
              <w:spacing w:after="0"/>
              <w:rPr>
                <w:sz w:val="19"/>
                <w:szCs w:val="19"/>
                <w:color w:val="auto"/>
              </w:rPr>
            </w:pPr>
          </w:p>
        </w:tc>
        <w:tc>
          <w:tcPr>
            <w:tcW w:w="2020" w:type="dxa"/>
            <w:vAlign w:val="bottom"/>
            <w:shd w:val="clear" w:color="auto" w:fill="E6ECFF"/>
          </w:tcPr>
          <w:p>
            <w:pPr>
              <w:jc w:val="right"/>
              <w:ind w:right="674"/>
              <w:spacing w:after="0"/>
              <w:rPr>
                <w:sz w:val="20"/>
                <w:szCs w:val="20"/>
                <w:color w:val="auto"/>
              </w:rPr>
            </w:pPr>
            <w:r>
              <w:rPr>
                <w:rFonts w:ascii="Calibri" w:cs="Calibri" w:eastAsia="Calibri" w:hAnsi="Calibri"/>
                <w:sz w:val="17"/>
                <w:szCs w:val="17"/>
                <w:color w:val="auto"/>
              </w:rPr>
              <w:t>(0.61)%</w:t>
            </w:r>
          </w:p>
        </w:tc>
        <w:tc>
          <w:tcPr>
            <w:tcW w:w="120" w:type="dxa"/>
            <w:vAlign w:val="bottom"/>
            <w:shd w:val="clear" w:color="auto" w:fill="E6ECFF"/>
          </w:tcPr>
          <w:p>
            <w:pPr>
              <w:spacing w:after="0"/>
              <w:rPr>
                <w:sz w:val="19"/>
                <w:szCs w:val="19"/>
                <w:color w:val="auto"/>
              </w:rPr>
            </w:pPr>
          </w:p>
        </w:tc>
        <w:tc>
          <w:tcPr>
            <w:tcW w:w="2020" w:type="dxa"/>
            <w:vAlign w:val="bottom"/>
            <w:shd w:val="clear" w:color="auto" w:fill="E6ECFF"/>
          </w:tcPr>
          <w:p>
            <w:pPr>
              <w:jc w:val="center"/>
              <w:spacing w:after="0"/>
              <w:rPr>
                <w:sz w:val="20"/>
                <w:szCs w:val="20"/>
                <w:color w:val="auto"/>
              </w:rPr>
            </w:pPr>
            <w:r>
              <w:rPr>
                <w:rFonts w:ascii="Calibri" w:cs="Calibri" w:eastAsia="Calibri" w:hAnsi="Calibri"/>
                <w:sz w:val="17"/>
                <w:szCs w:val="17"/>
                <w:color w:val="auto"/>
                <w:w w:val="98"/>
              </w:rPr>
              <w:t>(4.96)%</w:t>
            </w:r>
          </w:p>
        </w:tc>
      </w:tr>
      <w:tr>
        <w:trPr>
          <w:trHeight w:val="212"/>
        </w:trPr>
        <w:tc>
          <w:tcPr>
            <w:tcW w:w="2600" w:type="dxa"/>
            <w:vAlign w:val="bottom"/>
            <w:gridSpan w:val="2"/>
          </w:tcPr>
          <w:p>
            <w:pPr>
              <w:jc w:val="center"/>
              <w:ind w:right="120"/>
              <w:spacing w:after="0" w:line="205" w:lineRule="exact"/>
              <w:rPr>
                <w:sz w:val="20"/>
                <w:szCs w:val="20"/>
                <w:color w:val="auto"/>
              </w:rPr>
            </w:pPr>
            <w:r>
              <w:rPr>
                <w:rFonts w:ascii="Calibri" w:cs="Calibri" w:eastAsia="Calibri" w:hAnsi="Calibri"/>
                <w:sz w:val="17"/>
                <w:szCs w:val="17"/>
                <w:color w:val="auto"/>
                <w:w w:val="99"/>
              </w:rPr>
              <w:t>-10 BPS</w:t>
            </w:r>
          </w:p>
        </w:tc>
        <w:tc>
          <w:tcPr>
            <w:tcW w:w="2160" w:type="dxa"/>
            <w:vAlign w:val="bottom"/>
          </w:tcPr>
          <w:p>
            <w:pPr>
              <w:jc w:val="right"/>
              <w:ind w:right="794"/>
              <w:spacing w:after="0" w:line="205" w:lineRule="exact"/>
              <w:rPr>
                <w:sz w:val="20"/>
                <w:szCs w:val="20"/>
                <w:color w:val="auto"/>
              </w:rPr>
            </w:pPr>
            <w:r>
              <w:rPr>
                <w:rFonts w:ascii="Calibri" w:cs="Calibri" w:eastAsia="Calibri" w:hAnsi="Calibri"/>
                <w:sz w:val="17"/>
                <w:szCs w:val="17"/>
                <w:color w:val="auto"/>
              </w:rPr>
              <w:t>0.46%</w:t>
            </w:r>
          </w:p>
        </w:tc>
        <w:tc>
          <w:tcPr>
            <w:tcW w:w="120" w:type="dxa"/>
            <w:vAlign w:val="bottom"/>
          </w:tcPr>
          <w:p>
            <w:pPr>
              <w:spacing w:after="0"/>
              <w:rPr>
                <w:sz w:val="18"/>
                <w:szCs w:val="18"/>
                <w:color w:val="auto"/>
              </w:rPr>
            </w:pPr>
          </w:p>
        </w:tc>
        <w:tc>
          <w:tcPr>
            <w:tcW w:w="2020" w:type="dxa"/>
            <w:vAlign w:val="bottom"/>
          </w:tcPr>
          <w:p>
            <w:pPr>
              <w:jc w:val="center"/>
              <w:spacing w:after="0" w:line="205" w:lineRule="exact"/>
              <w:rPr>
                <w:sz w:val="20"/>
                <w:szCs w:val="20"/>
                <w:color w:val="auto"/>
              </w:rPr>
            </w:pPr>
            <w:r>
              <w:rPr>
                <w:rFonts w:ascii="Calibri" w:cs="Calibri" w:eastAsia="Calibri" w:hAnsi="Calibri"/>
                <w:sz w:val="17"/>
                <w:szCs w:val="17"/>
                <w:color w:val="auto"/>
                <w:w w:val="99"/>
              </w:rPr>
              <w:t>4.12%</w:t>
            </w:r>
          </w:p>
        </w:tc>
        <w:tc>
          <w:tcPr>
            <w:tcW w:w="120" w:type="dxa"/>
            <w:vAlign w:val="bottom"/>
          </w:tcPr>
          <w:p>
            <w:pPr>
              <w:spacing w:after="0"/>
              <w:rPr>
                <w:sz w:val="18"/>
                <w:szCs w:val="18"/>
                <w:color w:val="auto"/>
              </w:rPr>
            </w:pPr>
          </w:p>
        </w:tc>
        <w:tc>
          <w:tcPr>
            <w:tcW w:w="2020" w:type="dxa"/>
            <w:vAlign w:val="bottom"/>
          </w:tcPr>
          <w:p>
            <w:pPr>
              <w:jc w:val="right"/>
              <w:ind w:right="714"/>
              <w:spacing w:after="0" w:line="205" w:lineRule="exact"/>
              <w:rPr>
                <w:sz w:val="20"/>
                <w:szCs w:val="20"/>
                <w:color w:val="auto"/>
              </w:rPr>
            </w:pPr>
            <w:r>
              <w:rPr>
                <w:rFonts w:ascii="Calibri" w:cs="Calibri" w:eastAsia="Calibri" w:hAnsi="Calibri"/>
                <w:sz w:val="17"/>
                <w:szCs w:val="17"/>
                <w:color w:val="auto"/>
              </w:rPr>
              <w:t>0.61%</w:t>
            </w:r>
          </w:p>
        </w:tc>
        <w:tc>
          <w:tcPr>
            <w:tcW w:w="120" w:type="dxa"/>
            <w:vAlign w:val="bottom"/>
          </w:tcPr>
          <w:p>
            <w:pPr>
              <w:spacing w:after="0"/>
              <w:rPr>
                <w:sz w:val="18"/>
                <w:szCs w:val="18"/>
                <w:color w:val="auto"/>
              </w:rPr>
            </w:pPr>
          </w:p>
        </w:tc>
        <w:tc>
          <w:tcPr>
            <w:tcW w:w="2020" w:type="dxa"/>
            <w:vAlign w:val="bottom"/>
          </w:tcPr>
          <w:p>
            <w:pPr>
              <w:jc w:val="center"/>
              <w:spacing w:after="0" w:line="205" w:lineRule="exact"/>
              <w:rPr>
                <w:sz w:val="20"/>
                <w:szCs w:val="20"/>
                <w:color w:val="auto"/>
              </w:rPr>
            </w:pPr>
            <w:r>
              <w:rPr>
                <w:rFonts w:ascii="Calibri" w:cs="Calibri" w:eastAsia="Calibri" w:hAnsi="Calibri"/>
                <w:sz w:val="17"/>
                <w:szCs w:val="17"/>
                <w:color w:val="auto"/>
                <w:w w:val="99"/>
              </w:rPr>
              <w:t>4.96%</w:t>
            </w:r>
          </w:p>
        </w:tc>
      </w:tr>
      <w:tr>
        <w:trPr>
          <w:trHeight w:val="226"/>
        </w:trPr>
        <w:tc>
          <w:tcPr>
            <w:tcW w:w="2600" w:type="dxa"/>
            <w:vAlign w:val="bottom"/>
            <w:gridSpan w:val="2"/>
            <w:shd w:val="clear" w:color="auto" w:fill="E6ECFF"/>
          </w:tcPr>
          <w:p>
            <w:pPr>
              <w:jc w:val="center"/>
              <w:ind w:right="120"/>
              <w:spacing w:after="0"/>
              <w:rPr>
                <w:sz w:val="20"/>
                <w:szCs w:val="20"/>
                <w:color w:val="auto"/>
              </w:rPr>
            </w:pPr>
            <w:r>
              <w:rPr>
                <w:rFonts w:ascii="Calibri" w:cs="Calibri" w:eastAsia="Calibri" w:hAnsi="Calibri"/>
                <w:sz w:val="17"/>
                <w:szCs w:val="17"/>
                <w:color w:val="auto"/>
                <w:w w:val="99"/>
              </w:rPr>
              <w:t>-25 BPS</w:t>
            </w:r>
          </w:p>
        </w:tc>
        <w:tc>
          <w:tcPr>
            <w:tcW w:w="2160" w:type="dxa"/>
            <w:vAlign w:val="bottom"/>
            <w:shd w:val="clear" w:color="auto" w:fill="E6ECFF"/>
          </w:tcPr>
          <w:p>
            <w:pPr>
              <w:jc w:val="right"/>
              <w:ind w:right="794"/>
              <w:spacing w:after="0"/>
              <w:rPr>
                <w:sz w:val="20"/>
                <w:szCs w:val="20"/>
                <w:color w:val="auto"/>
              </w:rPr>
            </w:pPr>
            <w:r>
              <w:rPr>
                <w:rFonts w:ascii="Calibri" w:cs="Calibri" w:eastAsia="Calibri" w:hAnsi="Calibri"/>
                <w:sz w:val="17"/>
                <w:szCs w:val="17"/>
                <w:color w:val="auto"/>
              </w:rPr>
              <w:t>1.14%</w:t>
            </w:r>
          </w:p>
        </w:tc>
        <w:tc>
          <w:tcPr>
            <w:tcW w:w="120" w:type="dxa"/>
            <w:vAlign w:val="bottom"/>
            <w:shd w:val="clear" w:color="auto" w:fill="E6ECFF"/>
          </w:tcPr>
          <w:p>
            <w:pPr>
              <w:spacing w:after="0"/>
              <w:rPr>
                <w:sz w:val="19"/>
                <w:szCs w:val="19"/>
                <w:color w:val="auto"/>
              </w:rPr>
            </w:pPr>
          </w:p>
        </w:tc>
        <w:tc>
          <w:tcPr>
            <w:tcW w:w="2020" w:type="dxa"/>
            <w:vAlign w:val="bottom"/>
            <w:shd w:val="clear" w:color="auto" w:fill="E6ECFF"/>
          </w:tcPr>
          <w:p>
            <w:pPr>
              <w:jc w:val="center"/>
              <w:spacing w:after="0"/>
              <w:rPr>
                <w:sz w:val="20"/>
                <w:szCs w:val="20"/>
                <w:color w:val="auto"/>
              </w:rPr>
            </w:pPr>
            <w:r>
              <w:rPr>
                <w:rFonts w:ascii="Calibri" w:cs="Calibri" w:eastAsia="Calibri" w:hAnsi="Calibri"/>
                <w:sz w:val="17"/>
                <w:szCs w:val="17"/>
                <w:color w:val="auto"/>
              </w:rPr>
              <w:t>10.29%</w:t>
            </w:r>
          </w:p>
        </w:tc>
        <w:tc>
          <w:tcPr>
            <w:tcW w:w="120" w:type="dxa"/>
            <w:vAlign w:val="bottom"/>
            <w:shd w:val="clear" w:color="auto" w:fill="E6ECFF"/>
          </w:tcPr>
          <w:p>
            <w:pPr>
              <w:spacing w:after="0"/>
              <w:rPr>
                <w:sz w:val="19"/>
                <w:szCs w:val="19"/>
                <w:color w:val="auto"/>
              </w:rPr>
            </w:pPr>
          </w:p>
        </w:tc>
        <w:tc>
          <w:tcPr>
            <w:tcW w:w="2020" w:type="dxa"/>
            <w:vAlign w:val="bottom"/>
            <w:shd w:val="clear" w:color="auto" w:fill="E6ECFF"/>
          </w:tcPr>
          <w:p>
            <w:pPr>
              <w:jc w:val="right"/>
              <w:ind w:right="714"/>
              <w:spacing w:after="0"/>
              <w:rPr>
                <w:sz w:val="20"/>
                <w:szCs w:val="20"/>
                <w:color w:val="auto"/>
              </w:rPr>
            </w:pPr>
            <w:r>
              <w:rPr>
                <w:rFonts w:ascii="Calibri" w:cs="Calibri" w:eastAsia="Calibri" w:hAnsi="Calibri"/>
                <w:sz w:val="17"/>
                <w:szCs w:val="17"/>
                <w:color w:val="auto"/>
              </w:rPr>
              <w:t>1.54%</w:t>
            </w:r>
          </w:p>
        </w:tc>
        <w:tc>
          <w:tcPr>
            <w:tcW w:w="120" w:type="dxa"/>
            <w:vAlign w:val="bottom"/>
            <w:shd w:val="clear" w:color="auto" w:fill="E6ECFF"/>
          </w:tcPr>
          <w:p>
            <w:pPr>
              <w:spacing w:after="0"/>
              <w:rPr>
                <w:sz w:val="19"/>
                <w:szCs w:val="19"/>
                <w:color w:val="auto"/>
              </w:rPr>
            </w:pPr>
          </w:p>
        </w:tc>
        <w:tc>
          <w:tcPr>
            <w:tcW w:w="2020" w:type="dxa"/>
            <w:vAlign w:val="bottom"/>
            <w:shd w:val="clear" w:color="auto" w:fill="E6ECFF"/>
          </w:tcPr>
          <w:p>
            <w:pPr>
              <w:jc w:val="center"/>
              <w:spacing w:after="0"/>
              <w:rPr>
                <w:sz w:val="20"/>
                <w:szCs w:val="20"/>
                <w:color w:val="auto"/>
              </w:rPr>
            </w:pPr>
            <w:r>
              <w:rPr>
                <w:rFonts w:ascii="Calibri" w:cs="Calibri" w:eastAsia="Calibri" w:hAnsi="Calibri"/>
                <w:sz w:val="17"/>
                <w:szCs w:val="17"/>
                <w:color w:val="auto"/>
              </w:rPr>
              <w:t>12.39%</w:t>
            </w:r>
          </w:p>
        </w:tc>
      </w:tr>
    </w:tbl>
    <w:p>
      <w:pPr>
        <w:spacing w:after="0" w:line="23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Prepayment Risk</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As we receive payments of principal on our MBS, premiums paid on such securites are amortzed against interest income and discounts are accreted to interest income as realized. Premiums arise when we acquire MBS at prices in excess of the principal balance of the mortgage loans underlying such MBS. Conversely, discounts arise when we acquire MBS at prices below the principal balance, adjusted for expected impairment losses, of the mortgage loans underlying such MBS. Volatlity in actual prepayment speeds will create volatlity in the amount of premium amortzaton we recognize. Higher speeds will reduce our interest income and lower speeds will increase our interest income.</w:t>
      </w:r>
    </w:p>
    <w:p>
      <w:pPr>
        <w:spacing w:after="0" w:line="18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Credit Risk</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have limited our exposure to impairment losses on our securites portolio of Agency Securites. The payment of principal and interest on the Freddie Mac and Fannie Mae Agency Securites are guaranteed by those respectve agencies and the payment of principal and interest on the Agency Securites guaranteed by Ginnie Mae are backed by the full faith and credit of the U.S. Government. Fannie Mae and Freddie Mac remain in conservatorship of the U.S. Government. There can be no assurances as to how or when the U.S. Government will end these conservatorships or how the future proftability of Fannie Mae and Freddie Mac and any future credit ratng actons may impact the credit risk associated with Agency Securites and, therefore, the value of the Agency Securites. All of our Agency Securites are issued and guaranteed by GSEs or Ginnie Mae. The GSEs have a long term credit ratng of AA+.</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Liquidity Risk</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primary liquidity risk arises from fnancing long-maturity MBS with short-term debt. The interest rates on our borrowings adjust frequently while the interest rates on our MBS are fxed. Accordingly, in a period of rising interest rates, our borrowing costs will usually increase faster than our interest earnings from MBS. Our repurchase agreements require that we maintain adequate pledged collateral. A decline in the value of the MBS pledged as collateral for borrowings under repurchase agreements could result in the counterpartes demanding additonal collateral pledges or liquidaton of some of the existng collateral to reduce borrowing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1156335</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73" w:name="page74"/>
    <w:bookmarkEnd w:id="73"/>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line="226" w:lineRule="auto"/>
        <w:rPr>
          <w:sz w:val="20"/>
          <w:szCs w:val="20"/>
          <w:color w:val="auto"/>
        </w:rPr>
      </w:pPr>
      <w:r>
        <w:rPr>
          <w:rFonts w:ascii="Calibri" w:cs="Calibri" w:eastAsia="Calibri" w:hAnsi="Calibri"/>
          <w:sz w:val="19"/>
          <w:szCs w:val="19"/>
          <w:b w:val="1"/>
          <w:bCs w:val="1"/>
          <w:color w:val="1C4787"/>
        </w:rPr>
        <w:t>Market Risk Disclosures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auto"/>
        </w:rPr>
        <w:t>72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Operatonal Risk</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rely on our fnancial, accountng and other data processing systems. Computer malware, viruses, computer hacking and phishing atacks have become more prevalent in our industry and may occur on our systems. Although we have not detected a material cybersecurity breach to date, other fnancial services insttutons have reported material breaches of their systems, some of which have been signifcant. Even with all reasonable security eforts, not every breach can be prevented or even detected. It is possible that we have experienced an undetected breach. There is no assurance that we, or the third partes that facilitate our business actvites, have not or will not experience a breach. It is difcult to determine what, if any, negatve impact may directly result from any specifc interrupton or cyber-atacks or security breaches of our networks or systems (or the networks or systems of third partes that facilitate our business actvites) or any failure to maintain performance.</w:t>
      </w:r>
    </w:p>
    <w:p>
      <w:pPr>
        <w:spacing w:after="0" w:line="184"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ACM has established the ITSC to help mitgate technology risks including cybersecurity. One of the roles of the ITSC is to oversee cyber risk assessments, monitor applicable key risk indicators, review cybersecurity training procedures, oversee the Company’s Cybersecurity Incident Response Plan and engage third partes to conduct periodic penetraton testng. Our cybersecurity risk assessment includes an evaluaton of cyber risk related to sensitve data held by third partes on their systems. There is no assurance that these eforts will efectvely mitgate cybersecurity risk and mitgaton eforts are not an assurance that no cybersecurity incidents will occur.</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 additon, our Audit Commitee periodically monitors and oversees our informaton and cybersecurity risks including reviewing and approving any informaton and cybersecurity policies, procedures and resources, and reviewing our informaton and cybersecurity risk assessment, detecton, protecton, and mitgaton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74" w:name="page75"/>
    <w:bookmarkEnd w:id="74"/>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line="226" w:lineRule="auto"/>
        <w:rPr>
          <w:sz w:val="20"/>
          <w:szCs w:val="20"/>
          <w:color w:val="auto"/>
        </w:rPr>
      </w:pPr>
      <w:r>
        <w:rPr>
          <w:rFonts w:ascii="Calibri" w:cs="Calibri" w:eastAsia="Calibri" w:hAnsi="Calibri"/>
          <w:sz w:val="19"/>
          <w:szCs w:val="19"/>
          <w:b w:val="1"/>
          <w:bCs w:val="1"/>
          <w:color w:val="1C4787"/>
        </w:rPr>
        <w:t>Item 8. Financial Statements and Supplementary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0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Calibri" w:cs="Calibri" w:eastAsia="Calibri" w:hAnsi="Calibri"/>
                <w:sz w:val="17"/>
                <w:szCs w:val="17"/>
                <w:color w:val="1C4787"/>
                <w:w w:val="92"/>
              </w:rPr>
              <w:t>73</w:t>
            </w:r>
          </w:p>
        </w:tc>
      </w:tr>
      <w:tr>
        <w:trPr>
          <w:trHeight w:val="778"/>
        </w:trPr>
        <w:tc>
          <w:tcPr>
            <w:tcW w:w="11060" w:type="dxa"/>
            <w:vAlign w:val="bottom"/>
          </w:tcPr>
          <w:p>
            <w:pPr>
              <w:ind w:left="3900"/>
              <w:spacing w:after="0"/>
              <w:rPr>
                <w:sz w:val="20"/>
                <w:szCs w:val="20"/>
                <w:color w:val="auto"/>
              </w:rPr>
            </w:pPr>
            <w:r>
              <w:rPr>
                <w:rFonts w:ascii="Calibri" w:cs="Calibri" w:eastAsia="Calibri" w:hAnsi="Calibri"/>
                <w:sz w:val="19"/>
                <w:szCs w:val="19"/>
                <w:b w:val="1"/>
                <w:bCs w:val="1"/>
                <w:color w:val="1C4787"/>
              </w:rPr>
              <w:t>Index to Consolidated Financial Statements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9"/>
        </w:trPr>
        <w:tc>
          <w:tcPr>
            <w:tcW w:w="1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11060" w:type="dxa"/>
            <w:vAlign w:val="bottom"/>
            <w:shd w:val="clear" w:color="auto" w:fill="E6ECFF"/>
          </w:tcPr>
          <w:p>
            <w:pPr>
              <w:ind w:left="20"/>
              <w:spacing w:after="0" w:line="167" w:lineRule="exact"/>
              <w:rPr>
                <w:sz w:val="20"/>
                <w:szCs w:val="20"/>
                <w:color w:val="auto"/>
              </w:rPr>
            </w:pPr>
            <w:r>
              <w:rPr>
                <w:rFonts w:ascii="Calibri" w:cs="Calibri" w:eastAsia="Calibri" w:hAnsi="Calibri"/>
                <w:sz w:val="17"/>
                <w:szCs w:val="17"/>
                <w:color w:val="1C4787"/>
              </w:rPr>
              <w:t>Report of Independent Registered Public Accountng Firm (PCAOB ID No. 34)</w:t>
            </w:r>
          </w:p>
        </w:tc>
        <w:tc>
          <w:tcPr>
            <w:tcW w:w="180" w:type="dxa"/>
            <w:vAlign w:val="bottom"/>
            <w:gridSpan w:val="2"/>
            <w:shd w:val="clear" w:color="auto" w:fill="E6ECFF"/>
          </w:tcPr>
          <w:p>
            <w:pPr>
              <w:jc w:val="right"/>
              <w:spacing w:after="0" w:line="167" w:lineRule="exact"/>
              <w:rPr>
                <w:sz w:val="20"/>
                <w:szCs w:val="20"/>
                <w:color w:val="auto"/>
              </w:rPr>
            </w:pPr>
            <w:r>
              <w:rPr>
                <w:rFonts w:ascii="Calibri" w:cs="Calibri" w:eastAsia="Calibri" w:hAnsi="Calibri"/>
                <w:sz w:val="17"/>
                <w:szCs w:val="17"/>
                <w:color w:val="1C4787"/>
                <w:w w:val="92"/>
              </w:rPr>
              <w:t>74</w:t>
            </w:r>
          </w:p>
        </w:tc>
      </w:tr>
      <w:tr>
        <w:trPr>
          <w:trHeight w:val="103"/>
        </w:trPr>
        <w:tc>
          <w:tcPr>
            <w:tcW w:w="11060" w:type="dxa"/>
            <w:vAlign w:val="bottom"/>
            <w:tcBorders>
              <w:top w:val="single" w:sz="8" w:color="E6ECFF"/>
            </w:tcBorders>
          </w:tcPr>
          <w:p>
            <w:pPr>
              <w:spacing w:after="0"/>
              <w:rPr>
                <w:sz w:val="8"/>
                <w:szCs w:val="8"/>
                <w:color w:val="auto"/>
              </w:rPr>
            </w:pPr>
          </w:p>
        </w:tc>
        <w:tc>
          <w:tcPr>
            <w:tcW w:w="160" w:type="dxa"/>
            <w:vAlign w:val="bottom"/>
            <w:tcBorders>
              <w:top w:val="single" w:sz="8" w:color="1C4787"/>
            </w:tcBorders>
          </w:tcPr>
          <w:p>
            <w:pPr>
              <w:spacing w:after="0"/>
              <w:rPr>
                <w:sz w:val="8"/>
                <w:szCs w:val="8"/>
                <w:color w:val="auto"/>
              </w:rPr>
            </w:pPr>
          </w:p>
        </w:tc>
        <w:tc>
          <w:tcPr>
            <w:tcW w:w="20" w:type="dxa"/>
            <w:vAlign w:val="bottom"/>
            <w:tcBorders>
              <w:top w:val="single" w:sz="8" w:color="E6ECFF"/>
            </w:tcBorders>
          </w:tcPr>
          <w:p>
            <w:pPr>
              <w:spacing w:after="0"/>
              <w:rPr>
                <w:sz w:val="8"/>
                <w:szCs w:val="8"/>
                <w:color w:val="auto"/>
              </w:rPr>
            </w:pPr>
          </w:p>
        </w:tc>
      </w:tr>
      <w:tr>
        <w:trPr>
          <w:trHeight w:val="199"/>
        </w:trPr>
        <w:tc>
          <w:tcPr>
            <w:tcW w:w="11060" w:type="dxa"/>
            <w:vAlign w:val="bottom"/>
            <w:shd w:val="clear" w:color="auto" w:fill="E6ECFF"/>
          </w:tcPr>
          <w:p>
            <w:pPr>
              <w:ind w:left="20"/>
              <w:spacing w:after="0" w:line="167" w:lineRule="exact"/>
              <w:rPr>
                <w:sz w:val="20"/>
                <w:szCs w:val="20"/>
                <w:color w:val="auto"/>
              </w:rPr>
            </w:pPr>
            <w:r>
              <w:rPr>
                <w:rFonts w:ascii="Calibri" w:cs="Calibri" w:eastAsia="Calibri" w:hAnsi="Calibri"/>
                <w:sz w:val="17"/>
                <w:szCs w:val="17"/>
                <w:color w:val="1C4787"/>
              </w:rPr>
              <w:t>Report of Independent Registered Public Accountng Firm</w:t>
            </w:r>
          </w:p>
        </w:tc>
        <w:tc>
          <w:tcPr>
            <w:tcW w:w="180" w:type="dxa"/>
            <w:vAlign w:val="bottom"/>
            <w:gridSpan w:val="2"/>
            <w:shd w:val="clear" w:color="auto" w:fill="E6ECFF"/>
          </w:tcPr>
          <w:p>
            <w:pPr>
              <w:jc w:val="right"/>
              <w:spacing w:after="0" w:line="167" w:lineRule="exact"/>
              <w:rPr>
                <w:sz w:val="20"/>
                <w:szCs w:val="20"/>
                <w:color w:val="auto"/>
              </w:rPr>
            </w:pPr>
            <w:r>
              <w:rPr>
                <w:rFonts w:ascii="Calibri" w:cs="Calibri" w:eastAsia="Calibri" w:hAnsi="Calibri"/>
                <w:sz w:val="17"/>
                <w:szCs w:val="17"/>
                <w:color w:val="1C4787"/>
                <w:w w:val="92"/>
              </w:rPr>
              <w:t>75</w:t>
            </w:r>
          </w:p>
        </w:tc>
      </w:tr>
      <w:tr>
        <w:trPr>
          <w:trHeight w:val="103"/>
        </w:trPr>
        <w:tc>
          <w:tcPr>
            <w:tcW w:w="11060" w:type="dxa"/>
            <w:vAlign w:val="bottom"/>
            <w:tcBorders>
              <w:top w:val="single" w:sz="8" w:color="E6ECFF"/>
            </w:tcBorders>
          </w:tcPr>
          <w:p>
            <w:pPr>
              <w:spacing w:after="0"/>
              <w:rPr>
                <w:sz w:val="8"/>
                <w:szCs w:val="8"/>
                <w:color w:val="auto"/>
              </w:rPr>
            </w:pPr>
          </w:p>
        </w:tc>
        <w:tc>
          <w:tcPr>
            <w:tcW w:w="160" w:type="dxa"/>
            <w:vAlign w:val="bottom"/>
            <w:tcBorders>
              <w:top w:val="single" w:sz="8" w:color="1C4787"/>
            </w:tcBorders>
          </w:tcPr>
          <w:p>
            <w:pPr>
              <w:spacing w:after="0"/>
              <w:rPr>
                <w:sz w:val="8"/>
                <w:szCs w:val="8"/>
                <w:color w:val="auto"/>
              </w:rPr>
            </w:pPr>
          </w:p>
        </w:tc>
        <w:tc>
          <w:tcPr>
            <w:tcW w:w="20" w:type="dxa"/>
            <w:vAlign w:val="bottom"/>
            <w:tcBorders>
              <w:top w:val="single" w:sz="8" w:color="E6ECFF"/>
            </w:tcBorders>
          </w:tcPr>
          <w:p>
            <w:pPr>
              <w:spacing w:after="0"/>
              <w:rPr>
                <w:sz w:val="8"/>
                <w:szCs w:val="8"/>
                <w:color w:val="auto"/>
              </w:rPr>
            </w:pPr>
          </w:p>
        </w:tc>
      </w:tr>
      <w:tr>
        <w:trPr>
          <w:trHeight w:val="199"/>
        </w:trPr>
        <w:tc>
          <w:tcPr>
            <w:tcW w:w="11060" w:type="dxa"/>
            <w:vAlign w:val="bottom"/>
            <w:shd w:val="clear" w:color="auto" w:fill="E6ECFF"/>
          </w:tcPr>
          <w:p>
            <w:pPr>
              <w:ind w:left="20"/>
              <w:spacing w:after="0" w:line="167" w:lineRule="exact"/>
              <w:rPr>
                <w:sz w:val="20"/>
                <w:szCs w:val="20"/>
                <w:color w:val="auto"/>
              </w:rPr>
            </w:pPr>
            <w:r>
              <w:rPr>
                <w:rFonts w:ascii="Calibri" w:cs="Calibri" w:eastAsia="Calibri" w:hAnsi="Calibri"/>
                <w:sz w:val="17"/>
                <w:szCs w:val="17"/>
                <w:color w:val="1C4787"/>
              </w:rPr>
              <w:t>Consolidated Balance Sheets</w:t>
            </w:r>
          </w:p>
        </w:tc>
        <w:tc>
          <w:tcPr>
            <w:tcW w:w="180" w:type="dxa"/>
            <w:vAlign w:val="bottom"/>
            <w:gridSpan w:val="2"/>
            <w:shd w:val="clear" w:color="auto" w:fill="E6ECFF"/>
          </w:tcPr>
          <w:p>
            <w:pPr>
              <w:jc w:val="right"/>
              <w:spacing w:after="0" w:line="167" w:lineRule="exact"/>
              <w:rPr>
                <w:sz w:val="20"/>
                <w:szCs w:val="20"/>
                <w:color w:val="auto"/>
              </w:rPr>
            </w:pPr>
            <w:r>
              <w:rPr>
                <w:rFonts w:ascii="Calibri" w:cs="Calibri" w:eastAsia="Calibri" w:hAnsi="Calibri"/>
                <w:sz w:val="17"/>
                <w:szCs w:val="17"/>
                <w:color w:val="1C4787"/>
                <w:w w:val="92"/>
              </w:rPr>
              <w:t>77</w:t>
            </w:r>
          </w:p>
        </w:tc>
      </w:tr>
      <w:tr>
        <w:trPr>
          <w:trHeight w:val="103"/>
        </w:trPr>
        <w:tc>
          <w:tcPr>
            <w:tcW w:w="11060" w:type="dxa"/>
            <w:vAlign w:val="bottom"/>
            <w:tcBorders>
              <w:top w:val="single" w:sz="8" w:color="E6ECFF"/>
            </w:tcBorders>
          </w:tcPr>
          <w:p>
            <w:pPr>
              <w:spacing w:after="0"/>
              <w:rPr>
                <w:sz w:val="8"/>
                <w:szCs w:val="8"/>
                <w:color w:val="auto"/>
              </w:rPr>
            </w:pPr>
          </w:p>
        </w:tc>
        <w:tc>
          <w:tcPr>
            <w:tcW w:w="160" w:type="dxa"/>
            <w:vAlign w:val="bottom"/>
            <w:tcBorders>
              <w:top w:val="single" w:sz="8" w:color="1C4787"/>
            </w:tcBorders>
          </w:tcPr>
          <w:p>
            <w:pPr>
              <w:spacing w:after="0"/>
              <w:rPr>
                <w:sz w:val="8"/>
                <w:szCs w:val="8"/>
                <w:color w:val="auto"/>
              </w:rPr>
            </w:pPr>
          </w:p>
        </w:tc>
        <w:tc>
          <w:tcPr>
            <w:tcW w:w="20" w:type="dxa"/>
            <w:vAlign w:val="bottom"/>
            <w:tcBorders>
              <w:top w:val="single" w:sz="8" w:color="E6ECFF"/>
            </w:tcBorders>
          </w:tcPr>
          <w:p>
            <w:pPr>
              <w:spacing w:after="0"/>
              <w:rPr>
                <w:sz w:val="8"/>
                <w:szCs w:val="8"/>
                <w:color w:val="auto"/>
              </w:rPr>
            </w:pPr>
          </w:p>
        </w:tc>
      </w:tr>
      <w:tr>
        <w:trPr>
          <w:trHeight w:val="199"/>
        </w:trPr>
        <w:tc>
          <w:tcPr>
            <w:tcW w:w="11060" w:type="dxa"/>
            <w:vAlign w:val="bottom"/>
            <w:shd w:val="clear" w:color="auto" w:fill="E6ECFF"/>
          </w:tcPr>
          <w:p>
            <w:pPr>
              <w:ind w:left="20"/>
              <w:spacing w:after="0" w:line="167" w:lineRule="exact"/>
              <w:rPr>
                <w:sz w:val="20"/>
                <w:szCs w:val="20"/>
                <w:color w:val="auto"/>
              </w:rPr>
            </w:pPr>
            <w:r>
              <w:rPr>
                <w:rFonts w:ascii="Calibri" w:cs="Calibri" w:eastAsia="Calibri" w:hAnsi="Calibri"/>
                <w:sz w:val="17"/>
                <w:szCs w:val="17"/>
                <w:color w:val="1C4787"/>
              </w:rPr>
              <w:t>Consolidated Statements of Operatons and Comprehensive Income (Loss)</w:t>
            </w:r>
          </w:p>
        </w:tc>
        <w:tc>
          <w:tcPr>
            <w:tcW w:w="180" w:type="dxa"/>
            <w:vAlign w:val="bottom"/>
            <w:gridSpan w:val="2"/>
            <w:shd w:val="clear" w:color="auto" w:fill="E6ECFF"/>
          </w:tcPr>
          <w:p>
            <w:pPr>
              <w:jc w:val="right"/>
              <w:spacing w:after="0" w:line="167" w:lineRule="exact"/>
              <w:rPr>
                <w:sz w:val="20"/>
                <w:szCs w:val="20"/>
                <w:color w:val="auto"/>
              </w:rPr>
            </w:pPr>
            <w:r>
              <w:rPr>
                <w:rFonts w:ascii="Calibri" w:cs="Calibri" w:eastAsia="Calibri" w:hAnsi="Calibri"/>
                <w:sz w:val="17"/>
                <w:szCs w:val="17"/>
                <w:color w:val="1C4787"/>
                <w:w w:val="92"/>
              </w:rPr>
              <w:t>78</w:t>
            </w:r>
          </w:p>
        </w:tc>
      </w:tr>
      <w:tr>
        <w:trPr>
          <w:trHeight w:val="103"/>
        </w:trPr>
        <w:tc>
          <w:tcPr>
            <w:tcW w:w="11060" w:type="dxa"/>
            <w:vAlign w:val="bottom"/>
            <w:tcBorders>
              <w:top w:val="single" w:sz="8" w:color="E6ECFF"/>
            </w:tcBorders>
          </w:tcPr>
          <w:p>
            <w:pPr>
              <w:spacing w:after="0"/>
              <w:rPr>
                <w:sz w:val="8"/>
                <w:szCs w:val="8"/>
                <w:color w:val="auto"/>
              </w:rPr>
            </w:pPr>
          </w:p>
        </w:tc>
        <w:tc>
          <w:tcPr>
            <w:tcW w:w="160" w:type="dxa"/>
            <w:vAlign w:val="bottom"/>
            <w:tcBorders>
              <w:top w:val="single" w:sz="8" w:color="1C4787"/>
            </w:tcBorders>
          </w:tcPr>
          <w:p>
            <w:pPr>
              <w:spacing w:after="0"/>
              <w:rPr>
                <w:sz w:val="8"/>
                <w:szCs w:val="8"/>
                <w:color w:val="auto"/>
              </w:rPr>
            </w:pPr>
          </w:p>
        </w:tc>
        <w:tc>
          <w:tcPr>
            <w:tcW w:w="20" w:type="dxa"/>
            <w:vAlign w:val="bottom"/>
            <w:tcBorders>
              <w:top w:val="single" w:sz="8" w:color="E6ECFF"/>
            </w:tcBorders>
          </w:tcPr>
          <w:p>
            <w:pPr>
              <w:spacing w:after="0"/>
              <w:rPr>
                <w:sz w:val="8"/>
                <w:szCs w:val="8"/>
                <w:color w:val="auto"/>
              </w:rPr>
            </w:pPr>
          </w:p>
        </w:tc>
      </w:tr>
      <w:tr>
        <w:trPr>
          <w:trHeight w:val="199"/>
        </w:trPr>
        <w:tc>
          <w:tcPr>
            <w:tcW w:w="11060" w:type="dxa"/>
            <w:vAlign w:val="bottom"/>
            <w:shd w:val="clear" w:color="auto" w:fill="E6ECFF"/>
          </w:tcPr>
          <w:p>
            <w:pPr>
              <w:ind w:left="20"/>
              <w:spacing w:after="0" w:line="167" w:lineRule="exact"/>
              <w:rPr>
                <w:sz w:val="20"/>
                <w:szCs w:val="20"/>
                <w:color w:val="auto"/>
              </w:rPr>
            </w:pPr>
            <w:r>
              <w:rPr>
                <w:rFonts w:ascii="Calibri" w:cs="Calibri" w:eastAsia="Calibri" w:hAnsi="Calibri"/>
                <w:sz w:val="17"/>
                <w:szCs w:val="17"/>
                <w:color w:val="1C4787"/>
              </w:rPr>
              <w:t>Consolidated Statements of Stockholders' Equity</w:t>
            </w:r>
          </w:p>
        </w:tc>
        <w:tc>
          <w:tcPr>
            <w:tcW w:w="180" w:type="dxa"/>
            <w:vAlign w:val="bottom"/>
            <w:gridSpan w:val="2"/>
            <w:shd w:val="clear" w:color="auto" w:fill="E6ECFF"/>
          </w:tcPr>
          <w:p>
            <w:pPr>
              <w:jc w:val="right"/>
              <w:spacing w:after="0" w:line="167" w:lineRule="exact"/>
              <w:rPr>
                <w:sz w:val="20"/>
                <w:szCs w:val="20"/>
                <w:color w:val="auto"/>
              </w:rPr>
            </w:pPr>
            <w:r>
              <w:rPr>
                <w:rFonts w:ascii="Calibri" w:cs="Calibri" w:eastAsia="Calibri" w:hAnsi="Calibri"/>
                <w:sz w:val="17"/>
                <w:szCs w:val="17"/>
                <w:color w:val="1C4787"/>
                <w:w w:val="92"/>
              </w:rPr>
              <w:t>80</w:t>
            </w:r>
          </w:p>
        </w:tc>
      </w:tr>
      <w:tr>
        <w:trPr>
          <w:trHeight w:val="103"/>
        </w:trPr>
        <w:tc>
          <w:tcPr>
            <w:tcW w:w="11060" w:type="dxa"/>
            <w:vAlign w:val="bottom"/>
            <w:tcBorders>
              <w:top w:val="single" w:sz="8" w:color="E6ECFF"/>
            </w:tcBorders>
          </w:tcPr>
          <w:p>
            <w:pPr>
              <w:spacing w:after="0"/>
              <w:rPr>
                <w:sz w:val="8"/>
                <w:szCs w:val="8"/>
                <w:color w:val="auto"/>
              </w:rPr>
            </w:pPr>
          </w:p>
        </w:tc>
        <w:tc>
          <w:tcPr>
            <w:tcW w:w="160" w:type="dxa"/>
            <w:vAlign w:val="bottom"/>
            <w:tcBorders>
              <w:top w:val="single" w:sz="8" w:color="1C4787"/>
            </w:tcBorders>
          </w:tcPr>
          <w:p>
            <w:pPr>
              <w:spacing w:after="0"/>
              <w:rPr>
                <w:sz w:val="8"/>
                <w:szCs w:val="8"/>
                <w:color w:val="auto"/>
              </w:rPr>
            </w:pPr>
          </w:p>
        </w:tc>
        <w:tc>
          <w:tcPr>
            <w:tcW w:w="20" w:type="dxa"/>
            <w:vAlign w:val="bottom"/>
            <w:tcBorders>
              <w:top w:val="single" w:sz="8" w:color="E6ECFF"/>
            </w:tcBorders>
          </w:tcPr>
          <w:p>
            <w:pPr>
              <w:spacing w:after="0"/>
              <w:rPr>
                <w:sz w:val="8"/>
                <w:szCs w:val="8"/>
                <w:color w:val="auto"/>
              </w:rPr>
            </w:pPr>
          </w:p>
        </w:tc>
      </w:tr>
      <w:tr>
        <w:trPr>
          <w:trHeight w:val="199"/>
        </w:trPr>
        <w:tc>
          <w:tcPr>
            <w:tcW w:w="11060" w:type="dxa"/>
            <w:vAlign w:val="bottom"/>
            <w:shd w:val="clear" w:color="auto" w:fill="E6ECFF"/>
          </w:tcPr>
          <w:p>
            <w:pPr>
              <w:ind w:left="20"/>
              <w:spacing w:after="0" w:line="167" w:lineRule="exact"/>
              <w:rPr>
                <w:sz w:val="20"/>
                <w:szCs w:val="20"/>
                <w:color w:val="auto"/>
              </w:rPr>
            </w:pPr>
            <w:r>
              <w:rPr>
                <w:rFonts w:ascii="Calibri" w:cs="Calibri" w:eastAsia="Calibri" w:hAnsi="Calibri"/>
                <w:sz w:val="17"/>
                <w:szCs w:val="17"/>
                <w:color w:val="1C4787"/>
              </w:rPr>
              <w:t>Consolidated Statements of Cash Flows</w:t>
            </w:r>
          </w:p>
        </w:tc>
        <w:tc>
          <w:tcPr>
            <w:tcW w:w="180" w:type="dxa"/>
            <w:vAlign w:val="bottom"/>
            <w:gridSpan w:val="2"/>
            <w:shd w:val="clear" w:color="auto" w:fill="E6ECFF"/>
          </w:tcPr>
          <w:p>
            <w:pPr>
              <w:jc w:val="right"/>
              <w:spacing w:after="0" w:line="167" w:lineRule="exact"/>
              <w:rPr>
                <w:sz w:val="20"/>
                <w:szCs w:val="20"/>
                <w:color w:val="auto"/>
              </w:rPr>
            </w:pPr>
            <w:r>
              <w:rPr>
                <w:rFonts w:ascii="Calibri" w:cs="Calibri" w:eastAsia="Calibri" w:hAnsi="Calibri"/>
                <w:sz w:val="17"/>
                <w:szCs w:val="17"/>
                <w:color w:val="1C4787"/>
                <w:w w:val="92"/>
              </w:rPr>
              <w:t>81</w:t>
            </w:r>
          </w:p>
        </w:tc>
      </w:tr>
      <w:tr>
        <w:trPr>
          <w:trHeight w:val="103"/>
        </w:trPr>
        <w:tc>
          <w:tcPr>
            <w:tcW w:w="11060" w:type="dxa"/>
            <w:vAlign w:val="bottom"/>
            <w:tcBorders>
              <w:top w:val="single" w:sz="8" w:color="E6ECFF"/>
            </w:tcBorders>
          </w:tcPr>
          <w:p>
            <w:pPr>
              <w:spacing w:after="0"/>
              <w:rPr>
                <w:sz w:val="8"/>
                <w:szCs w:val="8"/>
                <w:color w:val="auto"/>
              </w:rPr>
            </w:pPr>
          </w:p>
        </w:tc>
        <w:tc>
          <w:tcPr>
            <w:tcW w:w="160" w:type="dxa"/>
            <w:vAlign w:val="bottom"/>
            <w:tcBorders>
              <w:top w:val="single" w:sz="8" w:color="1C4787"/>
            </w:tcBorders>
          </w:tcPr>
          <w:p>
            <w:pPr>
              <w:spacing w:after="0"/>
              <w:rPr>
                <w:sz w:val="8"/>
                <w:szCs w:val="8"/>
                <w:color w:val="auto"/>
              </w:rPr>
            </w:pPr>
          </w:p>
        </w:tc>
        <w:tc>
          <w:tcPr>
            <w:tcW w:w="20" w:type="dxa"/>
            <w:vAlign w:val="bottom"/>
            <w:tcBorders>
              <w:top w:val="single" w:sz="8" w:color="E6ECFF"/>
            </w:tcBorders>
          </w:tcPr>
          <w:p>
            <w:pPr>
              <w:spacing w:after="0"/>
              <w:rPr>
                <w:sz w:val="8"/>
                <w:szCs w:val="8"/>
                <w:color w:val="auto"/>
              </w:rPr>
            </w:pPr>
          </w:p>
        </w:tc>
      </w:tr>
      <w:tr>
        <w:trPr>
          <w:trHeight w:val="199"/>
        </w:trPr>
        <w:tc>
          <w:tcPr>
            <w:tcW w:w="11060" w:type="dxa"/>
            <w:vAlign w:val="bottom"/>
            <w:shd w:val="clear" w:color="auto" w:fill="E6ECFF"/>
          </w:tcPr>
          <w:p>
            <w:pPr>
              <w:ind w:left="20"/>
              <w:spacing w:after="0" w:line="167" w:lineRule="exact"/>
              <w:rPr>
                <w:sz w:val="20"/>
                <w:szCs w:val="20"/>
                <w:color w:val="auto"/>
              </w:rPr>
            </w:pPr>
            <w:r>
              <w:rPr>
                <w:rFonts w:ascii="Calibri" w:cs="Calibri" w:eastAsia="Calibri" w:hAnsi="Calibri"/>
                <w:sz w:val="17"/>
                <w:szCs w:val="17"/>
                <w:color w:val="1C4787"/>
              </w:rPr>
              <w:t>Notes to Consolidated Financial Statements</w:t>
            </w:r>
          </w:p>
        </w:tc>
        <w:tc>
          <w:tcPr>
            <w:tcW w:w="180" w:type="dxa"/>
            <w:vAlign w:val="bottom"/>
            <w:gridSpan w:val="2"/>
            <w:shd w:val="clear" w:color="auto" w:fill="E6ECFF"/>
          </w:tcPr>
          <w:p>
            <w:pPr>
              <w:jc w:val="right"/>
              <w:spacing w:after="0" w:line="167" w:lineRule="exact"/>
              <w:rPr>
                <w:sz w:val="20"/>
                <w:szCs w:val="20"/>
                <w:color w:val="auto"/>
              </w:rPr>
            </w:pPr>
            <w:r>
              <w:rPr>
                <w:rFonts w:ascii="Calibri" w:cs="Calibri" w:eastAsia="Calibri" w:hAnsi="Calibri"/>
                <w:sz w:val="17"/>
                <w:szCs w:val="17"/>
                <w:color w:val="1C4787"/>
                <w:w w:val="92"/>
              </w:rPr>
              <w:t>83</w:t>
            </w:r>
          </w:p>
        </w:tc>
      </w:tr>
      <w:tr>
        <w:trPr>
          <w:trHeight w:val="1733"/>
        </w:trPr>
        <w:tc>
          <w:tcPr>
            <w:tcW w:w="11060" w:type="dxa"/>
            <w:vAlign w:val="bottom"/>
            <w:tcBorders>
              <w:top w:val="single" w:sz="8" w:color="E6ECFF"/>
              <w:bottom w:val="single" w:sz="8" w:color="9A9A9A"/>
            </w:tcBorders>
          </w:tcPr>
          <w:p>
            <w:pPr>
              <w:spacing w:after="0"/>
              <w:rPr>
                <w:sz w:val="24"/>
                <w:szCs w:val="24"/>
                <w:color w:val="auto"/>
              </w:rPr>
            </w:pPr>
          </w:p>
        </w:tc>
        <w:tc>
          <w:tcPr>
            <w:tcW w:w="160" w:type="dxa"/>
            <w:vAlign w:val="bottom"/>
            <w:tcBorders>
              <w:top w:val="single" w:sz="8" w:color="1C4787"/>
              <w:bottom w:val="single" w:sz="8" w:color="9A9A9A"/>
            </w:tcBorders>
          </w:tcPr>
          <w:p>
            <w:pPr>
              <w:spacing w:after="0"/>
              <w:rPr>
                <w:sz w:val="24"/>
                <w:szCs w:val="24"/>
                <w:color w:val="auto"/>
              </w:rPr>
            </w:pPr>
          </w:p>
        </w:tc>
        <w:tc>
          <w:tcPr>
            <w:tcW w:w="20" w:type="dxa"/>
            <w:vAlign w:val="bottom"/>
            <w:tcBorders>
              <w:top w:val="single" w:sz="8" w:color="E6EC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-752475</wp:posOffset>
            </wp:positionV>
            <wp:extent cx="458470" cy="5073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75" w:name="page76"/>
    <w:bookmarkEnd w:id="75"/>
    <w:p>
      <w:pPr>
        <w:jc w:val="center"/>
        <w:spacing w:after="0"/>
        <w:rPr>
          <w:sz w:val="20"/>
          <w:szCs w:val="20"/>
          <w:color w:val="auto"/>
        </w:rPr>
      </w:pPr>
      <w:r>
        <w:rPr>
          <w:rFonts w:ascii="Calibri" w:cs="Calibri" w:eastAsia="Calibri" w:hAnsi="Calibri"/>
          <w:sz w:val="19"/>
          <w:szCs w:val="19"/>
          <w:b w:val="1"/>
          <w:bCs w:val="1"/>
          <w:color w:val="1C4787"/>
        </w:rPr>
        <w:t>REPORT OF INDEPENDENT REGISTERED PUBLIC ACCOUNTING FIRM</w:t>
      </w:r>
    </w:p>
    <w:p>
      <w:pPr>
        <w:jc w:val="right"/>
        <w:spacing w:after="0" w:line="233" w:lineRule="auto"/>
        <w:rPr>
          <w:sz w:val="20"/>
          <w:szCs w:val="20"/>
          <w:color w:val="auto"/>
        </w:rPr>
      </w:pPr>
      <w:r>
        <w:rPr>
          <w:rFonts w:ascii="Calibri" w:cs="Calibri" w:eastAsia="Calibri" w:hAnsi="Calibri"/>
          <w:sz w:val="17"/>
          <w:szCs w:val="17"/>
          <w:color w:val="auto"/>
        </w:rPr>
        <w:t>74</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alibri" w:cs="Calibri" w:eastAsia="Calibri" w:hAnsi="Calibri"/>
          <w:sz w:val="17"/>
          <w:szCs w:val="17"/>
          <w:color w:val="auto"/>
        </w:rPr>
        <w:t>To the shareholders and the Board of Directors of ARMOUR Residental REIT, Inc.</w:t>
      </w:r>
    </w:p>
    <w:p>
      <w:pPr>
        <w:spacing w:after="0" w:line="1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Opinion on the Financial Statements</w:t>
      </w:r>
    </w:p>
    <w:p>
      <w:pPr>
        <w:spacing w:after="0" w:line="162" w:lineRule="exact"/>
        <w:rPr>
          <w:sz w:val="20"/>
          <w:szCs w:val="20"/>
          <w:color w:val="auto"/>
        </w:rPr>
      </w:pPr>
    </w:p>
    <w:p>
      <w:pPr>
        <w:spacing w:after="0"/>
        <w:rPr>
          <w:sz w:val="20"/>
          <w:szCs w:val="20"/>
          <w:color w:val="auto"/>
        </w:rPr>
      </w:pPr>
      <w:r>
        <w:rPr>
          <w:rFonts w:ascii="Calibri" w:cs="Calibri" w:eastAsia="Calibri" w:hAnsi="Calibri"/>
          <w:sz w:val="16"/>
          <w:szCs w:val="16"/>
          <w:color w:val="auto"/>
        </w:rPr>
        <w:t>We have audited the accompanying consolidated balance sheets of ARMOUR Residental REIT, Inc. (the "Company") as of December 31, 2023 and 2022, the related</w:t>
      </w:r>
    </w:p>
    <w:p>
      <w:pPr>
        <w:ind w:right="40"/>
        <w:spacing w:after="0" w:line="183" w:lineRule="auto"/>
        <w:rPr>
          <w:sz w:val="20"/>
          <w:szCs w:val="20"/>
          <w:color w:val="auto"/>
        </w:rPr>
      </w:pPr>
      <w:r>
        <w:rPr>
          <w:rFonts w:ascii="Calibri" w:cs="Calibri" w:eastAsia="Calibri" w:hAnsi="Calibri"/>
          <w:sz w:val="16"/>
          <w:szCs w:val="16"/>
          <w:color w:val="auto"/>
        </w:rPr>
        <w:t>consolidated statements of operatons and comprehensive income (loss), statements of stockholders’ equity, and cash fows, for each of the three years in the period ended December 31, 2023, and the related notes (collectvely referred to as the "fnancial statements"). In our opinion, the fnancial statements present fairly, in all material respects, the fnancial positon of the Company as of December 31, 2023 and 2022, and the results of its operatons and its cash fows for each of the three years in the period ended December 31, 2023, in conformity with accountng principles generally accepted in the United States of America.</w:t>
      </w:r>
    </w:p>
    <w:p>
      <w:pPr>
        <w:spacing w:after="0" w:line="170" w:lineRule="exact"/>
        <w:rPr>
          <w:sz w:val="20"/>
          <w:szCs w:val="20"/>
          <w:color w:val="auto"/>
        </w:rPr>
      </w:pPr>
    </w:p>
    <w:p>
      <w:pPr>
        <w:ind w:right="120"/>
        <w:spacing w:after="0" w:line="182" w:lineRule="auto"/>
        <w:rPr>
          <w:sz w:val="20"/>
          <w:szCs w:val="20"/>
          <w:color w:val="auto"/>
        </w:rPr>
      </w:pPr>
      <w:r>
        <w:rPr>
          <w:rFonts w:ascii="Calibri" w:cs="Calibri" w:eastAsia="Calibri" w:hAnsi="Calibri"/>
          <w:sz w:val="17"/>
          <w:szCs w:val="17"/>
          <w:color w:val="auto"/>
        </w:rPr>
        <w:t xml:space="preserve">We have also audited, in accordance with the standards of the Public Company Accountng Oversight Board (United States) (PCAOB), the Company's internal control over fnancial reportng as of December 31, 2023, based on criteria established in </w:t>
      </w:r>
      <w:r>
        <w:rPr>
          <w:rFonts w:ascii="Calibri" w:cs="Calibri" w:eastAsia="Calibri" w:hAnsi="Calibri"/>
          <w:sz w:val="17"/>
          <w:szCs w:val="17"/>
          <w:i w:val="1"/>
          <w:iCs w:val="1"/>
          <w:color w:val="auto"/>
        </w:rPr>
        <w:t>Internal Control — Integrated Framework (2013)</w:t>
      </w:r>
      <w:r>
        <w:rPr>
          <w:rFonts w:ascii="Calibri" w:cs="Calibri" w:eastAsia="Calibri" w:hAnsi="Calibri"/>
          <w:sz w:val="17"/>
          <w:szCs w:val="17"/>
          <w:color w:val="auto"/>
        </w:rPr>
        <w:t xml:space="preserve"> issued by the Commitee of Sponsoring Organizatons of the Treadway Commission and our report dated March 15, 2024, expressed an adverse opinion on the Company's internal control over fnancial reportng.</w:t>
      </w:r>
    </w:p>
    <w:p>
      <w:pPr>
        <w:spacing w:after="0" w:line="16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Basis for Opinion</w:t>
      </w:r>
    </w:p>
    <w:p>
      <w:pPr>
        <w:spacing w:after="0" w:line="169" w:lineRule="exact"/>
        <w:rPr>
          <w:sz w:val="20"/>
          <w:szCs w:val="20"/>
          <w:color w:val="auto"/>
        </w:rPr>
      </w:pPr>
    </w:p>
    <w:p>
      <w:pPr>
        <w:ind w:right="20"/>
        <w:spacing w:after="0" w:line="188" w:lineRule="auto"/>
        <w:rPr>
          <w:sz w:val="20"/>
          <w:szCs w:val="20"/>
          <w:color w:val="auto"/>
        </w:rPr>
      </w:pPr>
      <w:r>
        <w:rPr>
          <w:rFonts w:ascii="Calibri" w:cs="Calibri" w:eastAsia="Calibri" w:hAnsi="Calibri"/>
          <w:sz w:val="17"/>
          <w:szCs w:val="17"/>
          <w:color w:val="auto"/>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70" w:lineRule="exact"/>
        <w:rPr>
          <w:sz w:val="20"/>
          <w:szCs w:val="20"/>
          <w:color w:val="auto"/>
        </w:rPr>
      </w:pPr>
    </w:p>
    <w:p>
      <w:pPr>
        <w:ind w:right="140"/>
        <w:spacing w:after="0" w:line="188" w:lineRule="auto"/>
        <w:rPr>
          <w:sz w:val="20"/>
          <w:szCs w:val="20"/>
          <w:color w:val="auto"/>
        </w:rPr>
      </w:pPr>
      <w:r>
        <w:rPr>
          <w:rFonts w:ascii="Calibri" w:cs="Calibri" w:eastAsia="Calibri" w:hAnsi="Calibri"/>
          <w:sz w:val="16"/>
          <w:szCs w:val="16"/>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w:t>
      </w:r>
    </w:p>
    <w:p>
      <w:pPr>
        <w:spacing w:after="0" w:line="2" w:lineRule="exact"/>
        <w:rPr>
          <w:sz w:val="20"/>
          <w:szCs w:val="20"/>
          <w:color w:val="auto"/>
        </w:rPr>
      </w:pPr>
    </w:p>
    <w:p>
      <w:pPr>
        <w:ind w:right="20"/>
        <w:spacing w:after="0" w:line="180" w:lineRule="auto"/>
        <w:rPr>
          <w:sz w:val="20"/>
          <w:szCs w:val="20"/>
          <w:color w:val="auto"/>
        </w:rPr>
      </w:pPr>
      <w:r>
        <w:rPr>
          <w:rFonts w:ascii="Calibri" w:cs="Calibri" w:eastAsia="Calibri" w:hAnsi="Calibri"/>
          <w:sz w:val="17"/>
          <w:szCs w:val="17"/>
          <w:color w:val="auto"/>
        </w:rPr>
        <w:t>accountng principles used and signifcant estmates made by management, as well as evaluatng the overall presentaton of the fnancial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Critcal Audit Maters</w:t>
      </w:r>
    </w:p>
    <w:p>
      <w:pPr>
        <w:spacing w:after="0" w:line="169" w:lineRule="exact"/>
        <w:rPr>
          <w:sz w:val="20"/>
          <w:szCs w:val="20"/>
          <w:color w:val="auto"/>
        </w:rPr>
      </w:pPr>
    </w:p>
    <w:p>
      <w:pPr>
        <w:jc w:val="both"/>
        <w:ind w:right="120"/>
        <w:spacing w:after="0" w:line="188" w:lineRule="auto"/>
        <w:rPr>
          <w:sz w:val="20"/>
          <w:szCs w:val="20"/>
          <w:color w:val="auto"/>
        </w:rPr>
      </w:pPr>
      <w:r>
        <w:rPr>
          <w:rFonts w:ascii="Calibri" w:cs="Calibri" w:eastAsia="Calibri" w:hAnsi="Calibri"/>
          <w:sz w:val="17"/>
          <w:szCs w:val="17"/>
          <w:color w:val="auto"/>
        </w:rPr>
        <w:t>Critcal audit maters are maters arising from the current-period audit of the fnancial statements that were communicated or required to be communicated to the audit commitee and that (1) relate to accounts or disclosures that are material to the fnancial statements and (2) involved our especially challenging, subjectve, or complex judgments. We determined that there are no critcal audit maters.</w:t>
      </w:r>
    </w:p>
    <w:p>
      <w:pPr>
        <w:spacing w:after="0" w:line="193" w:lineRule="exact"/>
        <w:rPr>
          <w:sz w:val="20"/>
          <w:szCs w:val="20"/>
          <w:color w:val="auto"/>
        </w:rPr>
      </w:pPr>
    </w:p>
    <w:p>
      <w:pPr>
        <w:spacing w:after="0"/>
        <w:rPr>
          <w:sz w:val="20"/>
          <w:szCs w:val="20"/>
          <w:color w:val="auto"/>
        </w:rPr>
      </w:pPr>
      <w:r>
        <w:rPr>
          <w:rFonts w:ascii="Calibri" w:cs="Calibri" w:eastAsia="Calibri" w:hAnsi="Calibri"/>
          <w:sz w:val="17"/>
          <w:szCs w:val="17"/>
          <w:color w:val="auto"/>
        </w:rPr>
        <w:t>/s/ Deloite &amp; Touche LLP</w:t>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Miami, Florida</w:t>
      </w:r>
    </w:p>
    <w:p>
      <w:pPr>
        <w:spacing w:after="0" w:line="238" w:lineRule="auto"/>
        <w:rPr>
          <w:sz w:val="20"/>
          <w:szCs w:val="20"/>
          <w:color w:val="auto"/>
        </w:rPr>
      </w:pPr>
      <w:r>
        <w:rPr>
          <w:rFonts w:ascii="Calibri" w:cs="Calibri" w:eastAsia="Calibri" w:hAnsi="Calibri"/>
          <w:sz w:val="17"/>
          <w:szCs w:val="17"/>
          <w:color w:val="auto"/>
        </w:rPr>
        <w:t>March 15, 2024</w:t>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We have served as the Company’s auditor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1049655</wp:posOffset>
            </wp:positionV>
            <wp:extent cx="716407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325120</wp:posOffset>
            </wp:positionV>
            <wp:extent cx="458470" cy="5073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76" w:name="page77"/>
    <w:bookmarkEnd w:id="76"/>
    <w:p>
      <w:pPr>
        <w:jc w:val="center"/>
        <w:spacing w:after="0"/>
        <w:rPr>
          <w:sz w:val="20"/>
          <w:szCs w:val="20"/>
          <w:color w:val="auto"/>
        </w:rPr>
      </w:pPr>
      <w:r>
        <w:rPr>
          <w:rFonts w:ascii="Calibri" w:cs="Calibri" w:eastAsia="Calibri" w:hAnsi="Calibri"/>
          <w:sz w:val="19"/>
          <w:szCs w:val="19"/>
          <w:b w:val="1"/>
          <w:bCs w:val="1"/>
          <w:color w:val="1C4787"/>
        </w:rPr>
        <w:t>REPORT OF INDEPENDENT REGISTERED PUBLIC ACCOUNTING FIRM</w:t>
      </w:r>
    </w:p>
    <w:p>
      <w:pPr>
        <w:jc w:val="right"/>
        <w:spacing w:after="0" w:line="233" w:lineRule="auto"/>
        <w:rPr>
          <w:sz w:val="20"/>
          <w:szCs w:val="20"/>
          <w:color w:val="auto"/>
        </w:rPr>
      </w:pPr>
      <w:r>
        <w:rPr>
          <w:rFonts w:ascii="Calibri" w:cs="Calibri" w:eastAsia="Calibri" w:hAnsi="Calibri"/>
          <w:sz w:val="17"/>
          <w:szCs w:val="17"/>
          <w:color w:val="1C4787"/>
        </w:rPr>
        <w:t>75</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alibri" w:cs="Calibri" w:eastAsia="Calibri" w:hAnsi="Calibri"/>
          <w:sz w:val="17"/>
          <w:szCs w:val="17"/>
          <w:color w:val="auto"/>
        </w:rPr>
        <w:t>To the shareholders and the Board of Directors of ARMOUR Residental REIT, Inc.</w:t>
      </w:r>
    </w:p>
    <w:p>
      <w:pPr>
        <w:spacing w:after="0" w:line="21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Opinion on Internal Control over Financial Reportng</w:t>
      </w:r>
    </w:p>
    <w:p>
      <w:pPr>
        <w:spacing w:after="0" w:line="221" w:lineRule="exact"/>
        <w:rPr>
          <w:sz w:val="20"/>
          <w:szCs w:val="20"/>
          <w:color w:val="auto"/>
        </w:rPr>
      </w:pPr>
    </w:p>
    <w:p>
      <w:pPr>
        <w:ind w:right="300"/>
        <w:spacing w:after="0" w:line="226" w:lineRule="auto"/>
        <w:rPr>
          <w:sz w:val="20"/>
          <w:szCs w:val="20"/>
          <w:color w:val="auto"/>
        </w:rPr>
      </w:pPr>
      <w:r>
        <w:rPr>
          <w:rFonts w:ascii="Calibri" w:cs="Calibri" w:eastAsia="Calibri" w:hAnsi="Calibri"/>
          <w:sz w:val="17"/>
          <w:szCs w:val="17"/>
          <w:color w:val="auto"/>
        </w:rPr>
        <w:t xml:space="preserve">We have audited the internal control over fnancial reportng of ARMOUR Residental REIT, Inc. (the “Company”) as of December 31, 2023, based on criteria established in </w:t>
      </w:r>
      <w:r>
        <w:rPr>
          <w:rFonts w:ascii="Calibri" w:cs="Calibri" w:eastAsia="Calibri" w:hAnsi="Calibri"/>
          <w:sz w:val="17"/>
          <w:szCs w:val="17"/>
          <w:i w:val="1"/>
          <w:iCs w:val="1"/>
          <w:color w:val="auto"/>
        </w:rPr>
        <w:t>Internal Control — Integrated Framework (2013)</w:t>
      </w:r>
      <w:r>
        <w:rPr>
          <w:rFonts w:ascii="Calibri" w:cs="Calibri" w:eastAsia="Calibri" w:hAnsi="Calibri"/>
          <w:sz w:val="17"/>
          <w:szCs w:val="17"/>
          <w:color w:val="auto"/>
        </w:rPr>
        <w:t xml:space="preserve"> issued by the Commitee of Sponsoring Organizatons of the Treadway Commission (COSO). In our opinion, because of the efect of the material weaknesses identfed below on the achievement of the objectves of the control criteria, the Company has not maintained efectve internal control over fnancial reportng as of December 31, 2023, based on criteria established in </w:t>
      </w:r>
      <w:r>
        <w:rPr>
          <w:rFonts w:ascii="Calibri" w:cs="Calibri" w:eastAsia="Calibri" w:hAnsi="Calibri"/>
          <w:sz w:val="17"/>
          <w:szCs w:val="17"/>
          <w:i w:val="1"/>
          <w:iCs w:val="1"/>
          <w:color w:val="auto"/>
        </w:rPr>
        <w:t>Internal Control — Integrated Framework</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 xml:space="preserve">(2013) </w:t>
      </w:r>
      <w:r>
        <w:rPr>
          <w:rFonts w:ascii="Calibri" w:cs="Calibri" w:eastAsia="Calibri" w:hAnsi="Calibri"/>
          <w:sz w:val="17"/>
          <w:szCs w:val="17"/>
          <w:color w:val="auto"/>
        </w:rPr>
        <w:t>issued by COSO.</w:t>
      </w:r>
    </w:p>
    <w:p>
      <w:pPr>
        <w:spacing w:after="0" w:line="222" w:lineRule="exact"/>
        <w:rPr>
          <w:sz w:val="20"/>
          <w:szCs w:val="20"/>
          <w:color w:val="auto"/>
        </w:rPr>
      </w:pPr>
    </w:p>
    <w:p>
      <w:pPr>
        <w:jc w:val="both"/>
        <w:ind w:right="460"/>
        <w:spacing w:after="0" w:line="228" w:lineRule="auto"/>
        <w:rPr>
          <w:sz w:val="20"/>
          <w:szCs w:val="20"/>
          <w:color w:val="auto"/>
        </w:rPr>
      </w:pPr>
      <w:r>
        <w:rPr>
          <w:rFonts w:ascii="Calibri" w:cs="Calibri" w:eastAsia="Calibri" w:hAnsi="Calibri"/>
          <w:sz w:val="17"/>
          <w:szCs w:val="17"/>
          <w:color w:val="auto"/>
        </w:rPr>
        <w:t>We have also audited, in accordance with the standards of the Public Company Accountng Oversight Board (United States) (PCAOB), the consolidated fnancial statements as of and for the year ended December 31, 2023, of the Company and our report dated March 15, 2024, expressed an unqualifed opinion on those fnancial statements.</w:t>
      </w:r>
    </w:p>
    <w:p>
      <w:pPr>
        <w:spacing w:after="0" w:line="21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Basis for Opinion</w:t>
      </w:r>
    </w:p>
    <w:p>
      <w:pPr>
        <w:spacing w:after="0" w:line="208" w:lineRule="exact"/>
        <w:rPr>
          <w:sz w:val="20"/>
          <w:szCs w:val="20"/>
          <w:color w:val="auto"/>
        </w:rPr>
      </w:pPr>
    </w:p>
    <w:p>
      <w:pPr>
        <w:spacing w:after="0" w:line="226" w:lineRule="auto"/>
        <w:rPr>
          <w:sz w:val="20"/>
          <w:szCs w:val="20"/>
          <w:color w:val="auto"/>
        </w:rPr>
      </w:pPr>
      <w:r>
        <w:rPr>
          <w:rFonts w:ascii="Calibri" w:cs="Calibri" w:eastAsia="Calibri" w:hAnsi="Calibri"/>
          <w:sz w:val="17"/>
          <w:szCs w:val="17"/>
          <w:color w:val="auto"/>
        </w:rPr>
        <w:t>The Company’s management is responsible for maintaining efectve internal control over fnancial reportng and for its assessment of the efectveness of internal control over fnancial reportng, included in the accompanying Management Report on Internal Control Over Financial Reportng.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222" w:lineRule="exact"/>
        <w:rPr>
          <w:sz w:val="20"/>
          <w:szCs w:val="20"/>
          <w:color w:val="auto"/>
        </w:rPr>
      </w:pPr>
    </w:p>
    <w:p>
      <w:pPr>
        <w:ind w:right="40"/>
        <w:spacing w:after="0" w:line="226" w:lineRule="auto"/>
        <w:rPr>
          <w:sz w:val="20"/>
          <w:szCs w:val="20"/>
          <w:color w:val="auto"/>
        </w:rPr>
      </w:pPr>
      <w:r>
        <w:rPr>
          <w:rFonts w:ascii="Calibri" w:cs="Calibri" w:eastAsia="Calibri" w:hAnsi="Calibri"/>
          <w:sz w:val="17"/>
          <w:szCs w:val="17"/>
          <w:color w:val="auto"/>
        </w:rPr>
        <w:t>We conducted our audit in accordance with the standards of the PCAOB. Those standards require that we plan and perform the audit to obtain reasonable assurance about whether efectve internal control over fnancial reportng was maintained in all material respects. 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21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Defniton and Limitatons of Internal Control over Financial Reportng</w:t>
      </w:r>
    </w:p>
    <w:p>
      <w:pPr>
        <w:spacing w:after="0" w:line="221" w:lineRule="exact"/>
        <w:rPr>
          <w:sz w:val="20"/>
          <w:szCs w:val="20"/>
          <w:color w:val="auto"/>
        </w:rPr>
      </w:pPr>
    </w:p>
    <w:p>
      <w:pPr>
        <w:ind w:right="260"/>
        <w:spacing w:after="0" w:line="223" w:lineRule="auto"/>
        <w:rPr>
          <w:sz w:val="20"/>
          <w:szCs w:val="20"/>
          <w:color w:val="auto"/>
        </w:rPr>
      </w:pPr>
      <w:r>
        <w:rPr>
          <w:rFonts w:ascii="Calibri" w:cs="Calibri" w:eastAsia="Calibri" w:hAnsi="Calibri"/>
          <w:sz w:val="17"/>
          <w:szCs w:val="17"/>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223" w:lineRule="exact"/>
        <w:rPr>
          <w:sz w:val="20"/>
          <w:szCs w:val="20"/>
          <w:color w:val="auto"/>
        </w:rPr>
      </w:pPr>
    </w:p>
    <w:p>
      <w:pPr>
        <w:ind w:right="100"/>
        <w:spacing w:after="0" w:line="228" w:lineRule="auto"/>
        <w:rPr>
          <w:sz w:val="20"/>
          <w:szCs w:val="20"/>
          <w:color w:val="auto"/>
        </w:rPr>
      </w:pPr>
      <w:r>
        <w:rPr>
          <w:rFonts w:ascii="Calibri" w:cs="Calibri" w:eastAsia="Calibri" w:hAnsi="Calibri"/>
          <w:sz w:val="17"/>
          <w:szCs w:val="17"/>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1196975</wp:posOffset>
            </wp:positionV>
            <wp:extent cx="716407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473075</wp:posOffset>
            </wp:positionV>
            <wp:extent cx="458470" cy="5073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77" w:name="page78"/>
    <w:bookmarkEnd w:id="77"/>
    <w:p>
      <w:pPr>
        <w:jc w:val="center"/>
        <w:spacing w:after="0"/>
        <w:rPr>
          <w:sz w:val="20"/>
          <w:szCs w:val="20"/>
          <w:color w:val="auto"/>
        </w:rPr>
      </w:pPr>
      <w:r>
        <w:rPr>
          <w:rFonts w:ascii="Calibri" w:cs="Calibri" w:eastAsia="Calibri" w:hAnsi="Calibri"/>
          <w:sz w:val="19"/>
          <w:szCs w:val="19"/>
          <w:b w:val="1"/>
          <w:bCs w:val="1"/>
          <w:color w:val="1C4787"/>
        </w:rPr>
        <w:t>REPORT OF INDEPENDENT REGISTERED PUBLIC ACCOUNTING FIRM</w:t>
      </w:r>
    </w:p>
    <w:p>
      <w:pPr>
        <w:jc w:val="right"/>
        <w:spacing w:after="0" w:line="233" w:lineRule="auto"/>
        <w:rPr>
          <w:sz w:val="20"/>
          <w:szCs w:val="20"/>
          <w:color w:val="auto"/>
        </w:rPr>
      </w:pPr>
      <w:r>
        <w:rPr>
          <w:rFonts w:ascii="Calibri" w:cs="Calibri" w:eastAsia="Calibri" w:hAnsi="Calibri"/>
          <w:sz w:val="17"/>
          <w:szCs w:val="17"/>
          <w:color w:val="1C4787"/>
        </w:rPr>
        <w:t>76</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Material Weaknesses</w:t>
      </w:r>
    </w:p>
    <w:p>
      <w:pPr>
        <w:spacing w:after="0" w:line="221" w:lineRule="exact"/>
        <w:rPr>
          <w:sz w:val="20"/>
          <w:szCs w:val="20"/>
          <w:color w:val="auto"/>
        </w:rPr>
      </w:pPr>
    </w:p>
    <w:p>
      <w:pPr>
        <w:ind w:right="380"/>
        <w:spacing w:after="0" w:line="228" w:lineRule="auto"/>
        <w:rPr>
          <w:sz w:val="20"/>
          <w:szCs w:val="20"/>
          <w:color w:val="auto"/>
        </w:rPr>
      </w:pPr>
      <w:r>
        <w:rPr>
          <w:rFonts w:ascii="Calibri" w:cs="Calibri" w:eastAsia="Calibri" w:hAnsi="Calibri"/>
          <w:sz w:val="17"/>
          <w:szCs w:val="17"/>
          <w:color w:val="auto"/>
        </w:rPr>
        <w:t>A material weakness is a defciency, or a combinaton of defciencies, in internal control over fnancial reportng, such that there is a reasonable possibility that a material misstatement of the company’s annual or interim fnancial statements will not be prevented or detected on a tmely basis. The following material weaknesses have been identfed and included in management's assessment:</w:t>
      </w:r>
    </w:p>
    <w:p>
      <w:pPr>
        <w:spacing w:after="0" w:line="218" w:lineRule="exact"/>
        <w:rPr>
          <w:sz w:val="20"/>
          <w:szCs w:val="20"/>
          <w:color w:val="auto"/>
        </w:rPr>
      </w:pPr>
    </w:p>
    <w:p>
      <w:pPr>
        <w:spacing w:after="0"/>
        <w:rPr>
          <w:sz w:val="20"/>
          <w:szCs w:val="20"/>
          <w:color w:val="auto"/>
        </w:rPr>
      </w:pPr>
      <w:r>
        <w:rPr>
          <w:rFonts w:ascii="Calibri" w:cs="Calibri" w:eastAsia="Calibri" w:hAnsi="Calibri"/>
          <w:sz w:val="17"/>
          <w:szCs w:val="17"/>
          <w:color w:val="auto"/>
        </w:rPr>
        <w:t>Control Environment:</w:t>
      </w:r>
    </w:p>
    <w:p>
      <w:pPr>
        <w:spacing w:after="0" w:line="221" w:lineRule="exact"/>
        <w:rPr>
          <w:sz w:val="20"/>
          <w:szCs w:val="20"/>
          <w:color w:val="auto"/>
        </w:rPr>
      </w:pPr>
    </w:p>
    <w:p>
      <w:pPr>
        <w:ind w:right="20"/>
        <w:spacing w:after="0" w:line="225" w:lineRule="auto"/>
        <w:rPr>
          <w:sz w:val="20"/>
          <w:szCs w:val="20"/>
          <w:color w:val="auto"/>
        </w:rPr>
      </w:pPr>
      <w:r>
        <w:rPr>
          <w:rFonts w:ascii="Calibri" w:cs="Calibri" w:eastAsia="Calibri" w:hAnsi="Calibri"/>
          <w:sz w:val="17"/>
          <w:szCs w:val="17"/>
          <w:color w:val="auto"/>
        </w:rPr>
        <w:t>The Company did not maintain an efectve control environment based on the criteria established in the COSO framework which resulted in defciencies in principles associated with the control environment. Specifcally, these control defciencies consttute material weaknesses, either individually or in the aggregate, relatng to: (i) management’s commitment to integrity and ethical values; (ii) the board of directors demonstratng independence from management and exercising oversight of the development and performance of internal control; (iii) the establishment, with board oversight, of structures, reportng lines, and appropriate authorites and responsibilites in the pursuit of objectves; and (iv) management’s demonstraton of a commitment to atract, develop, and retain competent individuals in alignment with objectves.</w:t>
      </w:r>
    </w:p>
    <w:p>
      <w:pPr>
        <w:spacing w:after="0" w:line="210" w:lineRule="exact"/>
        <w:rPr>
          <w:sz w:val="20"/>
          <w:szCs w:val="20"/>
          <w:color w:val="auto"/>
        </w:rPr>
      </w:pPr>
    </w:p>
    <w:p>
      <w:pPr>
        <w:spacing w:after="0"/>
        <w:rPr>
          <w:sz w:val="20"/>
          <w:szCs w:val="20"/>
          <w:color w:val="auto"/>
        </w:rPr>
      </w:pPr>
      <w:r>
        <w:rPr>
          <w:rFonts w:ascii="Calibri" w:cs="Calibri" w:eastAsia="Calibri" w:hAnsi="Calibri"/>
          <w:sz w:val="17"/>
          <w:szCs w:val="17"/>
          <w:color w:val="auto"/>
        </w:rPr>
        <w:t>Risk Assessment:</w:t>
      </w:r>
    </w:p>
    <w:p>
      <w:pPr>
        <w:spacing w:after="0" w:line="221" w:lineRule="exact"/>
        <w:rPr>
          <w:sz w:val="20"/>
          <w:szCs w:val="20"/>
          <w:color w:val="auto"/>
        </w:rPr>
      </w:pPr>
    </w:p>
    <w:p>
      <w:pPr>
        <w:ind w:right="20"/>
        <w:spacing w:after="0" w:line="228" w:lineRule="auto"/>
        <w:rPr>
          <w:sz w:val="20"/>
          <w:szCs w:val="20"/>
          <w:color w:val="auto"/>
        </w:rPr>
      </w:pPr>
      <w:r>
        <w:rPr>
          <w:rFonts w:ascii="Calibri" w:cs="Calibri" w:eastAsia="Calibri" w:hAnsi="Calibri"/>
          <w:sz w:val="17"/>
          <w:szCs w:val="17"/>
          <w:color w:val="auto"/>
        </w:rPr>
        <w:t>The Company did not maintain efectve risk assessment based on the criteria established in the COSO framework which resulted in defciencies in principles associated with risk assessment. Specifcally, this control defciency consttutes a material weakness relatng to the Company’s consideraton of the potental for fraud in assessing risks to the achievement of objectves.</w:t>
      </w:r>
    </w:p>
    <w:p>
      <w:pPr>
        <w:spacing w:after="0" w:line="218" w:lineRule="exact"/>
        <w:rPr>
          <w:sz w:val="20"/>
          <w:szCs w:val="20"/>
          <w:color w:val="auto"/>
        </w:rPr>
      </w:pPr>
    </w:p>
    <w:p>
      <w:pPr>
        <w:spacing w:after="0"/>
        <w:rPr>
          <w:sz w:val="20"/>
          <w:szCs w:val="20"/>
          <w:color w:val="auto"/>
        </w:rPr>
      </w:pPr>
      <w:r>
        <w:rPr>
          <w:rFonts w:ascii="Calibri" w:cs="Calibri" w:eastAsia="Calibri" w:hAnsi="Calibri"/>
          <w:sz w:val="17"/>
          <w:szCs w:val="17"/>
          <w:color w:val="auto"/>
        </w:rPr>
        <w:t>Informaton and Communicaton:</w:t>
      </w:r>
    </w:p>
    <w:p>
      <w:pPr>
        <w:spacing w:after="0" w:line="221" w:lineRule="exact"/>
        <w:rPr>
          <w:sz w:val="20"/>
          <w:szCs w:val="20"/>
          <w:color w:val="auto"/>
        </w:rPr>
      </w:pPr>
    </w:p>
    <w:p>
      <w:pPr>
        <w:ind w:right="140"/>
        <w:spacing w:after="0" w:line="226" w:lineRule="auto"/>
        <w:rPr>
          <w:sz w:val="20"/>
          <w:szCs w:val="20"/>
          <w:color w:val="auto"/>
        </w:rPr>
      </w:pPr>
      <w:r>
        <w:rPr>
          <w:rFonts w:ascii="Calibri" w:cs="Calibri" w:eastAsia="Calibri" w:hAnsi="Calibri"/>
          <w:sz w:val="17"/>
          <w:szCs w:val="17"/>
          <w:color w:val="auto"/>
        </w:rPr>
        <w:t>The Company did not generate and provide quality informaton and communicaton based on the criteria established in the COSO framework. The Company has identfed defciencies in the principles associated with the informaton and communicaton component of the COSO framework. Specifcally, these control defciencies consttute material weaknesses, either individually or in the aggregate, relatng to: (i) internal communicaton of informaton, including objectves and responsibilites for internal control, necessary to support the functoning of internal control and (ii) communicatng with external partes regarding maters afectng the functoning of internal control.</w:t>
      </w:r>
    </w:p>
    <w:p>
      <w:pPr>
        <w:spacing w:after="0" w:line="222" w:lineRule="exact"/>
        <w:rPr>
          <w:sz w:val="20"/>
          <w:szCs w:val="20"/>
          <w:color w:val="auto"/>
        </w:rPr>
      </w:pPr>
    </w:p>
    <w:p>
      <w:pPr>
        <w:ind w:right="60"/>
        <w:spacing w:after="0" w:line="230" w:lineRule="auto"/>
        <w:rPr>
          <w:sz w:val="20"/>
          <w:szCs w:val="20"/>
          <w:color w:val="auto"/>
        </w:rPr>
      </w:pPr>
      <w:r>
        <w:rPr>
          <w:rFonts w:ascii="Calibri" w:cs="Calibri" w:eastAsia="Calibri" w:hAnsi="Calibri"/>
          <w:sz w:val="17"/>
          <w:szCs w:val="17"/>
          <w:color w:val="auto"/>
        </w:rPr>
        <w:t>These material weaknesses were considered in determining the nature, tming, and extent of audit tests applied in our audit of the consolidated fnancial statements as of and for the year ended December 31, 2023, of the Company, and this report does not afect our report on such fnancial statements.</w:t>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/s/ Deloite &amp; Touche LLP</w:t>
      </w:r>
    </w:p>
    <w:p>
      <w:pPr>
        <w:spacing w:after="0" w:line="238" w:lineRule="auto"/>
        <w:rPr>
          <w:sz w:val="20"/>
          <w:szCs w:val="20"/>
          <w:color w:val="auto"/>
        </w:rPr>
      </w:pPr>
      <w:r>
        <w:rPr>
          <w:rFonts w:ascii="Calibri" w:cs="Calibri" w:eastAsia="Calibri" w:hAnsi="Calibri"/>
          <w:sz w:val="17"/>
          <w:szCs w:val="17"/>
          <w:color w:val="auto"/>
        </w:rPr>
        <w:t>Miami, Florida</w:t>
      </w:r>
    </w:p>
    <w:p>
      <w:pPr>
        <w:spacing w:after="0"/>
        <w:rPr>
          <w:sz w:val="20"/>
          <w:szCs w:val="20"/>
          <w:color w:val="auto"/>
        </w:rPr>
      </w:pPr>
      <w:r>
        <w:rPr>
          <w:rFonts w:ascii="Calibri" w:cs="Calibri" w:eastAsia="Calibri" w:hAnsi="Calibri"/>
          <w:sz w:val="17"/>
          <w:szCs w:val="17"/>
          <w:color w:val="auto"/>
        </w:rPr>
        <w:t>March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1049020</wp:posOffset>
            </wp:positionV>
            <wp:extent cx="716407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325120</wp:posOffset>
            </wp:positionV>
            <wp:extent cx="458470" cy="5073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78" w:name="page79"/>
    <w:bookmarkEnd w:id="78"/>
    <w:p>
      <w:pPr>
        <w:jc w:val="center"/>
        <w:ind w:right="20"/>
        <w:spacing w:after="0"/>
        <w:rPr>
          <w:sz w:val="20"/>
          <w:szCs w:val="20"/>
          <w:color w:val="auto"/>
        </w:rPr>
      </w:pPr>
      <w:r>
        <w:rPr>
          <w:rFonts w:ascii="Calibri" w:cs="Calibri" w:eastAsia="Calibri" w:hAnsi="Calibri"/>
          <w:sz w:val="19"/>
          <w:szCs w:val="19"/>
          <w:b w:val="1"/>
          <w:bCs w:val="1"/>
          <w:color w:val="1C4787"/>
        </w:rPr>
        <w:t>ARMOUR Residental REIT, Inc.</w:t>
      </w:r>
    </w:p>
    <w:p>
      <w:pPr>
        <w:jc w:val="center"/>
        <w:ind w:right="20"/>
        <w:spacing w:after="0"/>
        <w:rPr>
          <w:sz w:val="20"/>
          <w:szCs w:val="20"/>
          <w:color w:val="auto"/>
        </w:rPr>
      </w:pPr>
      <w:r>
        <w:rPr>
          <w:rFonts w:ascii="Calibri" w:cs="Calibri" w:eastAsia="Calibri" w:hAnsi="Calibri"/>
          <w:sz w:val="19"/>
          <w:szCs w:val="19"/>
          <w:b w:val="1"/>
          <w:bCs w:val="1"/>
          <w:color w:val="1C4787"/>
        </w:rPr>
        <w:t>CONSOLIDATED BALANCE SHEETS</w:t>
      </w:r>
    </w:p>
    <w:p>
      <w:pPr>
        <w:spacing w:after="0" w:line="8" w:lineRule="exact"/>
        <w:rPr>
          <w:sz w:val="20"/>
          <w:szCs w:val="20"/>
          <w:color w:val="auto"/>
        </w:rPr>
      </w:pPr>
    </w:p>
    <w:p>
      <w:pPr>
        <w:ind w:left="3840"/>
        <w:spacing w:after="0"/>
        <w:rPr>
          <w:sz w:val="20"/>
          <w:szCs w:val="20"/>
          <w:color w:val="auto"/>
        </w:rPr>
      </w:pPr>
      <w:r>
        <w:rPr>
          <w:rFonts w:ascii="Calibri" w:cs="Calibri" w:eastAsia="Calibri" w:hAnsi="Calibri"/>
          <w:sz w:val="17"/>
          <w:szCs w:val="17"/>
          <w:color w:val="1C4787"/>
        </w:rPr>
        <w:t>(U.S dollar amounts in thousands,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Calibri" w:cs="Calibri" w:eastAsia="Calibri" w:hAnsi="Calibri"/>
                <w:sz w:val="17"/>
                <w:szCs w:val="17"/>
                <w:color w:val="1C4787"/>
              </w:rPr>
              <w:t>77</w:t>
            </w:r>
          </w:p>
        </w:tc>
        <w:tc>
          <w:tcPr>
            <w:tcW w:w="0" w:type="dxa"/>
            <w:vAlign w:val="bottom"/>
          </w:tcPr>
          <w:p>
            <w:pPr>
              <w:spacing w:after="0"/>
              <w:rPr>
                <w:sz w:val="1"/>
                <w:szCs w:val="1"/>
                <w:color w:val="auto"/>
              </w:rPr>
            </w:pPr>
          </w:p>
        </w:tc>
      </w:tr>
      <w:tr>
        <w:trPr>
          <w:trHeight w:val="628"/>
        </w:trPr>
        <w:tc>
          <w:tcPr>
            <w:tcW w:w="820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E6ECFF"/>
          </w:tcPr>
          <w:p>
            <w:pPr>
              <w:spacing w:after="0"/>
              <w:rPr>
                <w:sz w:val="19"/>
                <w:szCs w:val="19"/>
                <w:color w:val="auto"/>
              </w:rPr>
            </w:pPr>
          </w:p>
        </w:tc>
        <w:tc>
          <w:tcPr>
            <w:tcW w:w="1560" w:type="dxa"/>
            <w:vAlign w:val="bottom"/>
            <w:gridSpan w:val="3"/>
            <w:shd w:val="clear" w:color="auto" w:fill="E6ECFF"/>
          </w:tcPr>
          <w:p>
            <w:pPr>
              <w:ind w:left="6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460" w:type="dxa"/>
            <w:vAlign w:val="bottom"/>
            <w:gridSpan w:val="2"/>
            <w:shd w:val="clear" w:color="auto" w:fill="E6ECFF"/>
          </w:tcPr>
          <w:p>
            <w:pPr>
              <w:jc w:val="right"/>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8200" w:type="dxa"/>
            <w:vAlign w:val="bottom"/>
          </w:tcPr>
          <w:p>
            <w:pPr>
              <w:ind w:left="3820"/>
              <w:spacing w:after="0" w:line="185" w:lineRule="exact"/>
              <w:rPr>
                <w:sz w:val="20"/>
                <w:szCs w:val="20"/>
                <w:color w:val="auto"/>
              </w:rPr>
            </w:pPr>
            <w:r>
              <w:rPr>
                <w:rFonts w:ascii="Calibri" w:cs="Calibri" w:eastAsia="Calibri" w:hAnsi="Calibri"/>
                <w:sz w:val="17"/>
                <w:szCs w:val="17"/>
                <w:b w:val="1"/>
                <w:bCs w:val="1"/>
                <w:color w:val="1C4787"/>
              </w:rPr>
              <w:t>Assets</w:t>
            </w: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20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Cash and cash equivalents</w:t>
            </w:r>
          </w:p>
        </w:tc>
        <w:tc>
          <w:tcPr>
            <w:tcW w:w="360" w:type="dxa"/>
            <w:vAlign w:val="bottom"/>
            <w:shd w:val="clear" w:color="auto" w:fill="E6ECFF"/>
          </w:tcPr>
          <w:p>
            <w:pPr>
              <w:jc w:val="right"/>
              <w:ind w:right="154"/>
              <w:spacing w:after="0"/>
              <w:rPr>
                <w:sz w:val="20"/>
                <w:szCs w:val="20"/>
                <w:color w:val="auto"/>
              </w:rPr>
            </w:pPr>
            <w:r>
              <w:rPr>
                <w:rFonts w:ascii="Calibri" w:cs="Calibri" w:eastAsia="Calibri" w:hAnsi="Calibri"/>
                <w:sz w:val="17"/>
                <w:szCs w:val="17"/>
                <w:color w:val="auto"/>
              </w:rPr>
              <w:t>$</w:t>
            </w:r>
          </w:p>
        </w:tc>
        <w:tc>
          <w:tcPr>
            <w:tcW w:w="11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221,888</w:t>
            </w:r>
          </w:p>
        </w:tc>
        <w:tc>
          <w:tcPr>
            <w:tcW w:w="100" w:type="dxa"/>
            <w:vAlign w:val="bottom"/>
            <w:shd w:val="clear" w:color="auto" w:fill="E6ECFF"/>
          </w:tcPr>
          <w:p>
            <w:pPr>
              <w:spacing w:after="0"/>
              <w:rPr>
                <w:sz w:val="19"/>
                <w:szCs w:val="19"/>
                <w:color w:val="auto"/>
              </w:rPr>
            </w:pPr>
          </w:p>
        </w:tc>
        <w:tc>
          <w:tcPr>
            <w:tcW w:w="380" w:type="dxa"/>
            <w:vAlign w:val="bottom"/>
            <w:shd w:val="clear" w:color="auto" w:fill="E6ECFF"/>
          </w:tcPr>
          <w:p>
            <w:pPr>
              <w:jc w:val="right"/>
              <w:ind w:right="174"/>
              <w:spacing w:after="0"/>
              <w:rPr>
                <w:sz w:val="20"/>
                <w:szCs w:val="20"/>
                <w:color w:val="auto"/>
              </w:rPr>
            </w:pPr>
            <w:r>
              <w:rPr>
                <w:rFonts w:ascii="Calibri" w:cs="Calibri" w:eastAsia="Calibri" w:hAnsi="Calibri"/>
                <w:sz w:val="17"/>
                <w:szCs w:val="17"/>
                <w:color w:val="auto"/>
              </w:rPr>
              <w:t>$</w:t>
            </w:r>
          </w:p>
        </w:tc>
        <w:tc>
          <w:tcPr>
            <w:tcW w:w="108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87,284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200" w:type="dxa"/>
            <w:vAlign w:val="bottom"/>
          </w:tcPr>
          <w:p>
            <w:pPr>
              <w:ind w:left="20"/>
              <w:spacing w:after="0" w:line="205" w:lineRule="exact"/>
              <w:rPr>
                <w:sz w:val="20"/>
                <w:szCs w:val="20"/>
                <w:color w:val="auto"/>
              </w:rPr>
            </w:pPr>
            <w:r>
              <w:rPr>
                <w:rFonts w:ascii="Calibri" w:cs="Calibri" w:eastAsia="Calibri" w:hAnsi="Calibri"/>
                <w:sz w:val="17"/>
                <w:szCs w:val="17"/>
                <w:color w:val="auto"/>
              </w:rPr>
              <w:t>Cash collateral posted to counterpartes</w:t>
            </w:r>
          </w:p>
        </w:tc>
        <w:tc>
          <w:tcPr>
            <w:tcW w:w="36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36,970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30,806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20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Investments in securites, at fair value:</w:t>
            </w:r>
          </w:p>
        </w:tc>
        <w:tc>
          <w:tcPr>
            <w:tcW w:w="360" w:type="dxa"/>
            <w:vAlign w:val="bottom"/>
            <w:shd w:val="clear" w:color="auto" w:fill="E6ECFF"/>
          </w:tcPr>
          <w:p>
            <w:pPr>
              <w:spacing w:after="0"/>
              <w:rPr>
                <w:sz w:val="19"/>
                <w:szCs w:val="19"/>
                <w:color w:val="auto"/>
              </w:rPr>
            </w:pPr>
          </w:p>
        </w:tc>
        <w:tc>
          <w:tcPr>
            <w:tcW w:w="1100" w:type="dxa"/>
            <w:vAlign w:val="bottom"/>
            <w:shd w:val="clear" w:color="auto" w:fill="E6ECFF"/>
          </w:tcPr>
          <w:p>
            <w:pPr>
              <w:spacing w:after="0"/>
              <w:rPr>
                <w:sz w:val="19"/>
                <w:szCs w:val="19"/>
                <w:color w:val="auto"/>
              </w:rPr>
            </w:pPr>
          </w:p>
        </w:tc>
        <w:tc>
          <w:tcPr>
            <w:tcW w:w="100" w:type="dxa"/>
            <w:vAlign w:val="bottom"/>
            <w:shd w:val="clear" w:color="auto" w:fill="E6ECFF"/>
          </w:tcPr>
          <w:p>
            <w:pPr>
              <w:spacing w:after="0"/>
              <w:rPr>
                <w:sz w:val="19"/>
                <w:szCs w:val="19"/>
                <w:color w:val="auto"/>
              </w:rPr>
            </w:pPr>
          </w:p>
        </w:tc>
        <w:tc>
          <w:tcPr>
            <w:tcW w:w="380" w:type="dxa"/>
            <w:vAlign w:val="bottom"/>
            <w:shd w:val="clear" w:color="auto" w:fill="E6ECFF"/>
          </w:tcPr>
          <w:p>
            <w:pPr>
              <w:spacing w:after="0"/>
              <w:rPr>
                <w:sz w:val="19"/>
                <w:szCs w:val="19"/>
                <w:color w:val="auto"/>
              </w:rPr>
            </w:pPr>
          </w:p>
        </w:tc>
        <w:tc>
          <w:tcPr>
            <w:tcW w:w="1080" w:type="dxa"/>
            <w:vAlign w:val="bottom"/>
            <w:shd w:val="clear" w:color="auto" w:fill="E6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200" w:type="dxa"/>
            <w:vAlign w:val="bottom"/>
          </w:tcPr>
          <w:p>
            <w:pPr>
              <w:ind w:left="100"/>
              <w:spacing w:after="0" w:line="173" w:lineRule="exact"/>
              <w:rPr>
                <w:sz w:val="20"/>
                <w:szCs w:val="20"/>
                <w:color w:val="auto"/>
              </w:rPr>
            </w:pPr>
            <w:r>
              <w:rPr>
                <w:rFonts w:ascii="Calibri" w:cs="Calibri" w:eastAsia="Calibri" w:hAnsi="Calibri"/>
                <w:sz w:val="17"/>
                <w:szCs w:val="17"/>
                <w:color w:val="auto"/>
              </w:rPr>
              <w:t>Agency Securites (including pledged securites of $10,599,340 ($5,400,138 with BUCKLER) and $7,249,039</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200" w:type="dxa"/>
            <w:vAlign w:val="bottom"/>
          </w:tcPr>
          <w:p>
            <w:pPr>
              <w:ind w:left="100"/>
              <w:spacing w:after="0" w:line="205" w:lineRule="exact"/>
              <w:rPr>
                <w:sz w:val="20"/>
                <w:szCs w:val="20"/>
                <w:color w:val="auto"/>
              </w:rPr>
            </w:pPr>
            <w:r>
              <w:rPr>
                <w:rFonts w:ascii="Calibri" w:cs="Calibri" w:eastAsia="Calibri" w:hAnsi="Calibri"/>
                <w:sz w:val="17"/>
                <w:szCs w:val="17"/>
                <w:color w:val="auto"/>
              </w:rPr>
              <w:t>($3,920,706 with BUCKLER), respectvely</w:t>
            </w:r>
          </w:p>
        </w:tc>
        <w:tc>
          <w:tcPr>
            <w:tcW w:w="360" w:type="dxa"/>
            <w:vAlign w:val="bottom"/>
          </w:tcPr>
          <w:p>
            <w:pPr>
              <w:spacing w:after="0"/>
              <w:rPr>
                <w:sz w:val="17"/>
                <w:szCs w:val="17"/>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11,159,754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8,198,591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8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20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Derivatves, at fair value</w:t>
            </w:r>
          </w:p>
        </w:tc>
        <w:tc>
          <w:tcPr>
            <w:tcW w:w="36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877,412</w:t>
            </w:r>
          </w:p>
        </w:tc>
        <w:tc>
          <w:tcPr>
            <w:tcW w:w="100" w:type="dxa"/>
            <w:vAlign w:val="bottom"/>
            <w:shd w:val="clear" w:color="auto" w:fill="E6ECFF"/>
          </w:tcPr>
          <w:p>
            <w:pPr>
              <w:spacing w:after="0"/>
              <w:rPr>
                <w:sz w:val="19"/>
                <w:szCs w:val="19"/>
                <w:color w:val="auto"/>
              </w:rPr>
            </w:pPr>
          </w:p>
        </w:tc>
        <w:tc>
          <w:tcPr>
            <w:tcW w:w="380" w:type="dxa"/>
            <w:vAlign w:val="bottom"/>
            <w:shd w:val="clear" w:color="auto" w:fill="E6ECFF"/>
          </w:tcPr>
          <w:p>
            <w:pPr>
              <w:spacing w:after="0"/>
              <w:rPr>
                <w:sz w:val="19"/>
                <w:szCs w:val="19"/>
                <w:color w:val="auto"/>
              </w:rPr>
            </w:pPr>
          </w:p>
        </w:tc>
        <w:tc>
          <w:tcPr>
            <w:tcW w:w="108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984,456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200" w:type="dxa"/>
            <w:vAlign w:val="bottom"/>
          </w:tcPr>
          <w:p>
            <w:pPr>
              <w:ind w:left="20"/>
              <w:spacing w:after="0" w:line="205" w:lineRule="exact"/>
              <w:rPr>
                <w:sz w:val="20"/>
                <w:szCs w:val="20"/>
                <w:color w:val="auto"/>
              </w:rPr>
            </w:pPr>
            <w:r>
              <w:rPr>
                <w:rFonts w:ascii="Calibri" w:cs="Calibri" w:eastAsia="Calibri" w:hAnsi="Calibri"/>
                <w:sz w:val="17"/>
                <w:szCs w:val="17"/>
                <w:color w:val="auto"/>
              </w:rPr>
              <w:t>Accrued interest receivable</w:t>
            </w:r>
          </w:p>
        </w:tc>
        <w:tc>
          <w:tcPr>
            <w:tcW w:w="36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47,111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28,809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20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Prepaid and other</w:t>
            </w:r>
          </w:p>
        </w:tc>
        <w:tc>
          <w:tcPr>
            <w:tcW w:w="36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1,260</w:t>
            </w:r>
          </w:p>
        </w:tc>
        <w:tc>
          <w:tcPr>
            <w:tcW w:w="100" w:type="dxa"/>
            <w:vAlign w:val="bottom"/>
            <w:shd w:val="clear" w:color="auto" w:fill="E6ECFF"/>
          </w:tcPr>
          <w:p>
            <w:pPr>
              <w:spacing w:after="0"/>
              <w:rPr>
                <w:sz w:val="19"/>
                <w:szCs w:val="19"/>
                <w:color w:val="auto"/>
              </w:rPr>
            </w:pPr>
          </w:p>
        </w:tc>
        <w:tc>
          <w:tcPr>
            <w:tcW w:w="380" w:type="dxa"/>
            <w:vAlign w:val="bottom"/>
            <w:shd w:val="clear" w:color="auto" w:fill="E6ECFF"/>
          </w:tcPr>
          <w:p>
            <w:pPr>
              <w:spacing w:after="0"/>
              <w:rPr>
                <w:sz w:val="19"/>
                <w:szCs w:val="19"/>
                <w:color w:val="auto"/>
              </w:rPr>
            </w:pPr>
          </w:p>
        </w:tc>
        <w:tc>
          <w:tcPr>
            <w:tcW w:w="108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2,101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200" w:type="dxa"/>
            <w:vAlign w:val="bottom"/>
          </w:tcPr>
          <w:p>
            <w:pPr>
              <w:ind w:left="20"/>
              <w:spacing w:after="0" w:line="205" w:lineRule="exact"/>
              <w:rPr>
                <w:sz w:val="20"/>
                <w:szCs w:val="20"/>
                <w:color w:val="auto"/>
              </w:rPr>
            </w:pPr>
            <w:r>
              <w:rPr>
                <w:rFonts w:ascii="Calibri" w:cs="Calibri" w:eastAsia="Calibri" w:hAnsi="Calibri"/>
                <w:sz w:val="17"/>
                <w:szCs w:val="17"/>
                <w:color w:val="auto"/>
              </w:rPr>
              <w:t>Subordinated loan to BUCKLER</w:t>
            </w:r>
          </w:p>
        </w:tc>
        <w:tc>
          <w:tcPr>
            <w:tcW w:w="360" w:type="dxa"/>
            <w:vAlign w:val="bottom"/>
          </w:tcPr>
          <w:p>
            <w:pPr>
              <w:spacing w:after="0"/>
              <w:rPr>
                <w:sz w:val="18"/>
                <w:szCs w:val="18"/>
                <w:color w:val="auto"/>
              </w:rPr>
            </w:pPr>
          </w:p>
        </w:tc>
        <w:tc>
          <w:tcPr>
            <w:tcW w:w="120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105,000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200" w:type="dxa"/>
            <w:vAlign w:val="bottom"/>
            <w:tcBorders>
              <w:top w:val="single" w:sz="8" w:color="E6ECFF"/>
              <w:bottom w:val="single" w:sz="8" w:color="E6ECFF"/>
            </w:tcBorders>
            <w:shd w:val="clear" w:color="auto" w:fill="E6ECFF"/>
          </w:tcPr>
          <w:p>
            <w:pPr>
              <w:ind w:left="20"/>
              <w:spacing w:after="0"/>
              <w:rPr>
                <w:sz w:val="20"/>
                <w:szCs w:val="20"/>
                <w:color w:val="auto"/>
              </w:rPr>
            </w:pPr>
            <w:r>
              <w:rPr>
                <w:rFonts w:ascii="Calibri" w:cs="Calibri" w:eastAsia="Calibri" w:hAnsi="Calibri"/>
                <w:sz w:val="17"/>
                <w:szCs w:val="17"/>
                <w:color w:val="auto"/>
              </w:rPr>
              <w:t>Total Assets</w:t>
            </w:r>
          </w:p>
        </w:tc>
        <w:tc>
          <w:tcPr>
            <w:tcW w:w="360" w:type="dxa"/>
            <w:vAlign w:val="bottom"/>
            <w:tcBorders>
              <w:top w:val="single" w:sz="8" w:color="auto"/>
              <w:bottom w:val="single" w:sz="8" w:color="auto"/>
            </w:tcBorders>
            <w:shd w:val="clear" w:color="auto" w:fill="E6ECFF"/>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tcBorders>
              <w:top w:val="single" w:sz="8" w:color="auto"/>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12,344,395</w:t>
            </w:r>
          </w:p>
        </w:tc>
        <w:tc>
          <w:tcPr>
            <w:tcW w:w="100" w:type="dxa"/>
            <w:vAlign w:val="bottom"/>
            <w:tcBorders>
              <w:top w:val="single" w:sz="8" w:color="E6ECFF"/>
              <w:bottom w:val="single" w:sz="8" w:color="E6ECFF"/>
            </w:tcBorders>
            <w:shd w:val="clear" w:color="auto" w:fill="E6ECFF"/>
          </w:tcPr>
          <w:p>
            <w:pPr>
              <w:spacing w:after="0"/>
              <w:rPr>
                <w:sz w:val="20"/>
                <w:szCs w:val="20"/>
                <w:color w:val="auto"/>
              </w:rPr>
            </w:pPr>
          </w:p>
        </w:tc>
        <w:tc>
          <w:tcPr>
            <w:tcW w:w="380" w:type="dxa"/>
            <w:vAlign w:val="bottom"/>
            <w:tcBorders>
              <w:top w:val="single" w:sz="8" w:color="auto"/>
              <w:bottom w:val="single" w:sz="8" w:color="auto"/>
            </w:tcBorders>
            <w:shd w:val="clear" w:color="auto" w:fill="E6ECFF"/>
          </w:tcPr>
          <w:p>
            <w:pPr>
              <w:jc w:val="right"/>
              <w:ind w:right="174"/>
              <w:spacing w:after="0" w:line="205" w:lineRule="exact"/>
              <w:rPr>
                <w:sz w:val="20"/>
                <w:szCs w:val="20"/>
                <w:color w:val="auto"/>
              </w:rPr>
            </w:pPr>
            <w:r>
              <w:rPr>
                <w:rFonts w:ascii="Calibri" w:cs="Calibri" w:eastAsia="Calibri" w:hAnsi="Calibri"/>
                <w:sz w:val="17"/>
                <w:szCs w:val="17"/>
                <w:color w:val="auto"/>
              </w:rPr>
              <w:t>$</w:t>
            </w:r>
          </w:p>
        </w:tc>
        <w:tc>
          <w:tcPr>
            <w:tcW w:w="1080" w:type="dxa"/>
            <w:vAlign w:val="bottom"/>
            <w:tcBorders>
              <w:top w:val="single" w:sz="8" w:color="auto"/>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9,437,047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0" w:type="dxa"/>
            <w:vAlign w:val="bottom"/>
            <w:tcBorders>
              <w:top w:val="single" w:sz="8" w:color="E6ECFF"/>
              <w:bottom w:val="single" w:sz="8" w:color="E6ECFF"/>
            </w:tcBorders>
            <w:vMerge w:val="restart"/>
          </w:tcPr>
          <w:p>
            <w:pPr>
              <w:ind w:left="2840"/>
              <w:spacing w:after="0"/>
              <w:rPr>
                <w:sz w:val="20"/>
                <w:szCs w:val="20"/>
                <w:color w:val="auto"/>
              </w:rPr>
            </w:pPr>
            <w:r>
              <w:rPr>
                <w:rFonts w:ascii="Calibri" w:cs="Calibri" w:eastAsia="Calibri" w:hAnsi="Calibri"/>
                <w:sz w:val="17"/>
                <w:szCs w:val="17"/>
                <w:b w:val="1"/>
                <w:bCs w:val="1"/>
                <w:color w:val="1C4787"/>
              </w:rPr>
              <w:t>Liabilites and Stockholders’ Equity</w:t>
            </w:r>
          </w:p>
        </w:tc>
        <w:tc>
          <w:tcPr>
            <w:tcW w:w="360" w:type="dxa"/>
            <w:vAlign w:val="bottom"/>
            <w:tcBorders>
              <w:top w:val="single" w:sz="8" w:color="E6ECFF"/>
              <w:bottom w:val="single" w:sz="8" w:color="auto"/>
            </w:tcBorders>
          </w:tcPr>
          <w:p>
            <w:pPr>
              <w:spacing w:after="0" w:line="20" w:lineRule="exact"/>
              <w:rPr>
                <w:sz w:val="1"/>
                <w:szCs w:val="1"/>
                <w:color w:val="auto"/>
              </w:rPr>
            </w:pPr>
          </w:p>
        </w:tc>
        <w:tc>
          <w:tcPr>
            <w:tcW w:w="1100" w:type="dxa"/>
            <w:vAlign w:val="bottom"/>
            <w:tcBorders>
              <w:top w:val="single" w:sz="8" w:color="E6ECFF"/>
              <w:bottom w:val="single" w:sz="8" w:color="auto"/>
            </w:tcBorders>
          </w:tcPr>
          <w:p>
            <w:pPr>
              <w:spacing w:after="0" w:line="20" w:lineRule="exact"/>
              <w:rPr>
                <w:sz w:val="1"/>
                <w:szCs w:val="1"/>
                <w:color w:val="auto"/>
              </w:rPr>
            </w:pPr>
          </w:p>
        </w:tc>
        <w:tc>
          <w:tcPr>
            <w:tcW w:w="100" w:type="dxa"/>
            <w:vAlign w:val="bottom"/>
            <w:tcBorders>
              <w:top w:val="single" w:sz="8" w:color="E6ECFF"/>
            </w:tcBorders>
          </w:tcPr>
          <w:p>
            <w:pPr>
              <w:spacing w:after="0" w:line="20" w:lineRule="exact"/>
              <w:rPr>
                <w:sz w:val="1"/>
                <w:szCs w:val="1"/>
                <w:color w:val="auto"/>
              </w:rPr>
            </w:pPr>
          </w:p>
        </w:tc>
        <w:tc>
          <w:tcPr>
            <w:tcW w:w="380" w:type="dxa"/>
            <w:vAlign w:val="bottom"/>
            <w:tcBorders>
              <w:top w:val="single" w:sz="8" w:color="E6ECFF"/>
              <w:bottom w:val="single" w:sz="8" w:color="auto"/>
            </w:tcBorders>
          </w:tcPr>
          <w:p>
            <w:pPr>
              <w:spacing w:after="0" w:line="20" w:lineRule="exact"/>
              <w:rPr>
                <w:sz w:val="1"/>
                <w:szCs w:val="1"/>
                <w:color w:val="auto"/>
              </w:rPr>
            </w:pPr>
          </w:p>
        </w:tc>
        <w:tc>
          <w:tcPr>
            <w:tcW w:w="1080" w:type="dxa"/>
            <w:vAlign w:val="bottom"/>
            <w:tcBorders>
              <w:top w:val="single" w:sz="8" w:color="E6EC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2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20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Liabilites:</w:t>
            </w:r>
          </w:p>
        </w:tc>
        <w:tc>
          <w:tcPr>
            <w:tcW w:w="360" w:type="dxa"/>
            <w:vAlign w:val="bottom"/>
            <w:shd w:val="clear" w:color="auto" w:fill="E6ECFF"/>
          </w:tcPr>
          <w:p>
            <w:pPr>
              <w:spacing w:after="0"/>
              <w:rPr>
                <w:sz w:val="19"/>
                <w:szCs w:val="19"/>
                <w:color w:val="auto"/>
              </w:rPr>
            </w:pPr>
          </w:p>
        </w:tc>
        <w:tc>
          <w:tcPr>
            <w:tcW w:w="1100" w:type="dxa"/>
            <w:vAlign w:val="bottom"/>
            <w:shd w:val="clear" w:color="auto" w:fill="E6ECFF"/>
          </w:tcPr>
          <w:p>
            <w:pPr>
              <w:spacing w:after="0"/>
              <w:rPr>
                <w:sz w:val="19"/>
                <w:szCs w:val="19"/>
                <w:color w:val="auto"/>
              </w:rPr>
            </w:pPr>
          </w:p>
        </w:tc>
        <w:tc>
          <w:tcPr>
            <w:tcW w:w="100" w:type="dxa"/>
            <w:vAlign w:val="bottom"/>
            <w:shd w:val="clear" w:color="auto" w:fill="E6ECFF"/>
          </w:tcPr>
          <w:p>
            <w:pPr>
              <w:spacing w:after="0"/>
              <w:rPr>
                <w:sz w:val="19"/>
                <w:szCs w:val="19"/>
                <w:color w:val="auto"/>
              </w:rPr>
            </w:pPr>
          </w:p>
        </w:tc>
        <w:tc>
          <w:tcPr>
            <w:tcW w:w="380" w:type="dxa"/>
            <w:vAlign w:val="bottom"/>
            <w:shd w:val="clear" w:color="auto" w:fill="E6ECFF"/>
          </w:tcPr>
          <w:p>
            <w:pPr>
              <w:spacing w:after="0"/>
              <w:rPr>
                <w:sz w:val="19"/>
                <w:szCs w:val="19"/>
                <w:color w:val="auto"/>
              </w:rPr>
            </w:pPr>
          </w:p>
        </w:tc>
        <w:tc>
          <w:tcPr>
            <w:tcW w:w="1080" w:type="dxa"/>
            <w:vAlign w:val="bottom"/>
            <w:shd w:val="clear" w:color="auto" w:fill="E6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200" w:type="dxa"/>
            <w:vAlign w:val="bottom"/>
          </w:tcPr>
          <w:p>
            <w:pPr>
              <w:ind w:left="20"/>
              <w:spacing w:after="0" w:line="205" w:lineRule="exact"/>
              <w:rPr>
                <w:sz w:val="20"/>
                <w:szCs w:val="20"/>
                <w:color w:val="auto"/>
              </w:rPr>
            </w:pPr>
            <w:r>
              <w:rPr>
                <w:rFonts w:ascii="Calibri" w:cs="Calibri" w:eastAsia="Calibri" w:hAnsi="Calibri"/>
                <w:sz w:val="17"/>
                <w:szCs w:val="17"/>
                <w:color w:val="auto"/>
              </w:rPr>
              <w:t>Repurchase agreements, net (including $4,667,483 and $3,247,474, respectvely with BUCKLER)</w:t>
            </w:r>
          </w:p>
        </w:tc>
        <w:tc>
          <w:tcPr>
            <w:tcW w:w="360" w:type="dxa"/>
            <w:vAlign w:val="bottom"/>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9,647,982</w:t>
            </w:r>
          </w:p>
        </w:tc>
        <w:tc>
          <w:tcPr>
            <w:tcW w:w="100" w:type="dxa"/>
            <w:vAlign w:val="bottom"/>
          </w:tcPr>
          <w:p>
            <w:pPr>
              <w:spacing w:after="0"/>
              <w:rPr>
                <w:sz w:val="18"/>
                <w:szCs w:val="18"/>
                <w:color w:val="auto"/>
              </w:rPr>
            </w:pPr>
          </w:p>
        </w:tc>
        <w:tc>
          <w:tcPr>
            <w:tcW w:w="380" w:type="dxa"/>
            <w:vAlign w:val="bottom"/>
          </w:tcPr>
          <w:p>
            <w:pPr>
              <w:jc w:val="right"/>
              <w:ind w:right="174"/>
              <w:spacing w:after="0" w:line="205" w:lineRule="exact"/>
              <w:rPr>
                <w:sz w:val="20"/>
                <w:szCs w:val="20"/>
                <w:color w:val="auto"/>
              </w:rPr>
            </w:pPr>
            <w:r>
              <w:rPr>
                <w:rFonts w:ascii="Calibri" w:cs="Calibri" w:eastAsia="Calibri" w:hAnsi="Calibri"/>
                <w:sz w:val="17"/>
                <w:szCs w:val="17"/>
                <w:color w:val="auto"/>
              </w:rPr>
              <w:t>$</w:t>
            </w: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6,463,058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8200" w:type="dxa"/>
            <w:vAlign w:val="bottom"/>
            <w:shd w:val="clear" w:color="auto" w:fill="E6ECFF"/>
          </w:tcPr>
          <w:p>
            <w:pPr>
              <w:ind w:left="20"/>
              <w:spacing w:after="0" w:line="179" w:lineRule="exact"/>
              <w:rPr>
                <w:sz w:val="20"/>
                <w:szCs w:val="20"/>
                <w:color w:val="auto"/>
              </w:rPr>
            </w:pPr>
            <w:r>
              <w:rPr>
                <w:rFonts w:ascii="Calibri" w:cs="Calibri" w:eastAsia="Calibri" w:hAnsi="Calibri"/>
                <w:sz w:val="17"/>
                <w:szCs w:val="17"/>
                <w:color w:val="auto"/>
              </w:rPr>
              <w:t>Obligatons to return securites received as collateral, at fair value (including $0 and $100,531 with BUCKLER</w:t>
            </w:r>
          </w:p>
        </w:tc>
        <w:tc>
          <w:tcPr>
            <w:tcW w:w="360" w:type="dxa"/>
            <w:vAlign w:val="bottom"/>
            <w:shd w:val="clear" w:color="auto" w:fill="E6ECFF"/>
          </w:tcPr>
          <w:p>
            <w:pPr>
              <w:spacing w:after="0"/>
              <w:rPr>
                <w:sz w:val="15"/>
                <w:szCs w:val="15"/>
                <w:color w:val="auto"/>
              </w:rPr>
            </w:pPr>
          </w:p>
        </w:tc>
        <w:tc>
          <w:tcPr>
            <w:tcW w:w="1100" w:type="dxa"/>
            <w:vAlign w:val="bottom"/>
            <w:shd w:val="clear" w:color="auto" w:fill="E6ECFF"/>
          </w:tcPr>
          <w:p>
            <w:pPr>
              <w:spacing w:after="0"/>
              <w:rPr>
                <w:sz w:val="15"/>
                <w:szCs w:val="15"/>
                <w:color w:val="auto"/>
              </w:rPr>
            </w:pPr>
          </w:p>
        </w:tc>
        <w:tc>
          <w:tcPr>
            <w:tcW w:w="100" w:type="dxa"/>
            <w:vAlign w:val="bottom"/>
            <w:shd w:val="clear" w:color="auto" w:fill="E6ECFF"/>
          </w:tcPr>
          <w:p>
            <w:pPr>
              <w:spacing w:after="0"/>
              <w:rPr>
                <w:sz w:val="15"/>
                <w:szCs w:val="15"/>
                <w:color w:val="auto"/>
              </w:rPr>
            </w:pPr>
          </w:p>
        </w:tc>
        <w:tc>
          <w:tcPr>
            <w:tcW w:w="380" w:type="dxa"/>
            <w:vAlign w:val="bottom"/>
            <w:shd w:val="clear" w:color="auto" w:fill="E6ECFF"/>
          </w:tcPr>
          <w:p>
            <w:pPr>
              <w:spacing w:after="0"/>
              <w:rPr>
                <w:sz w:val="15"/>
                <w:szCs w:val="15"/>
                <w:color w:val="auto"/>
              </w:rPr>
            </w:pPr>
          </w:p>
        </w:tc>
        <w:tc>
          <w:tcPr>
            <w:tcW w:w="1080" w:type="dxa"/>
            <w:vAlign w:val="bottom"/>
            <w:shd w:val="clear" w:color="auto" w:fill="E6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200" w:type="dxa"/>
            <w:vAlign w:val="bottom"/>
            <w:tcBorders>
              <w:bottom w:val="single" w:sz="8" w:color="E6ECFF"/>
            </w:tcBorders>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respectvely</w:t>
            </w:r>
          </w:p>
        </w:tc>
        <w:tc>
          <w:tcPr>
            <w:tcW w:w="360" w:type="dxa"/>
            <w:vAlign w:val="bottom"/>
            <w:tcBorders>
              <w:bottom w:val="single" w:sz="8" w:color="E6ECFF"/>
            </w:tcBorders>
            <w:shd w:val="clear" w:color="auto" w:fill="E6ECFF"/>
          </w:tcPr>
          <w:p>
            <w:pPr>
              <w:spacing w:after="0"/>
              <w:rPr>
                <w:sz w:val="18"/>
                <w:szCs w:val="18"/>
                <w:color w:val="auto"/>
              </w:rPr>
            </w:pPr>
          </w:p>
        </w:tc>
        <w:tc>
          <w:tcPr>
            <w:tcW w:w="1100" w:type="dxa"/>
            <w:vAlign w:val="bottom"/>
            <w:tcBorders>
              <w:bottom w:val="single" w:sz="8" w:color="E6ECFF"/>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350,273</w:t>
            </w:r>
          </w:p>
        </w:tc>
        <w:tc>
          <w:tcPr>
            <w:tcW w:w="100" w:type="dxa"/>
            <w:vAlign w:val="bottom"/>
            <w:tcBorders>
              <w:bottom w:val="single" w:sz="8" w:color="E6ECFF"/>
            </w:tcBorders>
            <w:shd w:val="clear" w:color="auto" w:fill="E6ECFF"/>
          </w:tcPr>
          <w:p>
            <w:pPr>
              <w:spacing w:after="0"/>
              <w:rPr>
                <w:sz w:val="18"/>
                <w:szCs w:val="18"/>
                <w:color w:val="auto"/>
              </w:rPr>
            </w:pPr>
          </w:p>
        </w:tc>
        <w:tc>
          <w:tcPr>
            <w:tcW w:w="380" w:type="dxa"/>
            <w:vAlign w:val="bottom"/>
            <w:tcBorders>
              <w:bottom w:val="single" w:sz="8" w:color="E6ECFF"/>
            </w:tcBorders>
            <w:shd w:val="clear" w:color="auto" w:fill="E6ECFF"/>
          </w:tcPr>
          <w:p>
            <w:pPr>
              <w:spacing w:after="0"/>
              <w:rPr>
                <w:sz w:val="18"/>
                <w:szCs w:val="18"/>
                <w:color w:val="auto"/>
              </w:rPr>
            </w:pPr>
          </w:p>
        </w:tc>
        <w:tc>
          <w:tcPr>
            <w:tcW w:w="1080" w:type="dxa"/>
            <w:vAlign w:val="bottom"/>
            <w:tcBorders>
              <w:bottom w:val="single" w:sz="8" w:color="E6ECFF"/>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502,656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00" w:type="dxa"/>
            <w:vAlign w:val="bottom"/>
          </w:tcPr>
          <w:p>
            <w:pPr>
              <w:ind w:left="20"/>
              <w:spacing w:after="0" w:line="205" w:lineRule="exact"/>
              <w:rPr>
                <w:sz w:val="20"/>
                <w:szCs w:val="20"/>
                <w:color w:val="auto"/>
              </w:rPr>
            </w:pPr>
            <w:r>
              <w:rPr>
                <w:rFonts w:ascii="Calibri" w:cs="Calibri" w:eastAsia="Calibri" w:hAnsi="Calibri"/>
                <w:sz w:val="17"/>
                <w:szCs w:val="17"/>
                <w:color w:val="auto"/>
              </w:rPr>
              <w:t>Cash collateral posted by counterpartes</w:t>
            </w:r>
          </w:p>
        </w:tc>
        <w:tc>
          <w:tcPr>
            <w:tcW w:w="36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860,130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963,591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20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Payable for unsetled purchases</w:t>
            </w:r>
          </w:p>
        </w:tc>
        <w:tc>
          <w:tcPr>
            <w:tcW w:w="36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171,513</w:t>
            </w:r>
          </w:p>
        </w:tc>
        <w:tc>
          <w:tcPr>
            <w:tcW w:w="100" w:type="dxa"/>
            <w:vAlign w:val="bottom"/>
            <w:shd w:val="clear" w:color="auto" w:fill="E6ECFF"/>
          </w:tcPr>
          <w:p>
            <w:pPr>
              <w:spacing w:after="0"/>
              <w:rPr>
                <w:sz w:val="19"/>
                <w:szCs w:val="19"/>
                <w:color w:val="auto"/>
              </w:rPr>
            </w:pPr>
          </w:p>
        </w:tc>
        <w:tc>
          <w:tcPr>
            <w:tcW w:w="380" w:type="dxa"/>
            <w:vAlign w:val="bottom"/>
            <w:shd w:val="clear" w:color="auto" w:fill="E6ECFF"/>
          </w:tcPr>
          <w:p>
            <w:pPr>
              <w:spacing w:after="0"/>
              <w:rPr>
                <w:sz w:val="19"/>
                <w:szCs w:val="19"/>
                <w:color w:val="auto"/>
              </w:rPr>
            </w:pPr>
          </w:p>
        </w:tc>
        <w:tc>
          <w:tcPr>
            <w:tcW w:w="108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353,436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200" w:type="dxa"/>
            <w:vAlign w:val="bottom"/>
          </w:tcPr>
          <w:p>
            <w:pPr>
              <w:ind w:left="20"/>
              <w:spacing w:after="0" w:line="205" w:lineRule="exact"/>
              <w:rPr>
                <w:sz w:val="20"/>
                <w:szCs w:val="20"/>
                <w:color w:val="auto"/>
              </w:rPr>
            </w:pPr>
            <w:r>
              <w:rPr>
                <w:rFonts w:ascii="Calibri" w:cs="Calibri" w:eastAsia="Calibri" w:hAnsi="Calibri"/>
                <w:sz w:val="17"/>
                <w:szCs w:val="17"/>
                <w:color w:val="auto"/>
              </w:rPr>
              <w:t>Derivatves, at fair value</w:t>
            </w:r>
          </w:p>
        </w:tc>
        <w:tc>
          <w:tcPr>
            <w:tcW w:w="36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5,036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13,016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20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Accrued interest payable- repurchase agreements (including $12,345 and $9,908, respectvely with BUCKLER)</w:t>
            </w:r>
          </w:p>
        </w:tc>
        <w:tc>
          <w:tcPr>
            <w:tcW w:w="36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26,509</w:t>
            </w:r>
          </w:p>
        </w:tc>
        <w:tc>
          <w:tcPr>
            <w:tcW w:w="100" w:type="dxa"/>
            <w:vAlign w:val="bottom"/>
            <w:shd w:val="clear" w:color="auto" w:fill="E6ECFF"/>
          </w:tcPr>
          <w:p>
            <w:pPr>
              <w:spacing w:after="0"/>
              <w:rPr>
                <w:sz w:val="19"/>
                <w:szCs w:val="19"/>
                <w:color w:val="auto"/>
              </w:rPr>
            </w:pPr>
          </w:p>
        </w:tc>
        <w:tc>
          <w:tcPr>
            <w:tcW w:w="380" w:type="dxa"/>
            <w:vAlign w:val="bottom"/>
            <w:shd w:val="clear" w:color="auto" w:fill="E6ECFF"/>
          </w:tcPr>
          <w:p>
            <w:pPr>
              <w:spacing w:after="0"/>
              <w:rPr>
                <w:sz w:val="19"/>
                <w:szCs w:val="19"/>
                <w:color w:val="auto"/>
              </w:rPr>
            </w:pPr>
          </w:p>
        </w:tc>
        <w:tc>
          <w:tcPr>
            <w:tcW w:w="108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19,096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200" w:type="dxa"/>
            <w:vAlign w:val="bottom"/>
          </w:tcPr>
          <w:p>
            <w:pPr>
              <w:ind w:left="20"/>
              <w:spacing w:after="0" w:line="205" w:lineRule="exact"/>
              <w:rPr>
                <w:sz w:val="20"/>
                <w:szCs w:val="20"/>
                <w:color w:val="auto"/>
              </w:rPr>
            </w:pPr>
            <w:r>
              <w:rPr>
                <w:rFonts w:ascii="Calibri" w:cs="Calibri" w:eastAsia="Calibri" w:hAnsi="Calibri"/>
                <w:sz w:val="17"/>
                <w:szCs w:val="17"/>
                <w:color w:val="auto"/>
              </w:rPr>
              <w:t>Accrued interest payable- U.S. Treasury Securites sold short (including $0 and $684, respectvely with BUCKLER)</w:t>
            </w:r>
          </w:p>
        </w:tc>
        <w:tc>
          <w:tcPr>
            <w:tcW w:w="36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5,049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3,418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20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Accounts payable and other accrued expenses</w:t>
            </w:r>
          </w:p>
        </w:tc>
        <w:tc>
          <w:tcPr>
            <w:tcW w:w="36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rPr>
                <w:sz w:val="20"/>
                <w:szCs w:val="20"/>
                <w:color w:val="auto"/>
              </w:rPr>
            </w:pPr>
            <w:r>
              <w:rPr>
                <w:rFonts w:ascii="Calibri" w:cs="Calibri" w:eastAsia="Calibri" w:hAnsi="Calibri"/>
                <w:sz w:val="17"/>
                <w:szCs w:val="17"/>
                <w:color w:val="auto"/>
              </w:rPr>
              <w:t>6,719</w:t>
            </w:r>
          </w:p>
        </w:tc>
        <w:tc>
          <w:tcPr>
            <w:tcW w:w="100" w:type="dxa"/>
            <w:vAlign w:val="bottom"/>
            <w:shd w:val="clear" w:color="auto" w:fill="E6ECFF"/>
          </w:tcPr>
          <w:p>
            <w:pPr>
              <w:spacing w:after="0"/>
              <w:rPr>
                <w:sz w:val="19"/>
                <w:szCs w:val="19"/>
                <w:color w:val="auto"/>
              </w:rPr>
            </w:pPr>
          </w:p>
        </w:tc>
        <w:tc>
          <w:tcPr>
            <w:tcW w:w="380" w:type="dxa"/>
            <w:vAlign w:val="bottom"/>
            <w:tcBorders>
              <w:bottom w:val="single" w:sz="8" w:color="auto"/>
            </w:tcBorders>
            <w:shd w:val="clear" w:color="auto" w:fill="E6ECFF"/>
          </w:tcPr>
          <w:p>
            <w:pPr>
              <w:spacing w:after="0"/>
              <w:rPr>
                <w:sz w:val="19"/>
                <w:szCs w:val="19"/>
                <w:color w:val="auto"/>
              </w:rPr>
            </w:pPr>
          </w:p>
        </w:tc>
        <w:tc>
          <w:tcPr>
            <w:tcW w:w="1080" w:type="dxa"/>
            <w:vAlign w:val="bottom"/>
            <w:tcBorders>
              <w:bottom w:val="single" w:sz="8" w:color="auto"/>
            </w:tcBorders>
            <w:shd w:val="clear" w:color="auto" w:fill="E6ECFF"/>
          </w:tcPr>
          <w:p>
            <w:pPr>
              <w:jc w:val="right"/>
              <w:spacing w:after="0"/>
              <w:rPr>
                <w:sz w:val="20"/>
                <w:szCs w:val="20"/>
                <w:color w:val="auto"/>
              </w:rPr>
            </w:pPr>
            <w:r>
              <w:rPr>
                <w:rFonts w:ascii="Calibri" w:cs="Calibri" w:eastAsia="Calibri" w:hAnsi="Calibri"/>
                <w:sz w:val="17"/>
                <w:szCs w:val="17"/>
                <w:color w:val="auto"/>
              </w:rPr>
              <w:t>6,404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200" w:type="dxa"/>
            <w:vAlign w:val="bottom"/>
            <w:tcBorders>
              <w:bottom w:val="single" w:sz="8" w:color="E6ECFF"/>
            </w:tcBorders>
          </w:tcPr>
          <w:p>
            <w:pPr>
              <w:ind w:left="20"/>
              <w:spacing w:after="0" w:line="190" w:lineRule="exact"/>
              <w:rPr>
                <w:sz w:val="20"/>
                <w:szCs w:val="20"/>
                <w:color w:val="auto"/>
              </w:rPr>
            </w:pPr>
            <w:r>
              <w:rPr>
                <w:rFonts w:ascii="Calibri" w:cs="Calibri" w:eastAsia="Calibri" w:hAnsi="Calibri"/>
                <w:sz w:val="17"/>
                <w:szCs w:val="17"/>
                <w:color w:val="auto"/>
              </w:rPr>
              <w:t>Total Liabilites</w:t>
            </w:r>
          </w:p>
        </w:tc>
        <w:tc>
          <w:tcPr>
            <w:tcW w:w="360" w:type="dxa"/>
            <w:vAlign w:val="bottom"/>
            <w:tcBorders>
              <w:bottom w:val="single" w:sz="8" w:color="auto"/>
            </w:tcBorders>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11,073,211</w:t>
            </w:r>
          </w:p>
        </w:tc>
        <w:tc>
          <w:tcPr>
            <w:tcW w:w="100" w:type="dxa"/>
            <w:vAlign w:val="bottom"/>
            <w:tcBorders>
              <w:bottom w:val="single" w:sz="8" w:color="E6ECFF"/>
            </w:tcBorders>
          </w:tcPr>
          <w:p>
            <w:pPr>
              <w:spacing w:after="0"/>
              <w:rPr>
                <w:sz w:val="17"/>
                <w:szCs w:val="17"/>
                <w:color w:val="auto"/>
              </w:rPr>
            </w:pPr>
          </w:p>
        </w:tc>
        <w:tc>
          <w:tcPr>
            <w:tcW w:w="380" w:type="dxa"/>
            <w:vAlign w:val="bottom"/>
            <w:tcBorders>
              <w:bottom w:val="single" w:sz="8" w:color="auto"/>
            </w:tcBorders>
          </w:tcPr>
          <w:p>
            <w:pPr>
              <w:jc w:val="right"/>
              <w:ind w:right="174"/>
              <w:spacing w:after="0" w:line="205" w:lineRule="exact"/>
              <w:rPr>
                <w:sz w:val="20"/>
                <w:szCs w:val="20"/>
                <w:color w:val="auto"/>
              </w:rPr>
            </w:pPr>
            <w:r>
              <w:rPr>
                <w:rFonts w:ascii="Calibri" w:cs="Calibri" w:eastAsia="Calibri" w:hAnsi="Calibri"/>
                <w:sz w:val="17"/>
                <w:szCs w:val="17"/>
                <w:color w:val="auto"/>
              </w:rPr>
              <w:t>$</w:t>
            </w:r>
          </w:p>
        </w:tc>
        <w:tc>
          <w:tcPr>
            <w:tcW w:w="10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8,324,675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8200" w:type="dxa"/>
            <w:vAlign w:val="bottom"/>
            <w:shd w:val="clear" w:color="auto" w:fill="E6ECFF"/>
          </w:tcPr>
          <w:p>
            <w:pPr>
              <w:spacing w:after="0"/>
              <w:rPr>
                <w:sz w:val="6"/>
                <w:szCs w:val="6"/>
                <w:color w:val="auto"/>
              </w:rPr>
            </w:pPr>
          </w:p>
        </w:tc>
        <w:tc>
          <w:tcPr>
            <w:tcW w:w="360" w:type="dxa"/>
            <w:vAlign w:val="bottom"/>
            <w:shd w:val="clear" w:color="auto" w:fill="E6ECFF"/>
          </w:tcPr>
          <w:p>
            <w:pPr>
              <w:spacing w:after="0"/>
              <w:rPr>
                <w:sz w:val="6"/>
                <w:szCs w:val="6"/>
                <w:color w:val="auto"/>
              </w:rPr>
            </w:pPr>
          </w:p>
        </w:tc>
        <w:tc>
          <w:tcPr>
            <w:tcW w:w="1100" w:type="dxa"/>
            <w:vAlign w:val="bottom"/>
            <w:shd w:val="clear" w:color="auto" w:fill="E6ECFF"/>
          </w:tcPr>
          <w:p>
            <w:pPr>
              <w:spacing w:after="0"/>
              <w:rPr>
                <w:sz w:val="6"/>
                <w:szCs w:val="6"/>
                <w:color w:val="auto"/>
              </w:rPr>
            </w:pPr>
          </w:p>
        </w:tc>
        <w:tc>
          <w:tcPr>
            <w:tcW w:w="100" w:type="dxa"/>
            <w:vAlign w:val="bottom"/>
            <w:shd w:val="clear" w:color="auto" w:fill="E6ECFF"/>
          </w:tcPr>
          <w:p>
            <w:pPr>
              <w:spacing w:after="0"/>
              <w:rPr>
                <w:sz w:val="6"/>
                <w:szCs w:val="6"/>
                <w:color w:val="auto"/>
              </w:rPr>
            </w:pPr>
          </w:p>
        </w:tc>
        <w:tc>
          <w:tcPr>
            <w:tcW w:w="380" w:type="dxa"/>
            <w:vAlign w:val="bottom"/>
            <w:shd w:val="clear" w:color="auto" w:fill="E6ECFF"/>
          </w:tcPr>
          <w:p>
            <w:pPr>
              <w:spacing w:after="0"/>
              <w:rPr>
                <w:sz w:val="6"/>
                <w:szCs w:val="6"/>
                <w:color w:val="auto"/>
              </w:rPr>
            </w:pPr>
          </w:p>
        </w:tc>
        <w:tc>
          <w:tcPr>
            <w:tcW w:w="1080" w:type="dxa"/>
            <w:vAlign w:val="bottom"/>
            <w:shd w:val="clear" w:color="auto" w:fill="E6EC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8200" w:type="dxa"/>
            <w:vAlign w:val="bottom"/>
          </w:tcPr>
          <w:p>
            <w:pPr>
              <w:ind w:left="20"/>
              <w:spacing w:after="0" w:line="205" w:lineRule="exact"/>
              <w:rPr>
                <w:sz w:val="20"/>
                <w:szCs w:val="20"/>
                <w:color w:val="auto"/>
              </w:rPr>
            </w:pPr>
            <w:r>
              <w:rPr>
                <w:rFonts w:ascii="Calibri" w:cs="Calibri" w:eastAsia="Calibri" w:hAnsi="Calibri"/>
                <w:sz w:val="17"/>
                <w:szCs w:val="17"/>
                <w:color w:val="auto"/>
              </w:rPr>
              <w:t>Commitments and contngencies (Note 8)</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E6ECFF"/>
          </w:tcPr>
          <w:p>
            <w:pPr>
              <w:spacing w:after="0"/>
              <w:rPr>
                <w:sz w:val="12"/>
                <w:szCs w:val="12"/>
                <w:color w:val="auto"/>
              </w:rPr>
            </w:pPr>
          </w:p>
        </w:tc>
        <w:tc>
          <w:tcPr>
            <w:tcW w:w="360" w:type="dxa"/>
            <w:vAlign w:val="bottom"/>
            <w:shd w:val="clear" w:color="auto" w:fill="E6ECFF"/>
          </w:tcPr>
          <w:p>
            <w:pPr>
              <w:spacing w:after="0"/>
              <w:rPr>
                <w:sz w:val="12"/>
                <w:szCs w:val="12"/>
                <w:color w:val="auto"/>
              </w:rPr>
            </w:pPr>
          </w:p>
        </w:tc>
        <w:tc>
          <w:tcPr>
            <w:tcW w:w="1100" w:type="dxa"/>
            <w:vAlign w:val="bottom"/>
            <w:shd w:val="clear" w:color="auto" w:fill="E6ECFF"/>
          </w:tcPr>
          <w:p>
            <w:pPr>
              <w:spacing w:after="0"/>
              <w:rPr>
                <w:sz w:val="12"/>
                <w:szCs w:val="12"/>
                <w:color w:val="auto"/>
              </w:rPr>
            </w:pPr>
          </w:p>
        </w:tc>
        <w:tc>
          <w:tcPr>
            <w:tcW w:w="100" w:type="dxa"/>
            <w:vAlign w:val="bottom"/>
            <w:shd w:val="clear" w:color="auto" w:fill="E6ECFF"/>
          </w:tcPr>
          <w:p>
            <w:pPr>
              <w:spacing w:after="0"/>
              <w:rPr>
                <w:sz w:val="12"/>
                <w:szCs w:val="12"/>
                <w:color w:val="auto"/>
              </w:rPr>
            </w:pPr>
          </w:p>
        </w:tc>
        <w:tc>
          <w:tcPr>
            <w:tcW w:w="380" w:type="dxa"/>
            <w:vAlign w:val="bottom"/>
            <w:shd w:val="clear" w:color="auto" w:fill="E6ECFF"/>
          </w:tcPr>
          <w:p>
            <w:pPr>
              <w:spacing w:after="0"/>
              <w:rPr>
                <w:sz w:val="12"/>
                <w:szCs w:val="12"/>
                <w:color w:val="auto"/>
              </w:rPr>
            </w:pPr>
          </w:p>
        </w:tc>
        <w:tc>
          <w:tcPr>
            <w:tcW w:w="1080" w:type="dxa"/>
            <w:vAlign w:val="bottom"/>
            <w:shd w:val="clear" w:color="auto" w:fill="E6EC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200" w:type="dxa"/>
            <w:vAlign w:val="bottom"/>
          </w:tcPr>
          <w:p>
            <w:pPr>
              <w:ind w:left="20"/>
              <w:spacing w:after="0" w:line="205" w:lineRule="exact"/>
              <w:rPr>
                <w:sz w:val="20"/>
                <w:szCs w:val="20"/>
                <w:color w:val="auto"/>
              </w:rPr>
            </w:pPr>
            <w:r>
              <w:rPr>
                <w:rFonts w:ascii="Calibri" w:cs="Calibri" w:eastAsia="Calibri" w:hAnsi="Calibri"/>
                <w:sz w:val="17"/>
                <w:szCs w:val="17"/>
                <w:color w:val="auto"/>
              </w:rPr>
              <w:t>Stockholders’ Equity:</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8200" w:type="dxa"/>
            <w:vAlign w:val="bottom"/>
            <w:shd w:val="clear" w:color="auto" w:fill="E6ECFF"/>
          </w:tcPr>
          <w:p>
            <w:pPr>
              <w:spacing w:after="0"/>
              <w:rPr>
                <w:sz w:val="9"/>
                <w:szCs w:val="9"/>
                <w:color w:val="auto"/>
              </w:rPr>
            </w:pPr>
          </w:p>
        </w:tc>
        <w:tc>
          <w:tcPr>
            <w:tcW w:w="360" w:type="dxa"/>
            <w:vAlign w:val="bottom"/>
            <w:shd w:val="clear" w:color="auto" w:fill="E6ECFF"/>
          </w:tcPr>
          <w:p>
            <w:pPr>
              <w:spacing w:after="0"/>
              <w:rPr>
                <w:sz w:val="9"/>
                <w:szCs w:val="9"/>
                <w:color w:val="auto"/>
              </w:rPr>
            </w:pPr>
          </w:p>
        </w:tc>
        <w:tc>
          <w:tcPr>
            <w:tcW w:w="1100" w:type="dxa"/>
            <w:vAlign w:val="bottom"/>
            <w:shd w:val="clear" w:color="auto" w:fill="E6ECFF"/>
          </w:tcPr>
          <w:p>
            <w:pPr>
              <w:spacing w:after="0"/>
              <w:rPr>
                <w:sz w:val="9"/>
                <w:szCs w:val="9"/>
                <w:color w:val="auto"/>
              </w:rPr>
            </w:pPr>
          </w:p>
        </w:tc>
        <w:tc>
          <w:tcPr>
            <w:tcW w:w="100" w:type="dxa"/>
            <w:vAlign w:val="bottom"/>
            <w:shd w:val="clear" w:color="auto" w:fill="E6ECFF"/>
          </w:tcPr>
          <w:p>
            <w:pPr>
              <w:spacing w:after="0"/>
              <w:rPr>
                <w:sz w:val="9"/>
                <w:szCs w:val="9"/>
                <w:color w:val="auto"/>
              </w:rPr>
            </w:pPr>
          </w:p>
        </w:tc>
        <w:tc>
          <w:tcPr>
            <w:tcW w:w="380" w:type="dxa"/>
            <w:vAlign w:val="bottom"/>
            <w:shd w:val="clear" w:color="auto" w:fill="E6ECFF"/>
          </w:tcPr>
          <w:p>
            <w:pPr>
              <w:spacing w:after="0"/>
              <w:rPr>
                <w:sz w:val="9"/>
                <w:szCs w:val="9"/>
                <w:color w:val="auto"/>
              </w:rPr>
            </w:pPr>
          </w:p>
        </w:tc>
        <w:tc>
          <w:tcPr>
            <w:tcW w:w="1080" w:type="dxa"/>
            <w:vAlign w:val="bottom"/>
            <w:shd w:val="clear" w:color="auto" w:fill="E6EC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8200" w:type="dxa"/>
            <w:vAlign w:val="bottom"/>
          </w:tcPr>
          <w:p>
            <w:pPr>
              <w:ind w:left="20"/>
              <w:spacing w:after="0" w:line="173" w:lineRule="exact"/>
              <w:rPr>
                <w:sz w:val="20"/>
                <w:szCs w:val="20"/>
                <w:color w:val="auto"/>
              </w:rPr>
            </w:pPr>
            <w:r>
              <w:rPr>
                <w:rFonts w:ascii="Calibri" w:cs="Calibri" w:eastAsia="Calibri" w:hAnsi="Calibri"/>
                <w:sz w:val="17"/>
                <w:szCs w:val="17"/>
                <w:color w:val="auto"/>
              </w:rPr>
              <w:t>Preferred stock, $0.001 par value, 50,000 shares authorized;</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00" w:type="dxa"/>
            <w:vAlign w:val="bottom"/>
          </w:tcPr>
          <w:p>
            <w:pPr>
              <w:ind w:left="20"/>
              <w:spacing w:after="0" w:line="167" w:lineRule="exact"/>
              <w:rPr>
                <w:sz w:val="20"/>
                <w:szCs w:val="20"/>
                <w:color w:val="auto"/>
              </w:rPr>
            </w:pPr>
            <w:r>
              <w:rPr>
                <w:rFonts w:ascii="Calibri" w:cs="Calibri" w:eastAsia="Calibri" w:hAnsi="Calibri"/>
                <w:sz w:val="17"/>
                <w:szCs w:val="17"/>
                <w:color w:val="auto"/>
              </w:rPr>
              <w:t>7.00% Series C Cumulatve Preferred Stock; 6,847 shares issued and outstanding ($171,175 aggregate liquidaton</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200" w:type="dxa"/>
            <w:vAlign w:val="bottom"/>
          </w:tcPr>
          <w:p>
            <w:pPr>
              <w:ind w:left="20"/>
              <w:spacing w:after="0" w:line="205" w:lineRule="exact"/>
              <w:rPr>
                <w:sz w:val="20"/>
                <w:szCs w:val="20"/>
                <w:color w:val="auto"/>
              </w:rPr>
            </w:pPr>
            <w:r>
              <w:rPr>
                <w:rFonts w:ascii="Calibri" w:cs="Calibri" w:eastAsia="Calibri" w:hAnsi="Calibri"/>
                <w:sz w:val="17"/>
                <w:szCs w:val="17"/>
                <w:color w:val="auto"/>
              </w:rPr>
              <w:t>preference) at December 31, 2023 and December 31, 2022.</w:t>
            </w:r>
          </w:p>
        </w:tc>
        <w:tc>
          <w:tcPr>
            <w:tcW w:w="360" w:type="dxa"/>
            <w:vAlign w:val="bottom"/>
          </w:tcPr>
          <w:p>
            <w:pPr>
              <w:spacing w:after="0"/>
              <w:rPr>
                <w:sz w:val="17"/>
                <w:szCs w:val="17"/>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8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200" w:type="dxa"/>
            <w:vAlign w:val="bottom"/>
            <w:shd w:val="clear" w:color="auto" w:fill="E6ECFF"/>
          </w:tcPr>
          <w:p>
            <w:pPr>
              <w:ind w:left="20"/>
              <w:spacing w:after="0" w:line="173" w:lineRule="exact"/>
              <w:rPr>
                <w:sz w:val="20"/>
                <w:szCs w:val="20"/>
                <w:color w:val="auto"/>
              </w:rPr>
            </w:pPr>
            <w:r>
              <w:rPr>
                <w:rFonts w:ascii="Calibri" w:cs="Calibri" w:eastAsia="Calibri" w:hAnsi="Calibri"/>
                <w:sz w:val="17"/>
                <w:szCs w:val="17"/>
                <w:color w:val="auto"/>
              </w:rPr>
              <w:t>Common stock, $0.001 par value, 90,000 and 60,000 shares authorized; 48,799 shares and 32,582 shares issued and</w:t>
            </w:r>
          </w:p>
        </w:tc>
        <w:tc>
          <w:tcPr>
            <w:tcW w:w="360" w:type="dxa"/>
            <w:vAlign w:val="bottom"/>
            <w:shd w:val="clear" w:color="auto" w:fill="E6ECFF"/>
          </w:tcPr>
          <w:p>
            <w:pPr>
              <w:spacing w:after="0"/>
              <w:rPr>
                <w:sz w:val="14"/>
                <w:szCs w:val="14"/>
                <w:color w:val="auto"/>
              </w:rPr>
            </w:pPr>
          </w:p>
        </w:tc>
        <w:tc>
          <w:tcPr>
            <w:tcW w:w="1100" w:type="dxa"/>
            <w:vAlign w:val="bottom"/>
            <w:shd w:val="clear" w:color="auto" w:fill="E6ECFF"/>
          </w:tcPr>
          <w:p>
            <w:pPr>
              <w:spacing w:after="0"/>
              <w:rPr>
                <w:sz w:val="14"/>
                <w:szCs w:val="14"/>
                <w:color w:val="auto"/>
              </w:rPr>
            </w:pPr>
          </w:p>
        </w:tc>
        <w:tc>
          <w:tcPr>
            <w:tcW w:w="100" w:type="dxa"/>
            <w:vAlign w:val="bottom"/>
            <w:shd w:val="clear" w:color="auto" w:fill="E6ECFF"/>
          </w:tcPr>
          <w:p>
            <w:pPr>
              <w:spacing w:after="0"/>
              <w:rPr>
                <w:sz w:val="14"/>
                <w:szCs w:val="14"/>
                <w:color w:val="auto"/>
              </w:rPr>
            </w:pPr>
          </w:p>
        </w:tc>
        <w:tc>
          <w:tcPr>
            <w:tcW w:w="380" w:type="dxa"/>
            <w:vAlign w:val="bottom"/>
            <w:shd w:val="clear" w:color="auto" w:fill="E6ECFF"/>
          </w:tcPr>
          <w:p>
            <w:pPr>
              <w:spacing w:after="0"/>
              <w:rPr>
                <w:sz w:val="14"/>
                <w:szCs w:val="14"/>
                <w:color w:val="auto"/>
              </w:rPr>
            </w:pPr>
          </w:p>
        </w:tc>
        <w:tc>
          <w:tcPr>
            <w:tcW w:w="1080" w:type="dxa"/>
            <w:vAlign w:val="bottom"/>
            <w:shd w:val="clear" w:color="auto" w:fill="E6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200" w:type="dxa"/>
            <w:vAlign w:val="bottom"/>
            <w:tcBorders>
              <w:bottom w:val="single" w:sz="8" w:color="E6ECFF"/>
            </w:tcBorders>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outstanding at December 31, 2023 and December 31, 2022, respectvely.</w:t>
            </w:r>
          </w:p>
        </w:tc>
        <w:tc>
          <w:tcPr>
            <w:tcW w:w="360" w:type="dxa"/>
            <w:vAlign w:val="bottom"/>
            <w:tcBorders>
              <w:bottom w:val="single" w:sz="8" w:color="E6ECFF"/>
            </w:tcBorders>
            <w:shd w:val="clear" w:color="auto" w:fill="E6ECFF"/>
          </w:tcPr>
          <w:p>
            <w:pPr>
              <w:spacing w:after="0"/>
              <w:rPr>
                <w:sz w:val="18"/>
                <w:szCs w:val="18"/>
                <w:color w:val="auto"/>
              </w:rPr>
            </w:pPr>
          </w:p>
        </w:tc>
        <w:tc>
          <w:tcPr>
            <w:tcW w:w="1100" w:type="dxa"/>
            <w:vAlign w:val="bottom"/>
            <w:tcBorders>
              <w:bottom w:val="single" w:sz="8" w:color="E6ECFF"/>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49</w:t>
            </w:r>
          </w:p>
        </w:tc>
        <w:tc>
          <w:tcPr>
            <w:tcW w:w="100" w:type="dxa"/>
            <w:vAlign w:val="bottom"/>
            <w:tcBorders>
              <w:bottom w:val="single" w:sz="8" w:color="E6ECFF"/>
            </w:tcBorders>
            <w:shd w:val="clear" w:color="auto" w:fill="E6ECFF"/>
          </w:tcPr>
          <w:p>
            <w:pPr>
              <w:spacing w:after="0"/>
              <w:rPr>
                <w:sz w:val="18"/>
                <w:szCs w:val="18"/>
                <w:color w:val="auto"/>
              </w:rPr>
            </w:pPr>
          </w:p>
        </w:tc>
        <w:tc>
          <w:tcPr>
            <w:tcW w:w="380" w:type="dxa"/>
            <w:vAlign w:val="bottom"/>
            <w:tcBorders>
              <w:bottom w:val="single" w:sz="8" w:color="E6ECFF"/>
            </w:tcBorders>
            <w:shd w:val="clear" w:color="auto" w:fill="E6ECFF"/>
          </w:tcPr>
          <w:p>
            <w:pPr>
              <w:spacing w:after="0"/>
              <w:rPr>
                <w:sz w:val="18"/>
                <w:szCs w:val="18"/>
                <w:color w:val="auto"/>
              </w:rPr>
            </w:pPr>
          </w:p>
        </w:tc>
        <w:tc>
          <w:tcPr>
            <w:tcW w:w="1080" w:type="dxa"/>
            <w:vAlign w:val="bottom"/>
            <w:tcBorders>
              <w:bottom w:val="single" w:sz="8" w:color="E6ECFF"/>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00" w:type="dxa"/>
            <w:vAlign w:val="bottom"/>
          </w:tcPr>
          <w:p>
            <w:pPr>
              <w:ind w:left="20"/>
              <w:spacing w:after="0" w:line="205" w:lineRule="exact"/>
              <w:rPr>
                <w:sz w:val="20"/>
                <w:szCs w:val="20"/>
                <w:color w:val="auto"/>
              </w:rPr>
            </w:pPr>
            <w:r>
              <w:rPr>
                <w:rFonts w:ascii="Calibri" w:cs="Calibri" w:eastAsia="Calibri" w:hAnsi="Calibri"/>
                <w:sz w:val="17"/>
                <w:szCs w:val="17"/>
                <w:color w:val="auto"/>
              </w:rPr>
              <w:t>Additonal paid-in capital</w:t>
            </w:r>
          </w:p>
        </w:tc>
        <w:tc>
          <w:tcPr>
            <w:tcW w:w="36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4,318,155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3,874,757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20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Cumulatve distributons to stockholders</w:t>
            </w:r>
          </w:p>
        </w:tc>
        <w:tc>
          <w:tcPr>
            <w:tcW w:w="36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(2,220,567)</w:t>
            </w:r>
          </w:p>
        </w:tc>
        <w:tc>
          <w:tcPr>
            <w:tcW w:w="100" w:type="dxa"/>
            <w:vAlign w:val="bottom"/>
            <w:shd w:val="clear" w:color="auto" w:fill="E6ECFF"/>
          </w:tcPr>
          <w:p>
            <w:pPr>
              <w:spacing w:after="0"/>
              <w:rPr>
                <w:sz w:val="19"/>
                <w:szCs w:val="19"/>
                <w:color w:val="auto"/>
              </w:rPr>
            </w:pPr>
          </w:p>
        </w:tc>
        <w:tc>
          <w:tcPr>
            <w:tcW w:w="380" w:type="dxa"/>
            <w:vAlign w:val="bottom"/>
            <w:shd w:val="clear" w:color="auto" w:fill="E6ECFF"/>
          </w:tcPr>
          <w:p>
            <w:pPr>
              <w:spacing w:after="0"/>
              <w:rPr>
                <w:sz w:val="19"/>
                <w:szCs w:val="19"/>
                <w:color w:val="auto"/>
              </w:rPr>
            </w:pPr>
          </w:p>
        </w:tc>
        <w:tc>
          <w:tcPr>
            <w:tcW w:w="108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(1,992,361)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200" w:type="dxa"/>
            <w:vAlign w:val="bottom"/>
          </w:tcPr>
          <w:p>
            <w:pPr>
              <w:ind w:left="20"/>
              <w:spacing w:after="0" w:line="205" w:lineRule="exact"/>
              <w:rPr>
                <w:sz w:val="20"/>
                <w:szCs w:val="20"/>
                <w:color w:val="auto"/>
              </w:rPr>
            </w:pPr>
            <w:r>
              <w:rPr>
                <w:rFonts w:ascii="Calibri" w:cs="Calibri" w:eastAsia="Calibri" w:hAnsi="Calibri"/>
                <w:sz w:val="17"/>
                <w:szCs w:val="17"/>
                <w:color w:val="auto"/>
              </w:rPr>
              <w:t>Accumulated net loss</w:t>
            </w:r>
          </w:p>
        </w:tc>
        <w:tc>
          <w:tcPr>
            <w:tcW w:w="36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(826,460)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Calibri" w:cs="Calibri" w:eastAsia="Calibri" w:hAnsi="Calibri"/>
                <w:sz w:val="17"/>
                <w:szCs w:val="17"/>
                <w:color w:val="auto"/>
              </w:rPr>
              <w:t>(758,537)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20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Accumulated other comprehensive loss</w:t>
            </w:r>
          </w:p>
        </w:tc>
        <w:tc>
          <w:tcPr>
            <w:tcW w:w="360" w:type="dxa"/>
            <w:vAlign w:val="bottom"/>
            <w:shd w:val="clear" w:color="auto" w:fill="E6ECFF"/>
          </w:tcPr>
          <w:p>
            <w:pPr>
              <w:spacing w:after="0"/>
              <w:rPr>
                <w:sz w:val="19"/>
                <w:szCs w:val="19"/>
                <w:color w:val="auto"/>
              </w:rPr>
            </w:pPr>
          </w:p>
        </w:tc>
        <w:tc>
          <w:tcPr>
            <w:tcW w:w="1200" w:type="dxa"/>
            <w:vAlign w:val="bottom"/>
            <w:gridSpan w:val="2"/>
            <w:shd w:val="clear" w:color="auto" w:fill="E6ECFF"/>
          </w:tcPr>
          <w:p>
            <w:pPr>
              <w:jc w:val="right"/>
              <w:ind w:right="160"/>
              <w:spacing w:after="0"/>
              <w:rPr>
                <w:sz w:val="20"/>
                <w:szCs w:val="20"/>
                <w:color w:val="auto"/>
              </w:rPr>
            </w:pPr>
            <w:r>
              <w:rPr>
                <w:rFonts w:ascii="Calibri" w:cs="Calibri" w:eastAsia="Calibri" w:hAnsi="Calibri"/>
                <w:sz w:val="17"/>
                <w:szCs w:val="17"/>
                <w:color w:val="auto"/>
              </w:rPr>
              <w:t>—</w:t>
            </w:r>
          </w:p>
        </w:tc>
        <w:tc>
          <w:tcPr>
            <w:tcW w:w="380" w:type="dxa"/>
            <w:vAlign w:val="bottom"/>
            <w:shd w:val="clear" w:color="auto" w:fill="E6ECFF"/>
          </w:tcPr>
          <w:p>
            <w:pPr>
              <w:spacing w:after="0"/>
              <w:rPr>
                <w:sz w:val="19"/>
                <w:szCs w:val="19"/>
                <w:color w:val="auto"/>
              </w:rPr>
            </w:pPr>
          </w:p>
        </w:tc>
        <w:tc>
          <w:tcPr>
            <w:tcW w:w="108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(11,527)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200" w:type="dxa"/>
            <w:vAlign w:val="bottom"/>
            <w:tcBorders>
              <w:bottom w:val="single" w:sz="8" w:color="E6ECFF"/>
            </w:tcBorders>
          </w:tcPr>
          <w:p>
            <w:pPr>
              <w:ind w:left="20"/>
              <w:spacing w:after="0" w:line="190" w:lineRule="exact"/>
              <w:rPr>
                <w:sz w:val="20"/>
                <w:szCs w:val="20"/>
                <w:color w:val="auto"/>
              </w:rPr>
            </w:pPr>
            <w:r>
              <w:rPr>
                <w:rFonts w:ascii="Calibri" w:cs="Calibri" w:eastAsia="Calibri" w:hAnsi="Calibri"/>
                <w:sz w:val="17"/>
                <w:szCs w:val="17"/>
                <w:color w:val="auto"/>
              </w:rPr>
              <w:t>Total Stockholders’ Equity</w:t>
            </w:r>
          </w:p>
        </w:tc>
        <w:tc>
          <w:tcPr>
            <w:tcW w:w="360" w:type="dxa"/>
            <w:vAlign w:val="bottom"/>
            <w:tcBorders>
              <w:top w:val="single" w:sz="8" w:color="auto"/>
              <w:bottom w:val="single" w:sz="8" w:color="auto"/>
            </w:tcBorders>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tcBorders>
              <w:top w:val="single" w:sz="8" w:color="auto"/>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1,271,184</w:t>
            </w:r>
          </w:p>
        </w:tc>
        <w:tc>
          <w:tcPr>
            <w:tcW w:w="100" w:type="dxa"/>
            <w:vAlign w:val="bottom"/>
            <w:tcBorders>
              <w:bottom w:val="single" w:sz="8" w:color="E6ECFF"/>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74"/>
              <w:spacing w:after="0" w:line="205" w:lineRule="exact"/>
              <w:rPr>
                <w:sz w:val="20"/>
                <w:szCs w:val="20"/>
                <w:color w:val="auto"/>
              </w:rPr>
            </w:pPr>
            <w:r>
              <w:rPr>
                <w:rFonts w:ascii="Calibri" w:cs="Calibri" w:eastAsia="Calibri" w:hAnsi="Calibri"/>
                <w:sz w:val="17"/>
                <w:szCs w:val="17"/>
                <w:color w:val="auto"/>
              </w:rPr>
              <w:t>$</w:t>
            </w:r>
          </w:p>
        </w:tc>
        <w:tc>
          <w:tcPr>
            <w:tcW w:w="1080" w:type="dxa"/>
            <w:vAlign w:val="bottom"/>
            <w:tcBorders>
              <w:top w:val="single" w:sz="8" w:color="auto"/>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1,112,372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E6ECFF"/>
            </w:tcBorders>
            <w:shd w:val="clear" w:color="auto" w:fill="E6ECFF"/>
          </w:tcPr>
          <w:p>
            <w:pPr>
              <w:ind w:left="20"/>
              <w:spacing w:after="0"/>
              <w:rPr>
                <w:sz w:val="20"/>
                <w:szCs w:val="20"/>
                <w:color w:val="auto"/>
              </w:rPr>
            </w:pPr>
            <w:r>
              <w:rPr>
                <w:rFonts w:ascii="Calibri" w:cs="Calibri" w:eastAsia="Calibri" w:hAnsi="Calibri"/>
                <w:sz w:val="17"/>
                <w:szCs w:val="17"/>
                <w:color w:val="auto"/>
              </w:rPr>
              <w:t>Total Liabilites and Stockholders’ Equity</w:t>
            </w:r>
          </w:p>
        </w:tc>
        <w:tc>
          <w:tcPr>
            <w:tcW w:w="360" w:type="dxa"/>
            <w:vAlign w:val="bottom"/>
            <w:tcBorders>
              <w:bottom w:val="single" w:sz="8" w:color="auto"/>
            </w:tcBorders>
            <w:shd w:val="clear" w:color="auto" w:fill="E6ECFF"/>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12,344,395</w:t>
            </w:r>
          </w:p>
        </w:tc>
        <w:tc>
          <w:tcPr>
            <w:tcW w:w="100" w:type="dxa"/>
            <w:vAlign w:val="bottom"/>
            <w:tcBorders>
              <w:bottom w:val="single" w:sz="8" w:color="E6ECFF"/>
            </w:tcBorders>
            <w:shd w:val="clear" w:color="auto" w:fill="E6ECFF"/>
          </w:tcPr>
          <w:p>
            <w:pPr>
              <w:spacing w:after="0"/>
              <w:rPr>
                <w:sz w:val="20"/>
                <w:szCs w:val="20"/>
                <w:color w:val="auto"/>
              </w:rPr>
            </w:pPr>
          </w:p>
        </w:tc>
        <w:tc>
          <w:tcPr>
            <w:tcW w:w="380" w:type="dxa"/>
            <w:vAlign w:val="bottom"/>
            <w:tcBorders>
              <w:bottom w:val="single" w:sz="8" w:color="auto"/>
            </w:tcBorders>
            <w:shd w:val="clear" w:color="auto" w:fill="E6ECFF"/>
          </w:tcPr>
          <w:p>
            <w:pPr>
              <w:jc w:val="right"/>
              <w:ind w:right="174"/>
              <w:spacing w:after="0" w:line="205" w:lineRule="exact"/>
              <w:rPr>
                <w:sz w:val="20"/>
                <w:szCs w:val="20"/>
                <w:color w:val="auto"/>
              </w:rPr>
            </w:pPr>
            <w:r>
              <w:rPr>
                <w:rFonts w:ascii="Calibri" w:cs="Calibri" w:eastAsia="Calibri" w:hAnsi="Calibri"/>
                <w:sz w:val="17"/>
                <w:szCs w:val="17"/>
                <w:color w:val="auto"/>
              </w:rPr>
              <w:t>$</w:t>
            </w:r>
          </w:p>
        </w:tc>
        <w:tc>
          <w:tcPr>
            <w:tcW w:w="108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9,437,047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0" w:type="dxa"/>
            <w:vAlign w:val="bottom"/>
            <w:tcBorders>
              <w:top w:val="single" w:sz="8" w:color="E6ECFF"/>
            </w:tcBorders>
          </w:tcPr>
          <w:p>
            <w:pPr>
              <w:spacing w:after="0" w:line="20" w:lineRule="exact"/>
              <w:rPr>
                <w:sz w:val="1"/>
                <w:szCs w:val="1"/>
                <w:color w:val="auto"/>
              </w:rPr>
            </w:pPr>
          </w:p>
        </w:tc>
        <w:tc>
          <w:tcPr>
            <w:tcW w:w="360" w:type="dxa"/>
            <w:vAlign w:val="bottom"/>
            <w:tcBorders>
              <w:top w:val="single" w:sz="8" w:color="E6ECFF"/>
              <w:bottom w:val="single" w:sz="8" w:color="auto"/>
            </w:tcBorders>
          </w:tcPr>
          <w:p>
            <w:pPr>
              <w:spacing w:after="0" w:line="20" w:lineRule="exact"/>
              <w:rPr>
                <w:sz w:val="1"/>
                <w:szCs w:val="1"/>
                <w:color w:val="auto"/>
              </w:rPr>
            </w:pPr>
          </w:p>
        </w:tc>
        <w:tc>
          <w:tcPr>
            <w:tcW w:w="1100" w:type="dxa"/>
            <w:vAlign w:val="bottom"/>
            <w:tcBorders>
              <w:top w:val="single" w:sz="8" w:color="E6ECFF"/>
              <w:bottom w:val="single" w:sz="8" w:color="auto"/>
            </w:tcBorders>
          </w:tcPr>
          <w:p>
            <w:pPr>
              <w:spacing w:after="0" w:line="20" w:lineRule="exact"/>
              <w:rPr>
                <w:sz w:val="1"/>
                <w:szCs w:val="1"/>
                <w:color w:val="auto"/>
              </w:rPr>
            </w:pPr>
          </w:p>
        </w:tc>
        <w:tc>
          <w:tcPr>
            <w:tcW w:w="100" w:type="dxa"/>
            <w:vAlign w:val="bottom"/>
            <w:tcBorders>
              <w:top w:val="single" w:sz="8" w:color="E6ECFF"/>
            </w:tcBorders>
          </w:tcPr>
          <w:p>
            <w:pPr>
              <w:spacing w:after="0" w:line="20" w:lineRule="exact"/>
              <w:rPr>
                <w:sz w:val="1"/>
                <w:szCs w:val="1"/>
                <w:color w:val="auto"/>
              </w:rPr>
            </w:pPr>
          </w:p>
        </w:tc>
        <w:tc>
          <w:tcPr>
            <w:tcW w:w="380" w:type="dxa"/>
            <w:vAlign w:val="bottom"/>
            <w:tcBorders>
              <w:top w:val="single" w:sz="8" w:color="E6ECFF"/>
              <w:bottom w:val="single" w:sz="8" w:color="auto"/>
            </w:tcBorders>
          </w:tcPr>
          <w:p>
            <w:pPr>
              <w:spacing w:after="0" w:line="20" w:lineRule="exact"/>
              <w:rPr>
                <w:sz w:val="1"/>
                <w:szCs w:val="1"/>
                <w:color w:val="auto"/>
              </w:rPr>
            </w:pPr>
          </w:p>
        </w:tc>
        <w:tc>
          <w:tcPr>
            <w:tcW w:w="1080" w:type="dxa"/>
            <w:vAlign w:val="bottom"/>
            <w:tcBorders>
              <w:top w:val="single" w:sz="8" w:color="E6EC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Calibri" w:cs="Calibri" w:eastAsia="Calibri" w:hAnsi="Calibri"/>
          <w:sz w:val="17"/>
          <w:szCs w:val="17"/>
          <w:color w:val="auto"/>
        </w:rPr>
        <w:t>See fnancial statement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1155700</wp:posOffset>
            </wp:positionV>
            <wp:extent cx="716407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431800</wp:posOffset>
            </wp:positionV>
            <wp:extent cx="458470" cy="5073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20"/>
          </w:cols>
          <w:pgMar w:left="340" w:top="508" w:right="339" w:bottom="1440" w:gutter="0" w:footer="0" w:header="0"/>
        </w:sectPr>
      </w:pPr>
    </w:p>
    <w:bookmarkStart w:id="79" w:name="page80"/>
    <w:bookmarkEnd w:id="79"/>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CONSOLIDATED STATEMENTS OF OPERATIONS AND COMPREHENSIVE INCOME (LOSS)</w:t>
      </w:r>
    </w:p>
    <w:p>
      <w:pPr>
        <w:spacing w:after="0" w:line="8" w:lineRule="exact"/>
        <w:rPr>
          <w:sz w:val="20"/>
          <w:szCs w:val="20"/>
          <w:color w:val="auto"/>
        </w:rPr>
      </w:pPr>
    </w:p>
    <w:p>
      <w:pPr>
        <w:jc w:val="center"/>
        <w:ind w:right="-159"/>
        <w:spacing w:after="0"/>
        <w:rPr>
          <w:sz w:val="20"/>
          <w:szCs w:val="20"/>
          <w:color w:val="auto"/>
        </w:rPr>
      </w:pPr>
      <w:r>
        <w:rPr>
          <w:rFonts w:ascii="Calibri" w:cs="Calibri" w:eastAsia="Calibri" w:hAnsi="Calibri"/>
          <w:sz w:val="17"/>
          <w:szCs w:val="17"/>
          <w:color w:val="1C4787"/>
        </w:rPr>
        <w:t>(U.S. dollar amounts in thousands,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Calibri" w:cs="Calibri" w:eastAsia="Calibri" w:hAnsi="Calibri"/>
                <w:sz w:val="17"/>
                <w:szCs w:val="17"/>
                <w:color w:val="1C4787"/>
              </w:rPr>
              <w:t>78</w:t>
            </w:r>
          </w:p>
        </w:tc>
        <w:tc>
          <w:tcPr>
            <w:tcW w:w="0" w:type="dxa"/>
            <w:vAlign w:val="bottom"/>
          </w:tcPr>
          <w:p>
            <w:pPr>
              <w:spacing w:after="0"/>
              <w:rPr>
                <w:sz w:val="1"/>
                <w:szCs w:val="1"/>
                <w:color w:val="auto"/>
              </w:rPr>
            </w:pPr>
          </w:p>
        </w:tc>
      </w:tr>
      <w:tr>
        <w:trPr>
          <w:trHeight w:val="628"/>
        </w:trPr>
        <w:tc>
          <w:tcPr>
            <w:tcW w:w="7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340" w:type="dxa"/>
            <w:vAlign w:val="bottom"/>
            <w:shd w:val="clear" w:color="auto" w:fill="E6ECFF"/>
          </w:tcPr>
          <w:p>
            <w:pPr>
              <w:spacing w:after="0"/>
              <w:rPr>
                <w:sz w:val="18"/>
                <w:szCs w:val="18"/>
                <w:color w:val="auto"/>
              </w:rPr>
            </w:pPr>
          </w:p>
        </w:tc>
        <w:tc>
          <w:tcPr>
            <w:tcW w:w="120" w:type="dxa"/>
            <w:vAlign w:val="bottom"/>
            <w:tcBorders>
              <w:bottom w:val="single" w:sz="8" w:color="auto"/>
            </w:tcBorders>
            <w:shd w:val="clear" w:color="auto" w:fill="E6ECFF"/>
          </w:tcPr>
          <w:p>
            <w:pPr>
              <w:spacing w:after="0"/>
              <w:rPr>
                <w:sz w:val="18"/>
                <w:szCs w:val="18"/>
                <w:color w:val="auto"/>
              </w:rPr>
            </w:pPr>
          </w:p>
        </w:tc>
        <w:tc>
          <w:tcPr>
            <w:tcW w:w="1100" w:type="dxa"/>
            <w:vAlign w:val="bottom"/>
            <w:tcBorders>
              <w:bottom w:val="single" w:sz="8" w:color="auto"/>
            </w:tcBorders>
            <w:shd w:val="clear" w:color="auto" w:fill="E6ECFF"/>
          </w:tcPr>
          <w:p>
            <w:pPr>
              <w:spacing w:after="0"/>
              <w:rPr>
                <w:sz w:val="18"/>
                <w:szCs w:val="18"/>
                <w:color w:val="auto"/>
              </w:rPr>
            </w:pPr>
          </w:p>
        </w:tc>
        <w:tc>
          <w:tcPr>
            <w:tcW w:w="1460" w:type="dxa"/>
            <w:vAlign w:val="bottom"/>
            <w:tcBorders>
              <w:bottom w:val="single" w:sz="8" w:color="auto"/>
            </w:tcBorders>
            <w:gridSpan w:val="4"/>
            <w:shd w:val="clear" w:color="auto" w:fill="E6ECFF"/>
          </w:tcPr>
          <w:p>
            <w:pPr>
              <w:jc w:val="center"/>
              <w:spacing w:after="0" w:line="205" w:lineRule="exact"/>
              <w:rPr>
                <w:sz w:val="20"/>
                <w:szCs w:val="20"/>
                <w:color w:val="auto"/>
              </w:rPr>
            </w:pPr>
            <w:r>
              <w:rPr>
                <w:rFonts w:ascii="Calibri" w:cs="Calibri" w:eastAsia="Calibri" w:hAnsi="Calibri"/>
                <w:sz w:val="17"/>
                <w:szCs w:val="17"/>
                <w:b w:val="1"/>
                <w:bCs w:val="1"/>
                <w:color w:val="1C4787"/>
                <w:w w:val="97"/>
              </w:rPr>
              <w:t>For the Years Ended</w:t>
            </w:r>
          </w:p>
        </w:tc>
        <w:tc>
          <w:tcPr>
            <w:tcW w:w="120" w:type="dxa"/>
            <w:vAlign w:val="bottom"/>
            <w:tcBorders>
              <w:bottom w:val="single" w:sz="8" w:color="auto"/>
            </w:tcBorders>
            <w:shd w:val="clear" w:color="auto" w:fill="E6ECFF"/>
          </w:tcPr>
          <w:p>
            <w:pPr>
              <w:spacing w:after="0"/>
              <w:rPr>
                <w:sz w:val="18"/>
                <w:szCs w:val="18"/>
                <w:color w:val="auto"/>
              </w:rPr>
            </w:pPr>
          </w:p>
        </w:tc>
        <w:tc>
          <w:tcPr>
            <w:tcW w:w="1100" w:type="dxa"/>
            <w:vAlign w:val="bottom"/>
            <w:tcBorders>
              <w:bottom w:val="single" w:sz="8" w:color="auto"/>
            </w:tcBorders>
            <w:shd w:val="clear" w:color="auto" w:fill="E6EC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4"/>
              <w:spacing w:after="0" w:line="173" w:lineRule="exact"/>
              <w:rPr>
                <w:sz w:val="20"/>
                <w:szCs w:val="20"/>
                <w:color w:val="auto"/>
              </w:rPr>
            </w:pPr>
            <w:r>
              <w:rPr>
                <w:rFonts w:ascii="Calibri" w:cs="Calibri" w:eastAsia="Calibri" w:hAnsi="Calibri"/>
                <w:sz w:val="17"/>
                <w:szCs w:val="17"/>
                <w:b w:val="1"/>
                <w:bCs w:val="1"/>
                <w:color w:val="1C4787"/>
                <w:w w:val="97"/>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line="173" w:lineRule="exact"/>
              <w:rPr>
                <w:sz w:val="20"/>
                <w:szCs w:val="20"/>
                <w:color w:val="auto"/>
              </w:rPr>
            </w:pPr>
            <w:r>
              <w:rPr>
                <w:rFonts w:ascii="Calibri" w:cs="Calibri" w:eastAsia="Calibri" w:hAnsi="Calibri"/>
                <w:sz w:val="17"/>
                <w:szCs w:val="17"/>
                <w:b w:val="1"/>
                <w:bCs w:val="1"/>
                <w:color w:val="1C4787"/>
              </w:rPr>
              <w:t>December 31,</w:t>
            </w:r>
          </w:p>
        </w:tc>
        <w:tc>
          <w:tcPr>
            <w:tcW w:w="120" w:type="dxa"/>
            <w:vAlign w:val="bottom"/>
          </w:tcPr>
          <w:p>
            <w:pPr>
              <w:spacing w:after="0"/>
              <w:rPr>
                <w:sz w:val="14"/>
                <w:szCs w:val="14"/>
                <w:color w:val="auto"/>
              </w:rPr>
            </w:pPr>
          </w:p>
        </w:tc>
        <w:tc>
          <w:tcPr>
            <w:tcW w:w="1100" w:type="dxa"/>
            <w:vAlign w:val="bottom"/>
          </w:tcPr>
          <w:p>
            <w:pPr>
              <w:jc w:val="right"/>
              <w:ind w:right="34"/>
              <w:spacing w:after="0" w:line="173" w:lineRule="exact"/>
              <w:rPr>
                <w:sz w:val="20"/>
                <w:szCs w:val="20"/>
                <w:color w:val="auto"/>
              </w:rPr>
            </w:pPr>
            <w:r>
              <w:rPr>
                <w:rFonts w:ascii="Calibri" w:cs="Calibri" w:eastAsia="Calibri" w:hAnsi="Calibri"/>
                <w:sz w:val="17"/>
                <w:szCs w:val="17"/>
                <w:b w:val="1"/>
                <w:bCs w:val="1"/>
                <w:color w:val="1C4787"/>
                <w:w w:val="97"/>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54"/>
              <w:spacing w:after="0" w:line="205" w:lineRule="exact"/>
              <w:rPr>
                <w:sz w:val="20"/>
                <w:szCs w:val="20"/>
                <w:color w:val="auto"/>
              </w:rPr>
            </w:pPr>
            <w:r>
              <w:rPr>
                <w:rFonts w:ascii="Calibri" w:cs="Calibri" w:eastAsia="Calibri" w:hAnsi="Calibri"/>
                <w:sz w:val="17"/>
                <w:szCs w:val="17"/>
                <w:b w:val="1"/>
                <w:bCs w:val="1"/>
                <w:color w:val="1C4787"/>
              </w:rPr>
              <w:t>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34"/>
              <w:spacing w:after="0" w:line="205" w:lineRule="exact"/>
              <w:rPr>
                <w:sz w:val="20"/>
                <w:szCs w:val="20"/>
                <w:color w:val="auto"/>
              </w:rPr>
            </w:pPr>
            <w:r>
              <w:rPr>
                <w:rFonts w:ascii="Calibri" w:cs="Calibri" w:eastAsia="Calibri" w:hAnsi="Calibri"/>
                <w:sz w:val="17"/>
                <w:szCs w:val="17"/>
                <w:b w:val="1"/>
                <w:bCs w:val="1"/>
                <w:color w:val="1C4787"/>
                <w:w w:val="98"/>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54"/>
              <w:spacing w:after="0" w:line="205" w:lineRule="exact"/>
              <w:rPr>
                <w:sz w:val="20"/>
                <w:szCs w:val="20"/>
                <w:color w:val="auto"/>
              </w:rPr>
            </w:pPr>
            <w:r>
              <w:rPr>
                <w:rFonts w:ascii="Calibri" w:cs="Calibri" w:eastAsia="Calibri" w:hAnsi="Calibri"/>
                <w:sz w:val="17"/>
                <w:szCs w:val="17"/>
                <w:b w:val="1"/>
                <w:bCs w:val="1"/>
                <w:color w:val="1C4787"/>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340" w:type="dxa"/>
            <w:vAlign w:val="bottom"/>
            <w:tcBorders>
              <w:bottom w:val="single" w:sz="8" w:color="E6EC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C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C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340" w:type="dxa"/>
            <w:vAlign w:val="bottom"/>
            <w:shd w:val="clear" w:color="auto" w:fill="E6ECFF"/>
          </w:tcPr>
          <w:p>
            <w:pPr>
              <w:ind w:left="20"/>
              <w:spacing w:after="0" w:line="185" w:lineRule="exact"/>
              <w:rPr>
                <w:sz w:val="20"/>
                <w:szCs w:val="20"/>
                <w:color w:val="auto"/>
              </w:rPr>
            </w:pPr>
            <w:r>
              <w:rPr>
                <w:rFonts w:ascii="Calibri" w:cs="Calibri" w:eastAsia="Calibri" w:hAnsi="Calibri"/>
                <w:sz w:val="17"/>
                <w:szCs w:val="17"/>
                <w:b w:val="1"/>
                <w:bCs w:val="1"/>
                <w:color w:val="1C4787"/>
              </w:rPr>
              <w:t>Interest Income:</w:t>
            </w:r>
          </w:p>
        </w:tc>
        <w:tc>
          <w:tcPr>
            <w:tcW w:w="120" w:type="dxa"/>
            <w:vAlign w:val="bottom"/>
            <w:shd w:val="clear" w:color="auto" w:fill="E6ECFF"/>
          </w:tcPr>
          <w:p>
            <w:pPr>
              <w:spacing w:after="0"/>
              <w:rPr>
                <w:sz w:val="17"/>
                <w:szCs w:val="17"/>
                <w:color w:val="auto"/>
              </w:rPr>
            </w:pPr>
          </w:p>
        </w:tc>
        <w:tc>
          <w:tcPr>
            <w:tcW w:w="1100" w:type="dxa"/>
            <w:vAlign w:val="bottom"/>
            <w:shd w:val="clear" w:color="auto" w:fill="E6ECFF"/>
          </w:tcPr>
          <w:p>
            <w:pPr>
              <w:spacing w:after="0"/>
              <w:rPr>
                <w:sz w:val="17"/>
                <w:szCs w:val="17"/>
                <w:color w:val="auto"/>
              </w:rPr>
            </w:pPr>
          </w:p>
        </w:tc>
        <w:tc>
          <w:tcPr>
            <w:tcW w:w="120" w:type="dxa"/>
            <w:vAlign w:val="bottom"/>
            <w:shd w:val="clear" w:color="auto" w:fill="E6ECFF"/>
          </w:tcPr>
          <w:p>
            <w:pPr>
              <w:spacing w:after="0"/>
              <w:rPr>
                <w:sz w:val="17"/>
                <w:szCs w:val="17"/>
                <w:color w:val="auto"/>
              </w:rPr>
            </w:pPr>
          </w:p>
        </w:tc>
        <w:tc>
          <w:tcPr>
            <w:tcW w:w="120" w:type="dxa"/>
            <w:vAlign w:val="bottom"/>
            <w:shd w:val="clear" w:color="auto" w:fill="E6ECFF"/>
          </w:tcPr>
          <w:p>
            <w:pPr>
              <w:spacing w:after="0"/>
              <w:rPr>
                <w:sz w:val="17"/>
                <w:szCs w:val="17"/>
                <w:color w:val="auto"/>
              </w:rPr>
            </w:pPr>
          </w:p>
        </w:tc>
        <w:tc>
          <w:tcPr>
            <w:tcW w:w="1100" w:type="dxa"/>
            <w:vAlign w:val="bottom"/>
            <w:shd w:val="clear" w:color="auto" w:fill="E6ECFF"/>
          </w:tcPr>
          <w:p>
            <w:pPr>
              <w:spacing w:after="0"/>
              <w:rPr>
                <w:sz w:val="17"/>
                <w:szCs w:val="17"/>
                <w:color w:val="auto"/>
              </w:rPr>
            </w:pPr>
          </w:p>
        </w:tc>
        <w:tc>
          <w:tcPr>
            <w:tcW w:w="120" w:type="dxa"/>
            <w:vAlign w:val="bottom"/>
            <w:shd w:val="clear" w:color="auto" w:fill="E6ECFF"/>
          </w:tcPr>
          <w:p>
            <w:pPr>
              <w:spacing w:after="0"/>
              <w:rPr>
                <w:sz w:val="17"/>
                <w:szCs w:val="17"/>
                <w:color w:val="auto"/>
              </w:rPr>
            </w:pPr>
          </w:p>
        </w:tc>
        <w:tc>
          <w:tcPr>
            <w:tcW w:w="120" w:type="dxa"/>
            <w:vAlign w:val="bottom"/>
            <w:shd w:val="clear" w:color="auto" w:fill="E6ECFF"/>
          </w:tcPr>
          <w:p>
            <w:pPr>
              <w:spacing w:after="0"/>
              <w:rPr>
                <w:sz w:val="17"/>
                <w:szCs w:val="17"/>
                <w:color w:val="auto"/>
              </w:rPr>
            </w:pPr>
          </w:p>
        </w:tc>
        <w:tc>
          <w:tcPr>
            <w:tcW w:w="1100" w:type="dxa"/>
            <w:vAlign w:val="bottom"/>
            <w:shd w:val="clear" w:color="auto" w:fill="E6EC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40" w:type="dxa"/>
            <w:vAlign w:val="bottom"/>
          </w:tcPr>
          <w:p>
            <w:pPr>
              <w:ind w:left="140"/>
              <w:spacing w:after="0" w:line="205" w:lineRule="exact"/>
              <w:rPr>
                <w:sz w:val="20"/>
                <w:szCs w:val="20"/>
                <w:color w:val="auto"/>
              </w:rPr>
            </w:pPr>
            <w:r>
              <w:rPr>
                <w:rFonts w:ascii="Calibri" w:cs="Calibri" w:eastAsia="Calibri" w:hAnsi="Calibri"/>
                <w:sz w:val="17"/>
                <w:szCs w:val="17"/>
                <w:color w:val="auto"/>
              </w:rPr>
              <w:t>Interest Income (including $973, $1,597 and $70, respectvely with BUCKLER)</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552,903</w:t>
            </w:r>
          </w:p>
        </w:tc>
        <w:tc>
          <w:tcPr>
            <w:tcW w:w="240" w:type="dxa"/>
            <w:vAlign w:val="bottom"/>
            <w:gridSpan w:val="2"/>
          </w:tcPr>
          <w:p>
            <w:pPr>
              <w:jc w:val="right"/>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228,432</w:t>
            </w:r>
          </w:p>
        </w:tc>
        <w:tc>
          <w:tcPr>
            <w:tcW w:w="120" w:type="dxa"/>
            <w:vAlign w:val="bottom"/>
          </w:tcPr>
          <w:p>
            <w:pPr>
              <w:spacing w:after="0"/>
              <w:rPr>
                <w:sz w:val="18"/>
                <w:szCs w:val="18"/>
                <w:color w:val="auto"/>
              </w:rPr>
            </w:pP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80,478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340" w:type="dxa"/>
            <w:vAlign w:val="bottom"/>
            <w:shd w:val="clear" w:color="auto" w:fill="E6ECFF"/>
          </w:tcPr>
          <w:p>
            <w:pPr>
              <w:ind w:left="140"/>
              <w:spacing w:after="0"/>
              <w:rPr>
                <w:sz w:val="20"/>
                <w:szCs w:val="20"/>
                <w:color w:val="auto"/>
              </w:rPr>
            </w:pPr>
            <w:r>
              <w:rPr>
                <w:rFonts w:ascii="Calibri" w:cs="Calibri" w:eastAsia="Calibri" w:hAnsi="Calibri"/>
                <w:sz w:val="17"/>
                <w:szCs w:val="17"/>
                <w:color w:val="auto"/>
              </w:rPr>
              <w:t>Interest expense (including $245,846, $59,807 and $3,504, respectvely with BUCKLER)</w:t>
            </w:r>
          </w:p>
        </w:tc>
        <w:tc>
          <w:tcPr>
            <w:tcW w:w="12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rPr>
                <w:sz w:val="20"/>
                <w:szCs w:val="20"/>
                <w:color w:val="auto"/>
              </w:rPr>
            </w:pPr>
            <w:r>
              <w:rPr>
                <w:rFonts w:ascii="Calibri" w:cs="Calibri" w:eastAsia="Calibri" w:hAnsi="Calibri"/>
                <w:sz w:val="17"/>
                <w:szCs w:val="17"/>
                <w:color w:val="auto"/>
              </w:rPr>
              <w:t>(525,794)</w:t>
            </w:r>
          </w:p>
        </w:tc>
        <w:tc>
          <w:tcPr>
            <w:tcW w:w="120" w:type="dxa"/>
            <w:vAlign w:val="bottom"/>
            <w:shd w:val="clear" w:color="auto" w:fill="E6ECFF"/>
          </w:tcPr>
          <w:p>
            <w:pPr>
              <w:spacing w:after="0"/>
              <w:rPr>
                <w:sz w:val="19"/>
                <w:szCs w:val="19"/>
                <w:color w:val="auto"/>
              </w:rPr>
            </w:pPr>
          </w:p>
        </w:tc>
        <w:tc>
          <w:tcPr>
            <w:tcW w:w="12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rPr>
                <w:sz w:val="20"/>
                <w:szCs w:val="20"/>
                <w:color w:val="auto"/>
              </w:rPr>
            </w:pPr>
            <w:r>
              <w:rPr>
                <w:rFonts w:ascii="Calibri" w:cs="Calibri" w:eastAsia="Calibri" w:hAnsi="Calibri"/>
                <w:sz w:val="17"/>
                <w:szCs w:val="17"/>
                <w:color w:val="auto"/>
              </w:rPr>
              <w:t>(120,768)</w:t>
            </w:r>
          </w:p>
        </w:tc>
        <w:tc>
          <w:tcPr>
            <w:tcW w:w="120" w:type="dxa"/>
            <w:vAlign w:val="bottom"/>
            <w:shd w:val="clear" w:color="auto" w:fill="E6ECFF"/>
          </w:tcPr>
          <w:p>
            <w:pPr>
              <w:spacing w:after="0"/>
              <w:rPr>
                <w:sz w:val="19"/>
                <w:szCs w:val="19"/>
                <w:color w:val="auto"/>
              </w:rPr>
            </w:pPr>
          </w:p>
        </w:tc>
        <w:tc>
          <w:tcPr>
            <w:tcW w:w="12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rPr>
                <w:sz w:val="20"/>
                <w:szCs w:val="20"/>
                <w:color w:val="auto"/>
              </w:rPr>
            </w:pPr>
            <w:r>
              <w:rPr>
                <w:rFonts w:ascii="Calibri" w:cs="Calibri" w:eastAsia="Calibri" w:hAnsi="Calibri"/>
                <w:sz w:val="17"/>
                <w:szCs w:val="17"/>
                <w:color w:val="auto"/>
              </w:rPr>
              <w:t>(7,109)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340" w:type="dxa"/>
            <w:vAlign w:val="bottom"/>
          </w:tcPr>
          <w:p>
            <w:pPr>
              <w:ind w:left="20"/>
              <w:spacing w:after="0" w:line="190" w:lineRule="exact"/>
              <w:rPr>
                <w:sz w:val="20"/>
                <w:szCs w:val="20"/>
                <w:color w:val="auto"/>
              </w:rPr>
            </w:pPr>
            <w:r>
              <w:rPr>
                <w:rFonts w:ascii="Calibri" w:cs="Calibri" w:eastAsia="Calibri" w:hAnsi="Calibri"/>
                <w:sz w:val="17"/>
                <w:szCs w:val="17"/>
                <w:b w:val="1"/>
                <w:bCs w:val="1"/>
                <w:color w:val="1C4787"/>
              </w:rPr>
              <w:t>Net Interest Income</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27,109</w:t>
            </w:r>
          </w:p>
        </w:tc>
        <w:tc>
          <w:tcPr>
            <w:tcW w:w="12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107,664</w:t>
            </w:r>
          </w:p>
        </w:tc>
        <w:tc>
          <w:tcPr>
            <w:tcW w:w="12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73,369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340" w:type="dxa"/>
            <w:vAlign w:val="bottom"/>
            <w:shd w:val="clear" w:color="auto" w:fill="E6ECFF"/>
          </w:tcPr>
          <w:p>
            <w:pPr>
              <w:ind w:left="20"/>
              <w:spacing w:after="0"/>
              <w:rPr>
                <w:sz w:val="20"/>
                <w:szCs w:val="20"/>
                <w:color w:val="auto"/>
              </w:rPr>
            </w:pPr>
            <w:r>
              <w:rPr>
                <w:rFonts w:ascii="Calibri" w:cs="Calibri" w:eastAsia="Calibri" w:hAnsi="Calibri"/>
                <w:sz w:val="17"/>
                <w:szCs w:val="17"/>
                <w:b w:val="1"/>
                <w:bCs w:val="1"/>
                <w:color w:val="1C4787"/>
              </w:rPr>
              <w:t>Other Income (Loss):</w:t>
            </w:r>
          </w:p>
        </w:tc>
        <w:tc>
          <w:tcPr>
            <w:tcW w:w="120" w:type="dxa"/>
            <w:vAlign w:val="bottom"/>
            <w:shd w:val="clear" w:color="auto" w:fill="E6ECFF"/>
          </w:tcPr>
          <w:p>
            <w:pPr>
              <w:spacing w:after="0"/>
              <w:rPr>
                <w:sz w:val="19"/>
                <w:szCs w:val="19"/>
                <w:color w:val="auto"/>
              </w:rPr>
            </w:pPr>
          </w:p>
        </w:tc>
        <w:tc>
          <w:tcPr>
            <w:tcW w:w="1100" w:type="dxa"/>
            <w:vAlign w:val="bottom"/>
            <w:shd w:val="clear" w:color="auto" w:fill="E6ECFF"/>
          </w:tcPr>
          <w:p>
            <w:pPr>
              <w:spacing w:after="0"/>
              <w:rPr>
                <w:sz w:val="19"/>
                <w:szCs w:val="19"/>
                <w:color w:val="auto"/>
              </w:rPr>
            </w:pPr>
          </w:p>
        </w:tc>
        <w:tc>
          <w:tcPr>
            <w:tcW w:w="120" w:type="dxa"/>
            <w:vAlign w:val="bottom"/>
            <w:shd w:val="clear" w:color="auto" w:fill="E6ECFF"/>
          </w:tcPr>
          <w:p>
            <w:pPr>
              <w:spacing w:after="0"/>
              <w:rPr>
                <w:sz w:val="19"/>
                <w:szCs w:val="19"/>
                <w:color w:val="auto"/>
              </w:rPr>
            </w:pPr>
          </w:p>
        </w:tc>
        <w:tc>
          <w:tcPr>
            <w:tcW w:w="120" w:type="dxa"/>
            <w:vAlign w:val="bottom"/>
            <w:shd w:val="clear" w:color="auto" w:fill="E6ECFF"/>
          </w:tcPr>
          <w:p>
            <w:pPr>
              <w:spacing w:after="0"/>
              <w:rPr>
                <w:sz w:val="19"/>
                <w:szCs w:val="19"/>
                <w:color w:val="auto"/>
              </w:rPr>
            </w:pPr>
          </w:p>
        </w:tc>
        <w:tc>
          <w:tcPr>
            <w:tcW w:w="1100" w:type="dxa"/>
            <w:vAlign w:val="bottom"/>
            <w:shd w:val="clear" w:color="auto" w:fill="E6ECFF"/>
          </w:tcPr>
          <w:p>
            <w:pPr>
              <w:spacing w:after="0"/>
              <w:rPr>
                <w:sz w:val="19"/>
                <w:szCs w:val="19"/>
                <w:color w:val="auto"/>
              </w:rPr>
            </w:pPr>
          </w:p>
        </w:tc>
        <w:tc>
          <w:tcPr>
            <w:tcW w:w="120" w:type="dxa"/>
            <w:vAlign w:val="bottom"/>
            <w:shd w:val="clear" w:color="auto" w:fill="E6ECFF"/>
          </w:tcPr>
          <w:p>
            <w:pPr>
              <w:spacing w:after="0"/>
              <w:rPr>
                <w:sz w:val="19"/>
                <w:szCs w:val="19"/>
                <w:color w:val="auto"/>
              </w:rPr>
            </w:pPr>
          </w:p>
        </w:tc>
        <w:tc>
          <w:tcPr>
            <w:tcW w:w="120" w:type="dxa"/>
            <w:vAlign w:val="bottom"/>
            <w:shd w:val="clear" w:color="auto" w:fill="E6ECFF"/>
          </w:tcPr>
          <w:p>
            <w:pPr>
              <w:spacing w:after="0"/>
              <w:rPr>
                <w:sz w:val="19"/>
                <w:szCs w:val="19"/>
                <w:color w:val="auto"/>
              </w:rPr>
            </w:pPr>
          </w:p>
        </w:tc>
        <w:tc>
          <w:tcPr>
            <w:tcW w:w="1100" w:type="dxa"/>
            <w:vAlign w:val="bottom"/>
            <w:shd w:val="clear" w:color="auto" w:fill="E6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340" w:type="dxa"/>
            <w:vAlign w:val="bottom"/>
          </w:tcPr>
          <w:p>
            <w:pPr>
              <w:ind w:left="140"/>
              <w:spacing w:after="0" w:line="173" w:lineRule="exact"/>
              <w:rPr>
                <w:sz w:val="20"/>
                <w:szCs w:val="20"/>
                <w:color w:val="auto"/>
              </w:rPr>
            </w:pPr>
            <w:r>
              <w:rPr>
                <w:rFonts w:ascii="Calibri" w:cs="Calibri" w:eastAsia="Calibri" w:hAnsi="Calibri"/>
                <w:sz w:val="17"/>
                <w:szCs w:val="17"/>
                <w:color w:val="auto"/>
              </w:rPr>
              <w:t>Realized gain (loss) on sale of available for sale Agency Securites (reclassifed from Other</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340" w:type="dxa"/>
            <w:vAlign w:val="bottom"/>
          </w:tcPr>
          <w:p>
            <w:pPr>
              <w:ind w:left="140"/>
              <w:spacing w:after="0" w:line="205" w:lineRule="exact"/>
              <w:rPr>
                <w:sz w:val="20"/>
                <w:szCs w:val="20"/>
                <w:color w:val="auto"/>
              </w:rPr>
            </w:pPr>
            <w:r>
              <w:rPr>
                <w:rFonts w:ascii="Calibri" w:cs="Calibri" w:eastAsia="Calibri" w:hAnsi="Calibri"/>
                <w:sz w:val="17"/>
                <w:szCs w:val="17"/>
                <w:color w:val="auto"/>
              </w:rPr>
              <w:t>comprehensive loss)</w:t>
            </w:r>
          </w:p>
        </w:tc>
        <w:tc>
          <w:tcPr>
            <w:tcW w:w="120" w:type="dxa"/>
            <w:vAlign w:val="bottom"/>
          </w:tcPr>
          <w:p>
            <w:pPr>
              <w:spacing w:after="0"/>
              <w:rPr>
                <w:sz w:val="17"/>
                <w:szCs w:val="17"/>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(7,471)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(7,452)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10,952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340" w:type="dxa"/>
            <w:vAlign w:val="bottom"/>
            <w:shd w:val="clear" w:color="auto" w:fill="E6ECFF"/>
          </w:tcPr>
          <w:p>
            <w:pPr>
              <w:ind w:left="140"/>
              <w:spacing w:after="0" w:line="205" w:lineRule="exact"/>
              <w:rPr>
                <w:sz w:val="20"/>
                <w:szCs w:val="20"/>
                <w:color w:val="auto"/>
              </w:rPr>
            </w:pPr>
            <w:r>
              <w:rPr>
                <w:rFonts w:ascii="Calibri" w:cs="Calibri" w:eastAsia="Calibri" w:hAnsi="Calibri"/>
                <w:sz w:val="17"/>
                <w:szCs w:val="17"/>
                <w:color w:val="auto"/>
              </w:rPr>
              <w:t>Impairment losses on available for sale Agency Securites</w:t>
            </w:r>
          </w:p>
        </w:tc>
        <w:tc>
          <w:tcPr>
            <w:tcW w:w="12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w:t>
            </w:r>
          </w:p>
        </w:tc>
        <w:tc>
          <w:tcPr>
            <w:tcW w:w="120" w:type="dxa"/>
            <w:vAlign w:val="bottom"/>
            <w:shd w:val="clear" w:color="auto" w:fill="E6ECFF"/>
          </w:tcPr>
          <w:p>
            <w:pPr>
              <w:spacing w:after="0"/>
              <w:rPr>
                <w:sz w:val="19"/>
                <w:szCs w:val="19"/>
                <w:color w:val="auto"/>
              </w:rPr>
            </w:pPr>
          </w:p>
        </w:tc>
        <w:tc>
          <w:tcPr>
            <w:tcW w:w="12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(4,183)</w:t>
            </w:r>
          </w:p>
        </w:tc>
        <w:tc>
          <w:tcPr>
            <w:tcW w:w="120" w:type="dxa"/>
            <w:vAlign w:val="bottom"/>
            <w:shd w:val="clear" w:color="auto" w:fill="E6ECFF"/>
          </w:tcPr>
          <w:p>
            <w:pPr>
              <w:spacing w:after="0"/>
              <w:rPr>
                <w:sz w:val="19"/>
                <w:szCs w:val="19"/>
                <w:color w:val="auto"/>
              </w:rPr>
            </w:pPr>
          </w:p>
        </w:tc>
        <w:tc>
          <w:tcPr>
            <w:tcW w:w="12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340" w:type="dxa"/>
            <w:vAlign w:val="bottom"/>
          </w:tcPr>
          <w:p>
            <w:pPr>
              <w:ind w:left="140"/>
              <w:spacing w:after="0" w:line="205" w:lineRule="exact"/>
              <w:rPr>
                <w:sz w:val="20"/>
                <w:szCs w:val="20"/>
                <w:color w:val="auto"/>
              </w:rPr>
            </w:pPr>
            <w:r>
              <w:rPr>
                <w:rFonts w:ascii="Calibri" w:cs="Calibri" w:eastAsia="Calibri" w:hAnsi="Calibri"/>
                <w:sz w:val="17"/>
                <w:szCs w:val="17"/>
                <w:color w:val="auto"/>
              </w:rPr>
              <w:t>Loss on Agency Securites, trading</w:t>
            </w:r>
          </w:p>
        </w:tc>
        <w:tc>
          <w:tcPr>
            <w:tcW w:w="12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(52,665)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(946,666)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(77,145)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340" w:type="dxa"/>
            <w:vAlign w:val="bottom"/>
            <w:shd w:val="clear" w:color="auto" w:fill="E6ECFF"/>
          </w:tcPr>
          <w:p>
            <w:pPr>
              <w:ind w:left="140"/>
              <w:spacing w:after="0"/>
              <w:rPr>
                <w:sz w:val="20"/>
                <w:szCs w:val="20"/>
                <w:color w:val="auto"/>
              </w:rPr>
            </w:pPr>
            <w:r>
              <w:rPr>
                <w:rFonts w:ascii="Calibri" w:cs="Calibri" w:eastAsia="Calibri" w:hAnsi="Calibri"/>
                <w:sz w:val="17"/>
                <w:szCs w:val="17"/>
                <w:color w:val="auto"/>
              </w:rPr>
              <w:t>Loss on U.S. Treasury Securites</w:t>
            </w:r>
          </w:p>
        </w:tc>
        <w:tc>
          <w:tcPr>
            <w:tcW w:w="12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(43,093)</w:t>
            </w:r>
          </w:p>
        </w:tc>
        <w:tc>
          <w:tcPr>
            <w:tcW w:w="120" w:type="dxa"/>
            <w:vAlign w:val="bottom"/>
            <w:shd w:val="clear" w:color="auto" w:fill="E6ECFF"/>
          </w:tcPr>
          <w:p>
            <w:pPr>
              <w:spacing w:after="0"/>
              <w:rPr>
                <w:sz w:val="19"/>
                <w:szCs w:val="19"/>
                <w:color w:val="auto"/>
              </w:rPr>
            </w:pPr>
          </w:p>
        </w:tc>
        <w:tc>
          <w:tcPr>
            <w:tcW w:w="12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(152,268)</w:t>
            </w:r>
          </w:p>
        </w:tc>
        <w:tc>
          <w:tcPr>
            <w:tcW w:w="120" w:type="dxa"/>
            <w:vAlign w:val="bottom"/>
            <w:shd w:val="clear" w:color="auto" w:fill="E6ECFF"/>
          </w:tcPr>
          <w:p>
            <w:pPr>
              <w:spacing w:after="0"/>
              <w:rPr>
                <w:sz w:val="19"/>
                <w:szCs w:val="19"/>
                <w:color w:val="auto"/>
              </w:rPr>
            </w:pPr>
          </w:p>
        </w:tc>
        <w:tc>
          <w:tcPr>
            <w:tcW w:w="12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(9,391)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tcBorders>
              <w:bottom w:val="single" w:sz="8" w:color="E6ECFF"/>
            </w:tcBorders>
          </w:tcPr>
          <w:p>
            <w:pPr>
              <w:ind w:left="140"/>
              <w:spacing w:after="0" w:line="219" w:lineRule="exact"/>
              <w:rPr>
                <w:sz w:val="20"/>
                <w:szCs w:val="20"/>
                <w:color w:val="auto"/>
              </w:rPr>
            </w:pPr>
            <w:r>
              <w:rPr>
                <w:rFonts w:ascii="Calibri" w:cs="Calibri" w:eastAsia="Calibri" w:hAnsi="Calibri"/>
                <w:sz w:val="17"/>
                <w:szCs w:val="17"/>
                <w:color w:val="auto"/>
              </w:rPr>
              <w:t xml:space="preserve">Gain on derivatves, net </w:t>
            </w:r>
            <w:r>
              <w:rPr>
                <w:rFonts w:ascii="Calibri" w:cs="Calibri" w:eastAsia="Calibri" w:hAnsi="Calibri"/>
                <w:sz w:val="22"/>
                <w:szCs w:val="22"/>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51,748</w:t>
            </w:r>
          </w:p>
        </w:tc>
        <w:tc>
          <w:tcPr>
            <w:tcW w:w="120" w:type="dxa"/>
            <w:vAlign w:val="bottom"/>
            <w:tcBorders>
              <w:bottom w:val="single" w:sz="8" w:color="E6EC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810,808</w:t>
            </w:r>
          </w:p>
        </w:tc>
        <w:tc>
          <w:tcPr>
            <w:tcW w:w="120" w:type="dxa"/>
            <w:vAlign w:val="bottom"/>
            <w:tcBorders>
              <w:bottom w:val="single" w:sz="8" w:color="E6EC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52,493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340" w:type="dxa"/>
            <w:vAlign w:val="bottom"/>
            <w:shd w:val="clear" w:color="auto" w:fill="E6ECFF"/>
          </w:tcPr>
          <w:p>
            <w:pPr>
              <w:ind w:left="20"/>
              <w:spacing w:after="0" w:line="190" w:lineRule="exact"/>
              <w:rPr>
                <w:sz w:val="20"/>
                <w:szCs w:val="20"/>
                <w:color w:val="auto"/>
              </w:rPr>
            </w:pPr>
            <w:r>
              <w:rPr>
                <w:rFonts w:ascii="Calibri" w:cs="Calibri" w:eastAsia="Calibri" w:hAnsi="Calibri"/>
                <w:sz w:val="17"/>
                <w:szCs w:val="17"/>
                <w:b w:val="1"/>
                <w:bCs w:val="1"/>
                <w:color w:val="1C4787"/>
              </w:rPr>
              <w:t>Total Other Loss</w:t>
            </w:r>
          </w:p>
        </w:tc>
        <w:tc>
          <w:tcPr>
            <w:tcW w:w="12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(51,481)</w:t>
            </w:r>
          </w:p>
        </w:tc>
        <w:tc>
          <w:tcPr>
            <w:tcW w:w="120" w:type="dxa"/>
            <w:vAlign w:val="bottom"/>
            <w:shd w:val="clear" w:color="auto" w:fill="E6ECFF"/>
          </w:tcPr>
          <w:p>
            <w:pPr>
              <w:spacing w:after="0"/>
              <w:rPr>
                <w:sz w:val="18"/>
                <w:szCs w:val="18"/>
                <w:color w:val="auto"/>
              </w:rPr>
            </w:pPr>
          </w:p>
        </w:tc>
        <w:tc>
          <w:tcPr>
            <w:tcW w:w="12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(299,761)</w:t>
            </w:r>
          </w:p>
        </w:tc>
        <w:tc>
          <w:tcPr>
            <w:tcW w:w="120" w:type="dxa"/>
            <w:vAlign w:val="bottom"/>
            <w:shd w:val="clear" w:color="auto" w:fill="E6ECFF"/>
          </w:tcPr>
          <w:p>
            <w:pPr>
              <w:spacing w:after="0"/>
              <w:rPr>
                <w:sz w:val="18"/>
                <w:szCs w:val="18"/>
                <w:color w:val="auto"/>
              </w:rPr>
            </w:pPr>
          </w:p>
        </w:tc>
        <w:tc>
          <w:tcPr>
            <w:tcW w:w="12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(23,091)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340" w:type="dxa"/>
            <w:vAlign w:val="bottom"/>
          </w:tcPr>
          <w:p>
            <w:pPr>
              <w:ind w:left="20"/>
              <w:spacing w:after="0" w:line="190" w:lineRule="exact"/>
              <w:rPr>
                <w:sz w:val="20"/>
                <w:szCs w:val="20"/>
                <w:color w:val="auto"/>
              </w:rPr>
            </w:pPr>
            <w:r>
              <w:rPr>
                <w:rFonts w:ascii="Calibri" w:cs="Calibri" w:eastAsia="Calibri" w:hAnsi="Calibri"/>
                <w:sz w:val="17"/>
                <w:szCs w:val="17"/>
                <w:b w:val="1"/>
                <w:bCs w:val="1"/>
                <w:color w:val="1C4787"/>
              </w:rPr>
              <w:t>Expenses: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340" w:type="dxa"/>
            <w:vAlign w:val="bottom"/>
            <w:shd w:val="clear" w:color="auto" w:fill="E6ECFF"/>
          </w:tcPr>
          <w:p>
            <w:pPr>
              <w:ind w:left="140"/>
              <w:spacing w:after="0" w:line="205" w:lineRule="exact"/>
              <w:rPr>
                <w:sz w:val="20"/>
                <w:szCs w:val="20"/>
                <w:color w:val="auto"/>
              </w:rPr>
            </w:pPr>
            <w:r>
              <w:rPr>
                <w:rFonts w:ascii="Calibri" w:cs="Calibri" w:eastAsia="Calibri" w:hAnsi="Calibri"/>
                <w:sz w:val="17"/>
                <w:szCs w:val="17"/>
                <w:color w:val="auto"/>
              </w:rPr>
              <w:t>Management fees</w:t>
            </w:r>
          </w:p>
        </w:tc>
        <w:tc>
          <w:tcPr>
            <w:tcW w:w="12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38,188</w:t>
            </w:r>
          </w:p>
        </w:tc>
        <w:tc>
          <w:tcPr>
            <w:tcW w:w="120" w:type="dxa"/>
            <w:vAlign w:val="bottom"/>
            <w:shd w:val="clear" w:color="auto" w:fill="E6ECFF"/>
          </w:tcPr>
          <w:p>
            <w:pPr>
              <w:spacing w:after="0"/>
              <w:rPr>
                <w:sz w:val="19"/>
                <w:szCs w:val="19"/>
                <w:color w:val="auto"/>
              </w:rPr>
            </w:pPr>
          </w:p>
        </w:tc>
        <w:tc>
          <w:tcPr>
            <w:tcW w:w="12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33,774</w:t>
            </w:r>
          </w:p>
        </w:tc>
        <w:tc>
          <w:tcPr>
            <w:tcW w:w="120" w:type="dxa"/>
            <w:vAlign w:val="bottom"/>
            <w:shd w:val="clear" w:color="auto" w:fill="E6ECFF"/>
          </w:tcPr>
          <w:p>
            <w:pPr>
              <w:spacing w:after="0"/>
              <w:rPr>
                <w:sz w:val="19"/>
                <w:szCs w:val="19"/>
                <w:color w:val="auto"/>
              </w:rPr>
            </w:pPr>
          </w:p>
        </w:tc>
        <w:tc>
          <w:tcPr>
            <w:tcW w:w="120" w:type="dxa"/>
            <w:vAlign w:val="bottom"/>
            <w:shd w:val="clear" w:color="auto" w:fill="E6ECFF"/>
          </w:tcPr>
          <w:p>
            <w:pPr>
              <w:spacing w:after="0"/>
              <w:rPr>
                <w:sz w:val="19"/>
                <w:szCs w:val="19"/>
                <w:color w:val="auto"/>
              </w:rPr>
            </w:pPr>
          </w:p>
        </w:tc>
        <w:tc>
          <w:tcPr>
            <w:tcW w:w="110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31,108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340" w:type="dxa"/>
            <w:vAlign w:val="bottom"/>
          </w:tcPr>
          <w:p>
            <w:pPr>
              <w:ind w:left="140"/>
              <w:spacing w:after="0" w:line="205" w:lineRule="exact"/>
              <w:rPr>
                <w:sz w:val="20"/>
                <w:szCs w:val="20"/>
                <w:color w:val="auto"/>
              </w:rPr>
            </w:pPr>
            <w:r>
              <w:rPr>
                <w:rFonts w:ascii="Calibri" w:cs="Calibri" w:eastAsia="Calibri" w:hAnsi="Calibri"/>
                <w:sz w:val="17"/>
                <w:szCs w:val="17"/>
                <w:color w:val="auto"/>
              </w:rPr>
              <w:t>Compensaton</w:t>
            </w:r>
          </w:p>
        </w:tc>
        <w:tc>
          <w:tcPr>
            <w:tcW w:w="12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4,944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5,485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6,614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340" w:type="dxa"/>
            <w:vAlign w:val="bottom"/>
            <w:shd w:val="clear" w:color="auto" w:fill="E6ECFF"/>
          </w:tcPr>
          <w:p>
            <w:pPr>
              <w:ind w:left="140"/>
              <w:spacing w:after="0"/>
              <w:rPr>
                <w:sz w:val="20"/>
                <w:szCs w:val="20"/>
                <w:color w:val="auto"/>
              </w:rPr>
            </w:pPr>
            <w:r>
              <w:rPr>
                <w:rFonts w:ascii="Calibri" w:cs="Calibri" w:eastAsia="Calibri" w:hAnsi="Calibri"/>
                <w:sz w:val="17"/>
                <w:szCs w:val="17"/>
                <w:color w:val="auto"/>
              </w:rPr>
              <w:t>Other Operatng</w:t>
            </w:r>
          </w:p>
        </w:tc>
        <w:tc>
          <w:tcPr>
            <w:tcW w:w="12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rPr>
                <w:sz w:val="20"/>
                <w:szCs w:val="20"/>
                <w:color w:val="auto"/>
              </w:rPr>
            </w:pPr>
            <w:r>
              <w:rPr>
                <w:rFonts w:ascii="Calibri" w:cs="Calibri" w:eastAsia="Calibri" w:hAnsi="Calibri"/>
                <w:sz w:val="17"/>
                <w:szCs w:val="17"/>
                <w:color w:val="auto"/>
              </w:rPr>
              <w:t>7,019</w:t>
            </w:r>
          </w:p>
        </w:tc>
        <w:tc>
          <w:tcPr>
            <w:tcW w:w="120" w:type="dxa"/>
            <w:vAlign w:val="bottom"/>
            <w:shd w:val="clear" w:color="auto" w:fill="E6ECFF"/>
          </w:tcPr>
          <w:p>
            <w:pPr>
              <w:spacing w:after="0"/>
              <w:rPr>
                <w:sz w:val="19"/>
                <w:szCs w:val="19"/>
                <w:color w:val="auto"/>
              </w:rPr>
            </w:pPr>
          </w:p>
        </w:tc>
        <w:tc>
          <w:tcPr>
            <w:tcW w:w="12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rPr>
                <w:sz w:val="20"/>
                <w:szCs w:val="20"/>
                <w:color w:val="auto"/>
              </w:rPr>
            </w:pPr>
            <w:r>
              <w:rPr>
                <w:rFonts w:ascii="Calibri" w:cs="Calibri" w:eastAsia="Calibri" w:hAnsi="Calibri"/>
                <w:sz w:val="17"/>
                <w:szCs w:val="17"/>
                <w:color w:val="auto"/>
              </w:rPr>
              <w:t>6,374</w:t>
            </w:r>
          </w:p>
        </w:tc>
        <w:tc>
          <w:tcPr>
            <w:tcW w:w="120" w:type="dxa"/>
            <w:vAlign w:val="bottom"/>
            <w:shd w:val="clear" w:color="auto" w:fill="E6ECFF"/>
          </w:tcPr>
          <w:p>
            <w:pPr>
              <w:spacing w:after="0"/>
              <w:rPr>
                <w:sz w:val="19"/>
                <w:szCs w:val="19"/>
                <w:color w:val="auto"/>
              </w:rPr>
            </w:pPr>
          </w:p>
        </w:tc>
        <w:tc>
          <w:tcPr>
            <w:tcW w:w="12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rPr>
                <w:sz w:val="20"/>
                <w:szCs w:val="20"/>
                <w:color w:val="auto"/>
              </w:rPr>
            </w:pPr>
            <w:r>
              <w:rPr>
                <w:rFonts w:ascii="Calibri" w:cs="Calibri" w:eastAsia="Calibri" w:hAnsi="Calibri"/>
                <w:sz w:val="17"/>
                <w:szCs w:val="17"/>
                <w:color w:val="auto"/>
              </w:rPr>
              <w:t>5,793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340" w:type="dxa"/>
            <w:vAlign w:val="bottom"/>
          </w:tcPr>
          <w:p>
            <w:pPr>
              <w:ind w:left="20"/>
              <w:spacing w:after="0" w:line="190" w:lineRule="exact"/>
              <w:rPr>
                <w:sz w:val="20"/>
                <w:szCs w:val="20"/>
                <w:color w:val="auto"/>
              </w:rPr>
            </w:pPr>
            <w:r>
              <w:rPr>
                <w:rFonts w:ascii="Calibri" w:cs="Calibri" w:eastAsia="Calibri" w:hAnsi="Calibri"/>
                <w:sz w:val="17"/>
                <w:szCs w:val="17"/>
                <w:b w:val="1"/>
                <w:bCs w:val="1"/>
                <w:color w:val="1C4787"/>
              </w:rPr>
              <w:t>Total Expenses</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50,151</w:t>
            </w:r>
          </w:p>
        </w:tc>
        <w:tc>
          <w:tcPr>
            <w:tcW w:w="12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45,633</w:t>
            </w:r>
          </w:p>
        </w:tc>
        <w:tc>
          <w:tcPr>
            <w:tcW w:w="12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43,515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340" w:type="dxa"/>
            <w:vAlign w:val="bottom"/>
            <w:shd w:val="clear" w:color="auto" w:fill="E6ECFF"/>
          </w:tcPr>
          <w:p>
            <w:pPr>
              <w:ind w:left="120"/>
              <w:spacing w:after="0"/>
              <w:rPr>
                <w:sz w:val="20"/>
                <w:szCs w:val="20"/>
                <w:color w:val="auto"/>
              </w:rPr>
            </w:pPr>
            <w:r>
              <w:rPr>
                <w:rFonts w:ascii="Calibri" w:cs="Calibri" w:eastAsia="Calibri" w:hAnsi="Calibri"/>
                <w:sz w:val="17"/>
                <w:szCs w:val="17"/>
                <w:color w:val="auto"/>
              </w:rPr>
              <w:t>Less management fees waived</w:t>
            </w:r>
          </w:p>
        </w:tc>
        <w:tc>
          <w:tcPr>
            <w:tcW w:w="12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rPr>
                <w:sz w:val="20"/>
                <w:szCs w:val="20"/>
                <w:color w:val="auto"/>
              </w:rPr>
            </w:pPr>
            <w:r>
              <w:rPr>
                <w:rFonts w:ascii="Calibri" w:cs="Calibri" w:eastAsia="Calibri" w:hAnsi="Calibri"/>
                <w:sz w:val="17"/>
                <w:szCs w:val="17"/>
                <w:color w:val="auto"/>
              </w:rPr>
              <w:t>(6,600)</w:t>
            </w:r>
          </w:p>
        </w:tc>
        <w:tc>
          <w:tcPr>
            <w:tcW w:w="120" w:type="dxa"/>
            <w:vAlign w:val="bottom"/>
            <w:shd w:val="clear" w:color="auto" w:fill="E6ECFF"/>
          </w:tcPr>
          <w:p>
            <w:pPr>
              <w:spacing w:after="0"/>
              <w:rPr>
                <w:sz w:val="19"/>
                <w:szCs w:val="19"/>
                <w:color w:val="auto"/>
              </w:rPr>
            </w:pPr>
          </w:p>
        </w:tc>
        <w:tc>
          <w:tcPr>
            <w:tcW w:w="12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rPr>
                <w:sz w:val="20"/>
                <w:szCs w:val="20"/>
                <w:color w:val="auto"/>
              </w:rPr>
            </w:pPr>
            <w:r>
              <w:rPr>
                <w:rFonts w:ascii="Calibri" w:cs="Calibri" w:eastAsia="Calibri" w:hAnsi="Calibri"/>
                <w:sz w:val="17"/>
                <w:szCs w:val="17"/>
                <w:color w:val="auto"/>
              </w:rPr>
              <w:t>(7,800)</w:t>
            </w:r>
          </w:p>
        </w:tc>
        <w:tc>
          <w:tcPr>
            <w:tcW w:w="120" w:type="dxa"/>
            <w:vAlign w:val="bottom"/>
            <w:shd w:val="clear" w:color="auto" w:fill="E6ECFF"/>
          </w:tcPr>
          <w:p>
            <w:pPr>
              <w:spacing w:after="0"/>
              <w:rPr>
                <w:sz w:val="19"/>
                <w:szCs w:val="19"/>
                <w:color w:val="auto"/>
              </w:rPr>
            </w:pPr>
          </w:p>
        </w:tc>
        <w:tc>
          <w:tcPr>
            <w:tcW w:w="12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rPr>
                <w:sz w:val="20"/>
                <w:szCs w:val="20"/>
                <w:color w:val="auto"/>
              </w:rPr>
            </w:pPr>
            <w:r>
              <w:rPr>
                <w:rFonts w:ascii="Calibri" w:cs="Calibri" w:eastAsia="Calibri" w:hAnsi="Calibri"/>
                <w:sz w:val="17"/>
                <w:szCs w:val="17"/>
                <w:color w:val="auto"/>
              </w:rPr>
              <w:t>(8,600)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340" w:type="dxa"/>
            <w:vAlign w:val="bottom"/>
            <w:tcBorders>
              <w:bottom w:val="single" w:sz="8" w:color="E6ECFF"/>
            </w:tcBorders>
          </w:tcPr>
          <w:p>
            <w:pPr>
              <w:ind w:left="20"/>
              <w:spacing w:after="0" w:line="190" w:lineRule="exact"/>
              <w:rPr>
                <w:sz w:val="20"/>
                <w:szCs w:val="20"/>
                <w:color w:val="auto"/>
              </w:rPr>
            </w:pPr>
            <w:r>
              <w:rPr>
                <w:rFonts w:ascii="Calibri" w:cs="Calibri" w:eastAsia="Calibri" w:hAnsi="Calibri"/>
                <w:sz w:val="17"/>
                <w:szCs w:val="17"/>
                <w:b w:val="1"/>
                <w:bCs w:val="1"/>
                <w:color w:val="1C4787"/>
              </w:rPr>
              <w:t>Total Expenses afer fees waived</w:t>
            </w: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43,551</w:t>
            </w:r>
          </w:p>
        </w:tc>
        <w:tc>
          <w:tcPr>
            <w:tcW w:w="120" w:type="dxa"/>
            <w:vAlign w:val="bottom"/>
            <w:tcBorders>
              <w:bottom w:val="single" w:sz="8" w:color="E6ECFF"/>
            </w:tcBorders>
          </w:tcPr>
          <w:p>
            <w:pPr>
              <w:spacing w:after="0"/>
              <w:rPr>
                <w:sz w:val="17"/>
                <w:szCs w:val="17"/>
                <w:color w:val="auto"/>
              </w:rPr>
            </w:pP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37,833</w:t>
            </w:r>
          </w:p>
        </w:tc>
        <w:tc>
          <w:tcPr>
            <w:tcW w:w="120" w:type="dxa"/>
            <w:vAlign w:val="bottom"/>
            <w:tcBorders>
              <w:bottom w:val="single" w:sz="8" w:color="E6ECFF"/>
            </w:tcBorders>
          </w:tcPr>
          <w:p>
            <w:pPr>
              <w:spacing w:after="0"/>
              <w:rPr>
                <w:sz w:val="17"/>
                <w:szCs w:val="17"/>
                <w:color w:val="auto"/>
              </w:rPr>
            </w:pP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34,915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E6ECFF"/>
          </w:tcPr>
          <w:p>
            <w:pPr>
              <w:ind w:left="20"/>
              <w:spacing w:after="0" w:line="197" w:lineRule="exact"/>
              <w:rPr>
                <w:sz w:val="20"/>
                <w:szCs w:val="20"/>
                <w:color w:val="auto"/>
              </w:rPr>
            </w:pPr>
            <w:r>
              <w:rPr>
                <w:rFonts w:ascii="Calibri" w:cs="Calibri" w:eastAsia="Calibri" w:hAnsi="Calibri"/>
                <w:sz w:val="17"/>
                <w:szCs w:val="17"/>
                <w:b w:val="1"/>
                <w:bCs w:val="1"/>
                <w:color w:val="1C4787"/>
              </w:rPr>
              <w:t>Net Income (Loss)</w:t>
            </w:r>
          </w:p>
        </w:tc>
        <w:tc>
          <w:tcPr>
            <w:tcW w:w="12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(67,923)</w:t>
            </w:r>
          </w:p>
        </w:tc>
        <w:tc>
          <w:tcPr>
            <w:tcW w:w="120" w:type="dxa"/>
            <w:vAlign w:val="bottom"/>
            <w:shd w:val="clear" w:color="auto" w:fill="E6ECFF"/>
          </w:tcPr>
          <w:p>
            <w:pPr>
              <w:spacing w:after="0"/>
              <w:rPr>
                <w:sz w:val="19"/>
                <w:szCs w:val="19"/>
                <w:color w:val="auto"/>
              </w:rPr>
            </w:pPr>
          </w:p>
        </w:tc>
        <w:tc>
          <w:tcPr>
            <w:tcW w:w="12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(229,930)</w:t>
            </w:r>
          </w:p>
        </w:tc>
        <w:tc>
          <w:tcPr>
            <w:tcW w:w="120" w:type="dxa"/>
            <w:vAlign w:val="bottom"/>
            <w:shd w:val="clear" w:color="auto" w:fill="E6ECFF"/>
          </w:tcPr>
          <w:p>
            <w:pPr>
              <w:spacing w:after="0"/>
              <w:rPr>
                <w:sz w:val="19"/>
                <w:szCs w:val="19"/>
                <w:color w:val="auto"/>
              </w:rPr>
            </w:pPr>
          </w:p>
        </w:tc>
        <w:tc>
          <w:tcPr>
            <w:tcW w:w="12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15,363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340" w:type="dxa"/>
            <w:vAlign w:val="bottom"/>
            <w:tcBorders>
              <w:bottom w:val="single" w:sz="8" w:color="E6ECFF"/>
            </w:tcBorders>
          </w:tcPr>
          <w:p>
            <w:pPr>
              <w:ind w:left="140"/>
              <w:spacing w:after="0" w:line="205" w:lineRule="exact"/>
              <w:rPr>
                <w:sz w:val="20"/>
                <w:szCs w:val="20"/>
                <w:color w:val="auto"/>
              </w:rPr>
            </w:pPr>
            <w:r>
              <w:rPr>
                <w:rFonts w:ascii="Calibri" w:cs="Calibri" w:eastAsia="Calibri" w:hAnsi="Calibri"/>
                <w:sz w:val="17"/>
                <w:szCs w:val="17"/>
                <w:color w:val="auto"/>
              </w:rPr>
              <w:t>Dividends on preferred stock</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(11,982)</w:t>
            </w:r>
          </w:p>
        </w:tc>
        <w:tc>
          <w:tcPr>
            <w:tcW w:w="120" w:type="dxa"/>
            <w:vAlign w:val="bottom"/>
            <w:tcBorders>
              <w:bottom w:val="single" w:sz="8" w:color="E6EC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(11,982)</w:t>
            </w:r>
          </w:p>
        </w:tc>
        <w:tc>
          <w:tcPr>
            <w:tcW w:w="120" w:type="dxa"/>
            <w:vAlign w:val="bottom"/>
            <w:tcBorders>
              <w:bottom w:val="single" w:sz="8" w:color="E6EC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E6ECFF"/>
            </w:tcBorders>
            <w:shd w:val="clear" w:color="auto" w:fill="E6ECFF"/>
          </w:tcPr>
          <w:p>
            <w:pPr>
              <w:ind w:left="20"/>
              <w:spacing w:after="0"/>
              <w:rPr>
                <w:sz w:val="20"/>
                <w:szCs w:val="20"/>
                <w:color w:val="auto"/>
              </w:rPr>
            </w:pPr>
            <w:r>
              <w:rPr>
                <w:rFonts w:ascii="Calibri" w:cs="Calibri" w:eastAsia="Calibri" w:hAnsi="Calibri"/>
                <w:sz w:val="17"/>
                <w:szCs w:val="17"/>
                <w:b w:val="1"/>
                <w:bCs w:val="1"/>
                <w:color w:val="1C4787"/>
              </w:rPr>
              <w:t>Net Income (Loss) available (related) to common stockholders</w:t>
            </w:r>
          </w:p>
        </w:tc>
        <w:tc>
          <w:tcPr>
            <w:tcW w:w="12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(79,905)</w:t>
            </w:r>
          </w:p>
        </w:tc>
        <w:tc>
          <w:tcPr>
            <w:tcW w:w="120" w:type="dxa"/>
            <w:vAlign w:val="bottom"/>
            <w:tcBorders>
              <w:bottom w:val="single" w:sz="8" w:color="E6ECFF"/>
            </w:tcBorders>
            <w:shd w:val="clear" w:color="auto" w:fill="E6ECFF"/>
          </w:tcPr>
          <w:p>
            <w:pPr>
              <w:spacing w:after="0"/>
              <w:rPr>
                <w:sz w:val="20"/>
                <w:szCs w:val="20"/>
                <w:color w:val="auto"/>
              </w:rPr>
            </w:pPr>
          </w:p>
        </w:tc>
        <w:tc>
          <w:tcPr>
            <w:tcW w:w="12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(241,912)</w:t>
            </w:r>
          </w:p>
        </w:tc>
        <w:tc>
          <w:tcPr>
            <w:tcW w:w="120" w:type="dxa"/>
            <w:vAlign w:val="bottom"/>
            <w:tcBorders>
              <w:bottom w:val="single" w:sz="8" w:color="E6ECFF"/>
            </w:tcBorders>
            <w:shd w:val="clear" w:color="auto" w:fill="E6ECFF"/>
          </w:tcPr>
          <w:p>
            <w:pPr>
              <w:spacing w:after="0"/>
              <w:rPr>
                <w:sz w:val="20"/>
                <w:szCs w:val="20"/>
                <w:color w:val="auto"/>
              </w:rPr>
            </w:pPr>
          </w:p>
        </w:tc>
        <w:tc>
          <w:tcPr>
            <w:tcW w:w="12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3,890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40" w:type="dxa"/>
            <w:vAlign w:val="bottom"/>
            <w:tcBorders>
              <w:top w:val="single" w:sz="8" w:color="E6ECFF"/>
            </w:tcBorders>
          </w:tcPr>
          <w:p>
            <w:pPr>
              <w:spacing w:after="0" w:line="20" w:lineRule="exact"/>
              <w:rPr>
                <w:sz w:val="1"/>
                <w:szCs w:val="1"/>
                <w:color w:val="auto"/>
              </w:rPr>
            </w:pPr>
          </w:p>
        </w:tc>
        <w:tc>
          <w:tcPr>
            <w:tcW w:w="120" w:type="dxa"/>
            <w:vAlign w:val="bottom"/>
            <w:tcBorders>
              <w:top w:val="single" w:sz="8" w:color="E6ECFF"/>
              <w:bottom w:val="single" w:sz="8" w:color="auto"/>
            </w:tcBorders>
          </w:tcPr>
          <w:p>
            <w:pPr>
              <w:spacing w:after="0" w:line="20" w:lineRule="exact"/>
              <w:rPr>
                <w:sz w:val="1"/>
                <w:szCs w:val="1"/>
                <w:color w:val="auto"/>
              </w:rPr>
            </w:pPr>
          </w:p>
        </w:tc>
        <w:tc>
          <w:tcPr>
            <w:tcW w:w="1100" w:type="dxa"/>
            <w:vAlign w:val="bottom"/>
            <w:tcBorders>
              <w:top w:val="single" w:sz="8" w:color="E6ECFF"/>
              <w:bottom w:val="single" w:sz="8" w:color="auto"/>
            </w:tcBorders>
          </w:tcPr>
          <w:p>
            <w:pPr>
              <w:spacing w:after="0" w:line="20" w:lineRule="exact"/>
              <w:rPr>
                <w:sz w:val="1"/>
                <w:szCs w:val="1"/>
                <w:color w:val="auto"/>
              </w:rPr>
            </w:pPr>
          </w:p>
        </w:tc>
        <w:tc>
          <w:tcPr>
            <w:tcW w:w="120" w:type="dxa"/>
            <w:vAlign w:val="bottom"/>
            <w:tcBorders>
              <w:top w:val="single" w:sz="8" w:color="E6ECFF"/>
            </w:tcBorders>
          </w:tcPr>
          <w:p>
            <w:pPr>
              <w:spacing w:after="0" w:line="20" w:lineRule="exact"/>
              <w:rPr>
                <w:sz w:val="1"/>
                <w:szCs w:val="1"/>
                <w:color w:val="auto"/>
              </w:rPr>
            </w:pPr>
          </w:p>
        </w:tc>
        <w:tc>
          <w:tcPr>
            <w:tcW w:w="120" w:type="dxa"/>
            <w:vAlign w:val="bottom"/>
            <w:tcBorders>
              <w:top w:val="single" w:sz="8" w:color="E6ECFF"/>
              <w:bottom w:val="single" w:sz="8" w:color="auto"/>
            </w:tcBorders>
          </w:tcPr>
          <w:p>
            <w:pPr>
              <w:spacing w:after="0" w:line="20" w:lineRule="exact"/>
              <w:rPr>
                <w:sz w:val="1"/>
                <w:szCs w:val="1"/>
                <w:color w:val="auto"/>
              </w:rPr>
            </w:pPr>
          </w:p>
        </w:tc>
        <w:tc>
          <w:tcPr>
            <w:tcW w:w="1100" w:type="dxa"/>
            <w:vAlign w:val="bottom"/>
            <w:tcBorders>
              <w:top w:val="single" w:sz="8" w:color="E6ECFF"/>
              <w:bottom w:val="single" w:sz="8" w:color="auto"/>
            </w:tcBorders>
          </w:tcPr>
          <w:p>
            <w:pPr>
              <w:spacing w:after="0" w:line="20" w:lineRule="exact"/>
              <w:rPr>
                <w:sz w:val="1"/>
                <w:szCs w:val="1"/>
                <w:color w:val="auto"/>
              </w:rPr>
            </w:pPr>
          </w:p>
        </w:tc>
        <w:tc>
          <w:tcPr>
            <w:tcW w:w="120" w:type="dxa"/>
            <w:vAlign w:val="bottom"/>
            <w:tcBorders>
              <w:top w:val="single" w:sz="8" w:color="E6ECFF"/>
            </w:tcBorders>
          </w:tcPr>
          <w:p>
            <w:pPr>
              <w:spacing w:after="0" w:line="20" w:lineRule="exact"/>
              <w:rPr>
                <w:sz w:val="1"/>
                <w:szCs w:val="1"/>
                <w:color w:val="auto"/>
              </w:rPr>
            </w:pPr>
          </w:p>
        </w:tc>
        <w:tc>
          <w:tcPr>
            <w:tcW w:w="120" w:type="dxa"/>
            <w:vAlign w:val="bottom"/>
            <w:tcBorders>
              <w:top w:val="single" w:sz="8" w:color="E6ECFF"/>
              <w:bottom w:val="single" w:sz="8" w:color="auto"/>
            </w:tcBorders>
          </w:tcPr>
          <w:p>
            <w:pPr>
              <w:spacing w:after="0" w:line="20" w:lineRule="exact"/>
              <w:rPr>
                <w:sz w:val="1"/>
                <w:szCs w:val="1"/>
                <w:color w:val="auto"/>
              </w:rPr>
            </w:pPr>
          </w:p>
        </w:tc>
        <w:tc>
          <w:tcPr>
            <w:tcW w:w="1100" w:type="dxa"/>
            <w:vAlign w:val="bottom"/>
            <w:tcBorders>
              <w:top w:val="single" w:sz="8" w:color="E6EC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7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Net Income (Loss)</w:t>
            </w:r>
          </w:p>
        </w:tc>
        <w:tc>
          <w:tcPr>
            <w:tcW w:w="12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(67,923)</w:t>
            </w:r>
          </w:p>
        </w:tc>
        <w:tc>
          <w:tcPr>
            <w:tcW w:w="240" w:type="dxa"/>
            <w:vAlign w:val="bottom"/>
            <w:gridSpan w:val="2"/>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(229,930)</w:t>
            </w:r>
          </w:p>
        </w:tc>
        <w:tc>
          <w:tcPr>
            <w:tcW w:w="120" w:type="dxa"/>
            <w:vAlign w:val="bottom"/>
            <w:shd w:val="clear" w:color="auto" w:fill="E6ECFF"/>
          </w:tcPr>
          <w:p>
            <w:pPr>
              <w:spacing w:after="0"/>
              <w:rPr>
                <w:sz w:val="19"/>
                <w:szCs w:val="19"/>
                <w:color w:val="auto"/>
              </w:rPr>
            </w:pPr>
          </w:p>
        </w:tc>
        <w:tc>
          <w:tcPr>
            <w:tcW w:w="12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15,363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340" w:type="dxa"/>
            <w:vAlign w:val="bottom"/>
          </w:tcPr>
          <w:p>
            <w:pPr>
              <w:ind w:left="140"/>
              <w:spacing w:after="0" w:line="205" w:lineRule="exact"/>
              <w:rPr>
                <w:sz w:val="20"/>
                <w:szCs w:val="20"/>
                <w:color w:val="auto"/>
              </w:rPr>
            </w:pPr>
            <w:r>
              <w:rPr>
                <w:rFonts w:ascii="Calibri" w:cs="Calibri" w:eastAsia="Calibri" w:hAnsi="Calibri"/>
                <w:sz w:val="17"/>
                <w:szCs w:val="17"/>
                <w:color w:val="auto"/>
              </w:rPr>
              <w:t>Reclassifcaton adjustment for realized (gain) loss on sale of available for sale Agency Securites</w:t>
            </w:r>
          </w:p>
        </w:tc>
        <w:tc>
          <w:tcPr>
            <w:tcW w:w="120" w:type="dxa"/>
            <w:vAlign w:val="bottom"/>
          </w:tcPr>
          <w:p>
            <w:pPr>
              <w:spacing w:after="0"/>
              <w:rPr>
                <w:sz w:val="17"/>
                <w:szCs w:val="17"/>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7,471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7,452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(10,952)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340" w:type="dxa"/>
            <w:vAlign w:val="bottom"/>
            <w:shd w:val="clear" w:color="auto" w:fill="E6ECFF"/>
          </w:tcPr>
          <w:p>
            <w:pPr>
              <w:ind w:left="140"/>
              <w:spacing w:after="0"/>
              <w:rPr>
                <w:sz w:val="20"/>
                <w:szCs w:val="20"/>
                <w:color w:val="auto"/>
              </w:rPr>
            </w:pPr>
            <w:r>
              <w:rPr>
                <w:rFonts w:ascii="Calibri" w:cs="Calibri" w:eastAsia="Calibri" w:hAnsi="Calibri"/>
                <w:sz w:val="17"/>
                <w:szCs w:val="17"/>
                <w:color w:val="auto"/>
              </w:rPr>
              <w:t>Reclassifcaton adjustment for impairment losses on available for sale Agency Securites</w:t>
            </w:r>
          </w:p>
        </w:tc>
        <w:tc>
          <w:tcPr>
            <w:tcW w:w="120" w:type="dxa"/>
            <w:vAlign w:val="bottom"/>
            <w:shd w:val="clear" w:color="auto" w:fill="E6ECFF"/>
          </w:tcPr>
          <w:p>
            <w:pPr>
              <w:spacing w:after="0"/>
              <w:rPr>
                <w:sz w:val="20"/>
                <w:szCs w:val="20"/>
                <w:color w:val="auto"/>
              </w:rPr>
            </w:pPr>
          </w:p>
        </w:tc>
        <w:tc>
          <w:tcPr>
            <w:tcW w:w="11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w:t>
            </w:r>
          </w:p>
        </w:tc>
        <w:tc>
          <w:tcPr>
            <w:tcW w:w="120" w:type="dxa"/>
            <w:vAlign w:val="bottom"/>
            <w:shd w:val="clear" w:color="auto" w:fill="E6ECFF"/>
          </w:tcPr>
          <w:p>
            <w:pPr>
              <w:spacing w:after="0"/>
              <w:rPr>
                <w:sz w:val="20"/>
                <w:szCs w:val="20"/>
                <w:color w:val="auto"/>
              </w:rPr>
            </w:pPr>
          </w:p>
        </w:tc>
        <w:tc>
          <w:tcPr>
            <w:tcW w:w="120" w:type="dxa"/>
            <w:vAlign w:val="bottom"/>
            <w:shd w:val="clear" w:color="auto" w:fill="E6ECFF"/>
          </w:tcPr>
          <w:p>
            <w:pPr>
              <w:spacing w:after="0"/>
              <w:rPr>
                <w:sz w:val="20"/>
                <w:szCs w:val="20"/>
                <w:color w:val="auto"/>
              </w:rPr>
            </w:pPr>
          </w:p>
        </w:tc>
        <w:tc>
          <w:tcPr>
            <w:tcW w:w="11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4,183</w:t>
            </w:r>
          </w:p>
        </w:tc>
        <w:tc>
          <w:tcPr>
            <w:tcW w:w="120" w:type="dxa"/>
            <w:vAlign w:val="bottom"/>
            <w:shd w:val="clear" w:color="auto" w:fill="E6ECFF"/>
          </w:tcPr>
          <w:p>
            <w:pPr>
              <w:spacing w:after="0"/>
              <w:rPr>
                <w:sz w:val="20"/>
                <w:szCs w:val="20"/>
                <w:color w:val="auto"/>
              </w:rPr>
            </w:pPr>
          </w:p>
        </w:tc>
        <w:tc>
          <w:tcPr>
            <w:tcW w:w="120" w:type="dxa"/>
            <w:vAlign w:val="bottom"/>
            <w:shd w:val="clear" w:color="auto" w:fill="E6ECFF"/>
          </w:tcPr>
          <w:p>
            <w:pPr>
              <w:spacing w:after="0"/>
              <w:rPr>
                <w:sz w:val="20"/>
                <w:szCs w:val="20"/>
                <w:color w:val="auto"/>
              </w:rPr>
            </w:pPr>
          </w:p>
        </w:tc>
        <w:tc>
          <w:tcPr>
            <w:tcW w:w="11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340" w:type="dxa"/>
            <w:vAlign w:val="bottom"/>
            <w:tcBorders>
              <w:bottom w:val="single" w:sz="8" w:color="E6ECFF"/>
            </w:tcBorders>
          </w:tcPr>
          <w:p>
            <w:pPr>
              <w:ind w:left="140"/>
              <w:spacing w:after="0" w:line="205" w:lineRule="exact"/>
              <w:rPr>
                <w:sz w:val="20"/>
                <w:szCs w:val="20"/>
                <w:color w:val="auto"/>
              </w:rPr>
            </w:pPr>
            <w:r>
              <w:rPr>
                <w:rFonts w:ascii="Calibri" w:cs="Calibri" w:eastAsia="Calibri" w:hAnsi="Calibri"/>
                <w:sz w:val="17"/>
                <w:szCs w:val="17"/>
                <w:color w:val="auto"/>
              </w:rPr>
              <w:t>Net unrealized gain (loss) on available for sale Agency Securites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4,056</w:t>
            </w:r>
          </w:p>
        </w:tc>
        <w:tc>
          <w:tcPr>
            <w:tcW w:w="120" w:type="dxa"/>
            <w:vAlign w:val="bottom"/>
            <w:tcBorders>
              <w:bottom w:val="single" w:sz="8" w:color="E6EC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(130,135)</w:t>
            </w:r>
          </w:p>
        </w:tc>
        <w:tc>
          <w:tcPr>
            <w:tcW w:w="120" w:type="dxa"/>
            <w:vAlign w:val="bottom"/>
            <w:tcBorders>
              <w:bottom w:val="single" w:sz="8" w:color="E6EC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(61,106)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E6ECFF"/>
          </w:tcPr>
          <w:p>
            <w:pPr>
              <w:ind w:left="20"/>
              <w:spacing w:after="0" w:line="197" w:lineRule="exact"/>
              <w:rPr>
                <w:sz w:val="20"/>
                <w:szCs w:val="20"/>
                <w:color w:val="auto"/>
              </w:rPr>
            </w:pPr>
            <w:r>
              <w:rPr>
                <w:rFonts w:ascii="Calibri" w:cs="Calibri" w:eastAsia="Calibri" w:hAnsi="Calibri"/>
                <w:sz w:val="17"/>
                <w:szCs w:val="17"/>
                <w:b w:val="1"/>
                <w:bCs w:val="1"/>
                <w:color w:val="1C4787"/>
              </w:rPr>
              <w:t>Other Comprehensive income (loss)</w:t>
            </w:r>
          </w:p>
        </w:tc>
        <w:tc>
          <w:tcPr>
            <w:tcW w:w="12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11,527</w:t>
            </w:r>
          </w:p>
        </w:tc>
        <w:tc>
          <w:tcPr>
            <w:tcW w:w="120" w:type="dxa"/>
            <w:vAlign w:val="bottom"/>
            <w:shd w:val="clear" w:color="auto" w:fill="E6ECFF"/>
          </w:tcPr>
          <w:p>
            <w:pPr>
              <w:spacing w:after="0"/>
              <w:rPr>
                <w:sz w:val="19"/>
                <w:szCs w:val="19"/>
                <w:color w:val="auto"/>
              </w:rPr>
            </w:pPr>
          </w:p>
        </w:tc>
        <w:tc>
          <w:tcPr>
            <w:tcW w:w="12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(118,500)</w:t>
            </w:r>
          </w:p>
        </w:tc>
        <w:tc>
          <w:tcPr>
            <w:tcW w:w="120" w:type="dxa"/>
            <w:vAlign w:val="bottom"/>
            <w:shd w:val="clear" w:color="auto" w:fill="E6ECFF"/>
          </w:tcPr>
          <w:p>
            <w:pPr>
              <w:spacing w:after="0"/>
              <w:rPr>
                <w:sz w:val="19"/>
                <w:szCs w:val="19"/>
                <w:color w:val="auto"/>
              </w:rPr>
            </w:pPr>
          </w:p>
        </w:tc>
        <w:tc>
          <w:tcPr>
            <w:tcW w:w="12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(72,058)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340" w:type="dxa"/>
            <w:vAlign w:val="bottom"/>
            <w:tcBorders>
              <w:bottom w:val="single" w:sz="8" w:color="E6ECFF"/>
            </w:tcBorders>
          </w:tcPr>
          <w:p>
            <w:pPr>
              <w:ind w:left="20"/>
              <w:spacing w:after="0" w:line="190" w:lineRule="exact"/>
              <w:rPr>
                <w:sz w:val="20"/>
                <w:szCs w:val="20"/>
                <w:color w:val="auto"/>
              </w:rPr>
            </w:pPr>
            <w:r>
              <w:rPr>
                <w:rFonts w:ascii="Calibri" w:cs="Calibri" w:eastAsia="Calibri" w:hAnsi="Calibri"/>
                <w:sz w:val="17"/>
                <w:szCs w:val="17"/>
                <w:b w:val="1"/>
                <w:bCs w:val="1"/>
                <w:color w:val="1C4787"/>
              </w:rPr>
              <w:t>Comprehensive Loss</w:t>
            </w: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(56,396)</w:t>
            </w:r>
          </w:p>
        </w:tc>
        <w:tc>
          <w:tcPr>
            <w:tcW w:w="120" w:type="dxa"/>
            <w:vAlign w:val="bottom"/>
            <w:tcBorders>
              <w:bottom w:val="single" w:sz="8" w:color="E6ECFF"/>
            </w:tcBorders>
          </w:tcPr>
          <w:p>
            <w:pPr>
              <w:spacing w:after="0"/>
              <w:rPr>
                <w:sz w:val="17"/>
                <w:szCs w:val="17"/>
                <w:color w:val="auto"/>
              </w:rPr>
            </w:pP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(348,430)</w:t>
            </w:r>
          </w:p>
        </w:tc>
        <w:tc>
          <w:tcPr>
            <w:tcW w:w="120" w:type="dxa"/>
            <w:vAlign w:val="bottom"/>
            <w:tcBorders>
              <w:bottom w:val="single" w:sz="8" w:color="E6ECFF"/>
            </w:tcBorders>
          </w:tcPr>
          <w:p>
            <w:pPr>
              <w:spacing w:after="0"/>
              <w:rPr>
                <w:sz w:val="17"/>
                <w:szCs w:val="17"/>
                <w:color w:val="auto"/>
              </w:rPr>
            </w:pP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(56,695)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E6ECFF"/>
          </w:tcPr>
          <w:p>
            <w:pPr>
              <w:ind w:left="140"/>
              <w:spacing w:after="0" w:line="197" w:lineRule="exact"/>
              <w:rPr>
                <w:sz w:val="20"/>
                <w:szCs w:val="20"/>
                <w:color w:val="auto"/>
              </w:rPr>
            </w:pPr>
            <w:r>
              <w:rPr>
                <w:rFonts w:ascii="Calibri" w:cs="Calibri" w:eastAsia="Calibri" w:hAnsi="Calibri"/>
                <w:sz w:val="17"/>
                <w:szCs w:val="17"/>
                <w:color w:val="auto"/>
              </w:rPr>
              <w:t>Dividends on preferred stock</w:t>
            </w:r>
          </w:p>
        </w:tc>
        <w:tc>
          <w:tcPr>
            <w:tcW w:w="12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(11,982)</w:t>
            </w:r>
          </w:p>
        </w:tc>
        <w:tc>
          <w:tcPr>
            <w:tcW w:w="120" w:type="dxa"/>
            <w:vAlign w:val="bottom"/>
            <w:shd w:val="clear" w:color="auto" w:fill="E6ECFF"/>
          </w:tcPr>
          <w:p>
            <w:pPr>
              <w:spacing w:after="0"/>
              <w:rPr>
                <w:sz w:val="19"/>
                <w:szCs w:val="19"/>
                <w:color w:val="auto"/>
              </w:rPr>
            </w:pPr>
          </w:p>
        </w:tc>
        <w:tc>
          <w:tcPr>
            <w:tcW w:w="12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(11,982)</w:t>
            </w:r>
          </w:p>
        </w:tc>
        <w:tc>
          <w:tcPr>
            <w:tcW w:w="120" w:type="dxa"/>
            <w:vAlign w:val="bottom"/>
            <w:shd w:val="clear" w:color="auto" w:fill="E6ECFF"/>
          </w:tcPr>
          <w:p>
            <w:pPr>
              <w:spacing w:after="0"/>
              <w:rPr>
                <w:sz w:val="19"/>
                <w:szCs w:val="19"/>
                <w:color w:val="auto"/>
              </w:rPr>
            </w:pPr>
          </w:p>
        </w:tc>
        <w:tc>
          <w:tcPr>
            <w:tcW w:w="120" w:type="dxa"/>
            <w:vAlign w:val="bottom"/>
            <w:tcBorders>
              <w:bottom w:val="single" w:sz="8" w:color="auto"/>
            </w:tcBorders>
            <w:shd w:val="clear" w:color="auto" w:fill="E6ECFF"/>
          </w:tcPr>
          <w:p>
            <w:pPr>
              <w:spacing w:after="0"/>
              <w:rPr>
                <w:sz w:val="19"/>
                <w:szCs w:val="19"/>
                <w:color w:val="auto"/>
              </w:rPr>
            </w:pPr>
          </w:p>
        </w:tc>
        <w:tc>
          <w:tcPr>
            <w:tcW w:w="110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(11,473)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340" w:type="dxa"/>
            <w:vAlign w:val="bottom"/>
          </w:tcPr>
          <w:p>
            <w:pPr>
              <w:ind w:left="20"/>
              <w:spacing w:after="0"/>
              <w:rPr>
                <w:sz w:val="20"/>
                <w:szCs w:val="20"/>
                <w:color w:val="auto"/>
              </w:rPr>
            </w:pPr>
            <w:r>
              <w:rPr>
                <w:rFonts w:ascii="Calibri" w:cs="Calibri" w:eastAsia="Calibri" w:hAnsi="Calibri"/>
                <w:sz w:val="17"/>
                <w:szCs w:val="17"/>
                <w:b w:val="1"/>
                <w:bCs w:val="1"/>
                <w:color w:val="1C4787"/>
              </w:rPr>
              <w:t>Comprehensive Loss related to common stockholders</w:t>
            </w: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(68,378)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(360,412)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(68,168)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Borders>
              <w:bottom w:val="single" w:sz="8" w:color="E6EC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C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C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340" w:type="dxa"/>
            <w:vAlign w:val="bottom"/>
            <w:shd w:val="clear" w:color="auto" w:fill="E6ECFF"/>
          </w:tcPr>
          <w:p>
            <w:pPr>
              <w:ind w:left="5280"/>
              <w:spacing w:after="0" w:line="185" w:lineRule="exact"/>
              <w:rPr>
                <w:sz w:val="20"/>
                <w:szCs w:val="20"/>
                <w:color w:val="auto"/>
              </w:rPr>
            </w:pPr>
            <w:r>
              <w:rPr>
                <w:rFonts w:ascii="Calibri" w:cs="Calibri" w:eastAsia="Calibri" w:hAnsi="Calibri"/>
                <w:sz w:val="17"/>
                <w:szCs w:val="17"/>
                <w:color w:val="auto"/>
              </w:rPr>
              <w:t>Contnued</w:t>
            </w:r>
          </w:p>
        </w:tc>
        <w:tc>
          <w:tcPr>
            <w:tcW w:w="120" w:type="dxa"/>
            <w:vAlign w:val="bottom"/>
            <w:shd w:val="clear" w:color="auto" w:fill="E6ECFF"/>
          </w:tcPr>
          <w:p>
            <w:pPr>
              <w:spacing w:after="0"/>
              <w:rPr>
                <w:sz w:val="16"/>
                <w:szCs w:val="16"/>
                <w:color w:val="auto"/>
              </w:rPr>
            </w:pPr>
          </w:p>
        </w:tc>
        <w:tc>
          <w:tcPr>
            <w:tcW w:w="1100" w:type="dxa"/>
            <w:vAlign w:val="bottom"/>
            <w:shd w:val="clear" w:color="auto" w:fill="E6ECFF"/>
          </w:tcPr>
          <w:p>
            <w:pPr>
              <w:spacing w:after="0"/>
              <w:rPr>
                <w:sz w:val="16"/>
                <w:szCs w:val="16"/>
                <w:color w:val="auto"/>
              </w:rPr>
            </w:pPr>
          </w:p>
        </w:tc>
        <w:tc>
          <w:tcPr>
            <w:tcW w:w="120" w:type="dxa"/>
            <w:vAlign w:val="bottom"/>
            <w:shd w:val="clear" w:color="auto" w:fill="E6ECFF"/>
          </w:tcPr>
          <w:p>
            <w:pPr>
              <w:spacing w:after="0"/>
              <w:rPr>
                <w:sz w:val="16"/>
                <w:szCs w:val="16"/>
                <w:color w:val="auto"/>
              </w:rPr>
            </w:pPr>
          </w:p>
        </w:tc>
        <w:tc>
          <w:tcPr>
            <w:tcW w:w="120" w:type="dxa"/>
            <w:vAlign w:val="bottom"/>
            <w:shd w:val="clear" w:color="auto" w:fill="E6ECFF"/>
          </w:tcPr>
          <w:p>
            <w:pPr>
              <w:spacing w:after="0"/>
              <w:rPr>
                <w:sz w:val="16"/>
                <w:szCs w:val="16"/>
                <w:color w:val="auto"/>
              </w:rPr>
            </w:pPr>
          </w:p>
        </w:tc>
        <w:tc>
          <w:tcPr>
            <w:tcW w:w="1100" w:type="dxa"/>
            <w:vAlign w:val="bottom"/>
            <w:shd w:val="clear" w:color="auto" w:fill="E6ECFF"/>
          </w:tcPr>
          <w:p>
            <w:pPr>
              <w:spacing w:after="0"/>
              <w:rPr>
                <w:sz w:val="16"/>
                <w:szCs w:val="16"/>
                <w:color w:val="auto"/>
              </w:rPr>
            </w:pPr>
          </w:p>
        </w:tc>
        <w:tc>
          <w:tcPr>
            <w:tcW w:w="120" w:type="dxa"/>
            <w:vAlign w:val="bottom"/>
            <w:shd w:val="clear" w:color="auto" w:fill="E6ECFF"/>
          </w:tcPr>
          <w:p>
            <w:pPr>
              <w:spacing w:after="0"/>
              <w:rPr>
                <w:sz w:val="16"/>
                <w:szCs w:val="16"/>
                <w:color w:val="auto"/>
              </w:rPr>
            </w:pPr>
          </w:p>
        </w:tc>
        <w:tc>
          <w:tcPr>
            <w:tcW w:w="120" w:type="dxa"/>
            <w:vAlign w:val="bottom"/>
            <w:shd w:val="clear" w:color="auto" w:fill="E6ECFF"/>
          </w:tcPr>
          <w:p>
            <w:pPr>
              <w:spacing w:after="0"/>
              <w:rPr>
                <w:sz w:val="16"/>
                <w:szCs w:val="16"/>
                <w:color w:val="auto"/>
              </w:rPr>
            </w:pPr>
          </w:p>
        </w:tc>
        <w:tc>
          <w:tcPr>
            <w:tcW w:w="1100" w:type="dxa"/>
            <w:vAlign w:val="bottom"/>
            <w:shd w:val="clear" w:color="auto" w:fill="E6EC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4"/>
        </w:trPr>
        <w:tc>
          <w:tcPr>
            <w:tcW w:w="7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-752475</wp:posOffset>
            </wp:positionV>
            <wp:extent cx="458470" cy="5073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80" w:name="page81"/>
    <w:bookmarkEnd w:id="80"/>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CONSOLIDATED STATEMENTS OF OPERATIONS AND COMPREHENSIVE INCOME (LOSS)</w:t>
      </w:r>
    </w:p>
    <w:p>
      <w:pPr>
        <w:spacing w:after="0" w:line="8" w:lineRule="exact"/>
        <w:rPr>
          <w:sz w:val="20"/>
          <w:szCs w:val="20"/>
          <w:color w:val="auto"/>
        </w:rPr>
      </w:pPr>
    </w:p>
    <w:p>
      <w:pPr>
        <w:jc w:val="center"/>
        <w:ind w:right="-159"/>
        <w:spacing w:after="0"/>
        <w:rPr>
          <w:sz w:val="20"/>
          <w:szCs w:val="20"/>
          <w:color w:val="auto"/>
        </w:rPr>
      </w:pPr>
      <w:r>
        <w:rPr>
          <w:rFonts w:ascii="Calibri" w:cs="Calibri" w:eastAsia="Calibri" w:hAnsi="Calibri"/>
          <w:sz w:val="17"/>
          <w:szCs w:val="17"/>
          <w:color w:val="1C4787"/>
        </w:rPr>
        <w:t>(U.S. dollar amounts in thousands, except per share amounts)</w:t>
      </w:r>
    </w:p>
    <w:p>
      <w:pPr>
        <w:spacing w:after="0" w:line="166"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79</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40" w:type="dxa"/>
            <w:vAlign w:val="bottom"/>
          </w:tcPr>
          <w:p>
            <w:pPr>
              <w:ind w:left="20"/>
              <w:spacing w:after="0"/>
              <w:rPr>
                <w:sz w:val="20"/>
                <w:szCs w:val="20"/>
                <w:color w:val="auto"/>
              </w:rPr>
            </w:pPr>
            <w:r>
              <w:rPr>
                <w:rFonts w:ascii="Calibri" w:cs="Calibri" w:eastAsia="Calibri" w:hAnsi="Calibri"/>
                <w:sz w:val="17"/>
                <w:szCs w:val="17"/>
                <w:color w:val="auto"/>
              </w:rPr>
              <w:t>Net Income (Loss) per share available (related) to common stockholders (Note 11):</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340" w:type="dxa"/>
            <w:vAlign w:val="bottom"/>
            <w:tcBorders>
              <w:bottom w:val="single" w:sz="8" w:color="E6ECFF"/>
            </w:tcBorders>
            <w:shd w:val="clear" w:color="auto" w:fill="E6ECFF"/>
          </w:tcPr>
          <w:p>
            <w:pPr>
              <w:ind w:left="140"/>
              <w:spacing w:after="0"/>
              <w:rPr>
                <w:sz w:val="20"/>
                <w:szCs w:val="20"/>
                <w:color w:val="auto"/>
              </w:rPr>
            </w:pPr>
            <w:r>
              <w:rPr>
                <w:rFonts w:ascii="Calibri" w:cs="Calibri" w:eastAsia="Calibri" w:hAnsi="Calibri"/>
                <w:sz w:val="17"/>
                <w:szCs w:val="17"/>
                <w:color w:val="auto"/>
              </w:rPr>
              <w:t>Basic</w:t>
            </w:r>
          </w:p>
        </w:tc>
        <w:tc>
          <w:tcPr>
            <w:tcW w:w="400" w:type="dxa"/>
            <w:vAlign w:val="bottom"/>
            <w:tcBorders>
              <w:bottom w:val="single" w:sz="8" w:color="auto"/>
            </w:tcBorders>
            <w:shd w:val="clear" w:color="auto" w:fill="E6ECFF"/>
          </w:tcPr>
          <w:p>
            <w:pPr>
              <w:jc w:val="right"/>
              <w:ind w:right="214"/>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(1.86)</w:t>
            </w:r>
          </w:p>
        </w:tc>
        <w:tc>
          <w:tcPr>
            <w:tcW w:w="120" w:type="dxa"/>
            <w:vAlign w:val="bottom"/>
            <w:tcBorders>
              <w:bottom w:val="single" w:sz="8" w:color="E6ECFF"/>
            </w:tcBorders>
            <w:shd w:val="clear" w:color="auto" w:fill="E6ECFF"/>
          </w:tcPr>
          <w:p>
            <w:pPr>
              <w:spacing w:after="0"/>
              <w:rPr>
                <w:sz w:val="20"/>
                <w:szCs w:val="20"/>
                <w:color w:val="auto"/>
              </w:rPr>
            </w:pPr>
          </w:p>
        </w:tc>
        <w:tc>
          <w:tcPr>
            <w:tcW w:w="400" w:type="dxa"/>
            <w:vAlign w:val="bottom"/>
            <w:tcBorders>
              <w:bottom w:val="single" w:sz="8" w:color="auto"/>
            </w:tcBorders>
            <w:shd w:val="clear" w:color="auto" w:fill="E6ECFF"/>
          </w:tcPr>
          <w:p>
            <w:pPr>
              <w:jc w:val="right"/>
              <w:ind w:right="214"/>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(10.25)</w:t>
            </w:r>
          </w:p>
        </w:tc>
        <w:tc>
          <w:tcPr>
            <w:tcW w:w="120" w:type="dxa"/>
            <w:vAlign w:val="bottom"/>
            <w:tcBorders>
              <w:bottom w:val="single" w:sz="8" w:color="E6ECFF"/>
            </w:tcBorders>
            <w:shd w:val="clear" w:color="auto" w:fill="E6ECFF"/>
          </w:tcPr>
          <w:p>
            <w:pPr>
              <w:spacing w:after="0"/>
              <w:rPr>
                <w:sz w:val="20"/>
                <w:szCs w:val="20"/>
                <w:color w:val="auto"/>
              </w:rPr>
            </w:pPr>
          </w:p>
        </w:tc>
        <w:tc>
          <w:tcPr>
            <w:tcW w:w="400" w:type="dxa"/>
            <w:vAlign w:val="bottom"/>
            <w:tcBorders>
              <w:bottom w:val="single" w:sz="8" w:color="auto"/>
            </w:tcBorders>
            <w:shd w:val="clear" w:color="auto" w:fill="E6ECFF"/>
          </w:tcPr>
          <w:p>
            <w:pPr>
              <w:jc w:val="right"/>
              <w:ind w:right="214"/>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0.24</w:t>
            </w:r>
          </w:p>
        </w:tc>
        <w:tc>
          <w:tcPr>
            <w:tcW w:w="0" w:type="dxa"/>
            <w:vAlign w:val="bottom"/>
          </w:tcPr>
          <w:p>
            <w:pPr>
              <w:spacing w:after="0"/>
              <w:rPr>
                <w:sz w:val="1"/>
                <w:szCs w:val="1"/>
                <w:color w:val="auto"/>
              </w:rPr>
            </w:pPr>
          </w:p>
        </w:tc>
      </w:tr>
      <w:tr>
        <w:trPr>
          <w:trHeight w:val="20"/>
        </w:trPr>
        <w:tc>
          <w:tcPr>
            <w:tcW w:w="7340" w:type="dxa"/>
            <w:vAlign w:val="bottom"/>
            <w:tcBorders>
              <w:top w:val="single" w:sz="8" w:color="E6ECFF"/>
            </w:tcBorders>
          </w:tcPr>
          <w:p>
            <w:pPr>
              <w:spacing w:after="0" w:line="20" w:lineRule="exact"/>
              <w:rPr>
                <w:sz w:val="1"/>
                <w:szCs w:val="1"/>
                <w:color w:val="auto"/>
              </w:rPr>
            </w:pPr>
          </w:p>
        </w:tc>
        <w:tc>
          <w:tcPr>
            <w:tcW w:w="400" w:type="dxa"/>
            <w:vAlign w:val="bottom"/>
            <w:tcBorders>
              <w:top w:val="single" w:sz="8" w:color="E6ECFF"/>
              <w:bottom w:val="single" w:sz="8" w:color="auto"/>
            </w:tcBorders>
          </w:tcPr>
          <w:p>
            <w:pPr>
              <w:spacing w:after="0" w:line="20" w:lineRule="exact"/>
              <w:rPr>
                <w:sz w:val="1"/>
                <w:szCs w:val="1"/>
                <w:color w:val="auto"/>
              </w:rPr>
            </w:pPr>
          </w:p>
        </w:tc>
        <w:tc>
          <w:tcPr>
            <w:tcW w:w="820" w:type="dxa"/>
            <w:vAlign w:val="bottom"/>
            <w:tcBorders>
              <w:top w:val="single" w:sz="8" w:color="E6ECFF"/>
              <w:bottom w:val="single" w:sz="8" w:color="auto"/>
            </w:tcBorders>
          </w:tcPr>
          <w:p>
            <w:pPr>
              <w:spacing w:after="0" w:line="20" w:lineRule="exact"/>
              <w:rPr>
                <w:sz w:val="1"/>
                <w:szCs w:val="1"/>
                <w:color w:val="auto"/>
              </w:rPr>
            </w:pPr>
          </w:p>
        </w:tc>
        <w:tc>
          <w:tcPr>
            <w:tcW w:w="120" w:type="dxa"/>
            <w:vAlign w:val="bottom"/>
            <w:tcBorders>
              <w:top w:val="single" w:sz="8" w:color="E6ECFF"/>
            </w:tcBorders>
          </w:tcPr>
          <w:p>
            <w:pPr>
              <w:spacing w:after="0" w:line="20" w:lineRule="exact"/>
              <w:rPr>
                <w:sz w:val="1"/>
                <w:szCs w:val="1"/>
                <w:color w:val="auto"/>
              </w:rPr>
            </w:pPr>
          </w:p>
        </w:tc>
        <w:tc>
          <w:tcPr>
            <w:tcW w:w="400" w:type="dxa"/>
            <w:vAlign w:val="bottom"/>
            <w:tcBorders>
              <w:top w:val="single" w:sz="8" w:color="E6ECFF"/>
              <w:bottom w:val="single" w:sz="8" w:color="auto"/>
            </w:tcBorders>
          </w:tcPr>
          <w:p>
            <w:pPr>
              <w:spacing w:after="0" w:line="20" w:lineRule="exact"/>
              <w:rPr>
                <w:sz w:val="1"/>
                <w:szCs w:val="1"/>
                <w:color w:val="auto"/>
              </w:rPr>
            </w:pPr>
          </w:p>
        </w:tc>
        <w:tc>
          <w:tcPr>
            <w:tcW w:w="820" w:type="dxa"/>
            <w:vAlign w:val="bottom"/>
            <w:tcBorders>
              <w:top w:val="single" w:sz="8" w:color="E6ECFF"/>
              <w:bottom w:val="single" w:sz="8" w:color="auto"/>
            </w:tcBorders>
          </w:tcPr>
          <w:p>
            <w:pPr>
              <w:spacing w:after="0" w:line="20" w:lineRule="exact"/>
              <w:rPr>
                <w:sz w:val="1"/>
                <w:szCs w:val="1"/>
                <w:color w:val="auto"/>
              </w:rPr>
            </w:pPr>
          </w:p>
        </w:tc>
        <w:tc>
          <w:tcPr>
            <w:tcW w:w="120" w:type="dxa"/>
            <w:vAlign w:val="bottom"/>
            <w:tcBorders>
              <w:top w:val="single" w:sz="8" w:color="E6ECFF"/>
            </w:tcBorders>
          </w:tcPr>
          <w:p>
            <w:pPr>
              <w:spacing w:after="0" w:line="20" w:lineRule="exact"/>
              <w:rPr>
                <w:sz w:val="1"/>
                <w:szCs w:val="1"/>
                <w:color w:val="auto"/>
              </w:rPr>
            </w:pPr>
          </w:p>
        </w:tc>
        <w:tc>
          <w:tcPr>
            <w:tcW w:w="400" w:type="dxa"/>
            <w:vAlign w:val="bottom"/>
            <w:tcBorders>
              <w:top w:val="single" w:sz="8" w:color="E6ECFF"/>
              <w:bottom w:val="single" w:sz="8" w:color="auto"/>
            </w:tcBorders>
          </w:tcPr>
          <w:p>
            <w:pPr>
              <w:spacing w:after="0" w:line="20" w:lineRule="exact"/>
              <w:rPr>
                <w:sz w:val="1"/>
                <w:szCs w:val="1"/>
                <w:color w:val="auto"/>
              </w:rPr>
            </w:pPr>
          </w:p>
        </w:tc>
        <w:tc>
          <w:tcPr>
            <w:tcW w:w="820" w:type="dxa"/>
            <w:vAlign w:val="bottom"/>
            <w:tcBorders>
              <w:top w:val="single" w:sz="8" w:color="E6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340" w:type="dxa"/>
            <w:vAlign w:val="bottom"/>
          </w:tcPr>
          <w:p>
            <w:pPr>
              <w:ind w:left="140"/>
              <w:spacing w:after="0" w:line="191" w:lineRule="exact"/>
              <w:rPr>
                <w:sz w:val="20"/>
                <w:szCs w:val="20"/>
                <w:color w:val="auto"/>
              </w:rPr>
            </w:pPr>
            <w:r>
              <w:rPr>
                <w:rFonts w:ascii="Calibri" w:cs="Calibri" w:eastAsia="Calibri" w:hAnsi="Calibri"/>
                <w:sz w:val="17"/>
                <w:szCs w:val="17"/>
                <w:color w:val="auto"/>
              </w:rPr>
              <w:t>Diluted</w:t>
            </w:r>
          </w:p>
        </w:tc>
        <w:tc>
          <w:tcPr>
            <w:tcW w:w="400" w:type="dxa"/>
            <w:vAlign w:val="bottom"/>
            <w:tcBorders>
              <w:bottom w:val="single" w:sz="8" w:color="auto"/>
            </w:tcBorders>
          </w:tcPr>
          <w:p>
            <w:pPr>
              <w:jc w:val="right"/>
              <w:ind w:right="214"/>
              <w:spacing w:after="0" w:line="191"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auto"/>
            </w:tcBorders>
          </w:tcPr>
          <w:p>
            <w:pPr>
              <w:jc w:val="right"/>
              <w:spacing w:after="0" w:line="191" w:lineRule="exact"/>
              <w:rPr>
                <w:sz w:val="20"/>
                <w:szCs w:val="20"/>
                <w:color w:val="auto"/>
              </w:rPr>
            </w:pPr>
            <w:r>
              <w:rPr>
                <w:rFonts w:ascii="Calibri" w:cs="Calibri" w:eastAsia="Calibri" w:hAnsi="Calibri"/>
                <w:sz w:val="17"/>
                <w:szCs w:val="17"/>
                <w:color w:val="auto"/>
              </w:rPr>
              <w:t>(1.86)</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14"/>
              <w:spacing w:after="0" w:line="191"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auto"/>
            </w:tcBorders>
          </w:tcPr>
          <w:p>
            <w:pPr>
              <w:jc w:val="right"/>
              <w:spacing w:after="0" w:line="191" w:lineRule="exact"/>
              <w:rPr>
                <w:sz w:val="20"/>
                <w:szCs w:val="20"/>
                <w:color w:val="auto"/>
              </w:rPr>
            </w:pPr>
            <w:r>
              <w:rPr>
                <w:rFonts w:ascii="Calibri" w:cs="Calibri" w:eastAsia="Calibri" w:hAnsi="Calibri"/>
                <w:sz w:val="17"/>
                <w:szCs w:val="17"/>
                <w:color w:val="auto"/>
              </w:rPr>
              <w:t>(10.25)</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14"/>
              <w:spacing w:after="0" w:line="191"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auto"/>
            </w:tcBorders>
          </w:tcPr>
          <w:p>
            <w:pPr>
              <w:jc w:val="right"/>
              <w:spacing w:after="0" w:line="191" w:lineRule="exact"/>
              <w:rPr>
                <w:sz w:val="20"/>
                <w:szCs w:val="20"/>
                <w:color w:val="auto"/>
              </w:rPr>
            </w:pPr>
            <w:r>
              <w:rPr>
                <w:rFonts w:ascii="Calibri" w:cs="Calibri" w:eastAsia="Calibri" w:hAnsi="Calibri"/>
                <w:sz w:val="17"/>
                <w:szCs w:val="17"/>
                <w:color w:val="auto"/>
              </w:rPr>
              <w:t>0.24</w:t>
            </w:r>
          </w:p>
        </w:tc>
        <w:tc>
          <w:tcPr>
            <w:tcW w:w="0" w:type="dxa"/>
            <w:vAlign w:val="bottom"/>
          </w:tcPr>
          <w:p>
            <w:pPr>
              <w:spacing w:after="0"/>
              <w:rPr>
                <w:sz w:val="1"/>
                <w:szCs w:val="1"/>
                <w:color w:val="auto"/>
              </w:rPr>
            </w:pPr>
          </w:p>
        </w:tc>
      </w:tr>
      <w:tr>
        <w:trPr>
          <w:trHeight w:val="20"/>
        </w:trPr>
        <w:tc>
          <w:tcPr>
            <w:tcW w:w="7340" w:type="dxa"/>
            <w:vAlign w:val="bottom"/>
            <w:tcBorders>
              <w:bottom w:val="single" w:sz="8" w:color="E6EC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C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C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340" w:type="dxa"/>
            <w:vAlign w:val="bottom"/>
            <w:tcBorders>
              <w:bottom w:val="single" w:sz="8" w:color="E6ECFF"/>
            </w:tcBorders>
            <w:shd w:val="clear" w:color="auto" w:fill="E6ECFF"/>
          </w:tcPr>
          <w:p>
            <w:pPr>
              <w:ind w:left="140"/>
              <w:spacing w:after="0"/>
              <w:rPr>
                <w:sz w:val="20"/>
                <w:szCs w:val="20"/>
                <w:color w:val="auto"/>
              </w:rPr>
            </w:pPr>
            <w:r>
              <w:rPr>
                <w:rFonts w:ascii="Calibri" w:cs="Calibri" w:eastAsia="Calibri" w:hAnsi="Calibri"/>
                <w:sz w:val="17"/>
                <w:szCs w:val="17"/>
                <w:color w:val="auto"/>
              </w:rPr>
              <w:t>Dividends declared per common share</w:t>
            </w:r>
          </w:p>
        </w:tc>
        <w:tc>
          <w:tcPr>
            <w:tcW w:w="400" w:type="dxa"/>
            <w:vAlign w:val="bottom"/>
            <w:tcBorders>
              <w:bottom w:val="single" w:sz="8" w:color="auto"/>
            </w:tcBorders>
            <w:shd w:val="clear" w:color="auto" w:fill="E6ECFF"/>
          </w:tcPr>
          <w:p>
            <w:pPr>
              <w:jc w:val="right"/>
              <w:ind w:right="214"/>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5.00</w:t>
            </w:r>
          </w:p>
        </w:tc>
        <w:tc>
          <w:tcPr>
            <w:tcW w:w="120" w:type="dxa"/>
            <w:vAlign w:val="bottom"/>
            <w:tcBorders>
              <w:bottom w:val="single" w:sz="8" w:color="E6ECFF"/>
            </w:tcBorders>
            <w:shd w:val="clear" w:color="auto" w:fill="E6ECFF"/>
          </w:tcPr>
          <w:p>
            <w:pPr>
              <w:spacing w:after="0"/>
              <w:rPr>
                <w:sz w:val="20"/>
                <w:szCs w:val="20"/>
                <w:color w:val="auto"/>
              </w:rPr>
            </w:pPr>
          </w:p>
        </w:tc>
        <w:tc>
          <w:tcPr>
            <w:tcW w:w="400" w:type="dxa"/>
            <w:vAlign w:val="bottom"/>
            <w:tcBorders>
              <w:bottom w:val="single" w:sz="8" w:color="auto"/>
            </w:tcBorders>
            <w:shd w:val="clear" w:color="auto" w:fill="E6ECFF"/>
          </w:tcPr>
          <w:p>
            <w:pPr>
              <w:jc w:val="right"/>
              <w:ind w:right="214"/>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6.00</w:t>
            </w:r>
          </w:p>
        </w:tc>
        <w:tc>
          <w:tcPr>
            <w:tcW w:w="120" w:type="dxa"/>
            <w:vAlign w:val="bottom"/>
            <w:tcBorders>
              <w:bottom w:val="single" w:sz="8" w:color="E6ECFF"/>
            </w:tcBorders>
            <w:shd w:val="clear" w:color="auto" w:fill="E6ECFF"/>
          </w:tcPr>
          <w:p>
            <w:pPr>
              <w:spacing w:after="0"/>
              <w:rPr>
                <w:sz w:val="20"/>
                <w:szCs w:val="20"/>
                <w:color w:val="auto"/>
              </w:rPr>
            </w:pPr>
          </w:p>
        </w:tc>
        <w:tc>
          <w:tcPr>
            <w:tcW w:w="400" w:type="dxa"/>
            <w:vAlign w:val="bottom"/>
            <w:tcBorders>
              <w:bottom w:val="single" w:sz="8" w:color="auto"/>
            </w:tcBorders>
            <w:shd w:val="clear" w:color="auto" w:fill="E6ECFF"/>
          </w:tcPr>
          <w:p>
            <w:pPr>
              <w:jc w:val="right"/>
              <w:ind w:right="214"/>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6.00</w:t>
            </w:r>
          </w:p>
        </w:tc>
        <w:tc>
          <w:tcPr>
            <w:tcW w:w="0" w:type="dxa"/>
            <w:vAlign w:val="bottom"/>
          </w:tcPr>
          <w:p>
            <w:pPr>
              <w:spacing w:after="0"/>
              <w:rPr>
                <w:sz w:val="1"/>
                <w:szCs w:val="1"/>
                <w:color w:val="auto"/>
              </w:rPr>
            </w:pPr>
          </w:p>
        </w:tc>
      </w:tr>
      <w:tr>
        <w:trPr>
          <w:trHeight w:val="20"/>
        </w:trPr>
        <w:tc>
          <w:tcPr>
            <w:tcW w:w="7340" w:type="dxa"/>
            <w:vAlign w:val="bottom"/>
            <w:tcBorders>
              <w:top w:val="single" w:sz="8" w:color="E6ECFF"/>
              <w:bottom w:val="single" w:sz="8" w:color="E6ECFF"/>
            </w:tcBorders>
            <w:vMerge w:val="restart"/>
          </w:tcPr>
          <w:p>
            <w:pPr>
              <w:ind w:left="20"/>
              <w:spacing w:after="0"/>
              <w:rPr>
                <w:sz w:val="20"/>
                <w:szCs w:val="20"/>
                <w:color w:val="auto"/>
              </w:rPr>
            </w:pPr>
            <w:r>
              <w:rPr>
                <w:rFonts w:ascii="Calibri" w:cs="Calibri" w:eastAsia="Calibri" w:hAnsi="Calibri"/>
                <w:sz w:val="17"/>
                <w:szCs w:val="17"/>
                <w:color w:val="auto"/>
              </w:rPr>
              <w:t>Weighted average common shares outstanding:</w:t>
            </w:r>
          </w:p>
        </w:tc>
        <w:tc>
          <w:tcPr>
            <w:tcW w:w="400" w:type="dxa"/>
            <w:vAlign w:val="bottom"/>
            <w:tcBorders>
              <w:top w:val="single" w:sz="8" w:color="E6ECFF"/>
              <w:bottom w:val="single" w:sz="8" w:color="auto"/>
            </w:tcBorders>
          </w:tcPr>
          <w:p>
            <w:pPr>
              <w:spacing w:after="0" w:line="20" w:lineRule="exact"/>
              <w:rPr>
                <w:sz w:val="1"/>
                <w:szCs w:val="1"/>
                <w:color w:val="auto"/>
              </w:rPr>
            </w:pPr>
          </w:p>
        </w:tc>
        <w:tc>
          <w:tcPr>
            <w:tcW w:w="820" w:type="dxa"/>
            <w:vAlign w:val="bottom"/>
            <w:tcBorders>
              <w:top w:val="single" w:sz="8" w:color="E6ECFF"/>
              <w:bottom w:val="single" w:sz="8" w:color="auto"/>
            </w:tcBorders>
          </w:tcPr>
          <w:p>
            <w:pPr>
              <w:spacing w:after="0" w:line="20" w:lineRule="exact"/>
              <w:rPr>
                <w:sz w:val="1"/>
                <w:szCs w:val="1"/>
                <w:color w:val="auto"/>
              </w:rPr>
            </w:pPr>
          </w:p>
        </w:tc>
        <w:tc>
          <w:tcPr>
            <w:tcW w:w="120" w:type="dxa"/>
            <w:vAlign w:val="bottom"/>
            <w:tcBorders>
              <w:top w:val="single" w:sz="8" w:color="E6ECFF"/>
            </w:tcBorders>
          </w:tcPr>
          <w:p>
            <w:pPr>
              <w:spacing w:after="0" w:line="20" w:lineRule="exact"/>
              <w:rPr>
                <w:sz w:val="1"/>
                <w:szCs w:val="1"/>
                <w:color w:val="auto"/>
              </w:rPr>
            </w:pPr>
          </w:p>
        </w:tc>
        <w:tc>
          <w:tcPr>
            <w:tcW w:w="400" w:type="dxa"/>
            <w:vAlign w:val="bottom"/>
            <w:tcBorders>
              <w:top w:val="single" w:sz="8" w:color="E6ECFF"/>
              <w:bottom w:val="single" w:sz="8" w:color="auto"/>
            </w:tcBorders>
          </w:tcPr>
          <w:p>
            <w:pPr>
              <w:spacing w:after="0" w:line="20" w:lineRule="exact"/>
              <w:rPr>
                <w:sz w:val="1"/>
                <w:szCs w:val="1"/>
                <w:color w:val="auto"/>
              </w:rPr>
            </w:pPr>
          </w:p>
        </w:tc>
        <w:tc>
          <w:tcPr>
            <w:tcW w:w="820" w:type="dxa"/>
            <w:vAlign w:val="bottom"/>
            <w:tcBorders>
              <w:top w:val="single" w:sz="8" w:color="E6ECFF"/>
              <w:bottom w:val="single" w:sz="8" w:color="auto"/>
            </w:tcBorders>
          </w:tcPr>
          <w:p>
            <w:pPr>
              <w:spacing w:after="0" w:line="20" w:lineRule="exact"/>
              <w:rPr>
                <w:sz w:val="1"/>
                <w:szCs w:val="1"/>
                <w:color w:val="auto"/>
              </w:rPr>
            </w:pPr>
          </w:p>
        </w:tc>
        <w:tc>
          <w:tcPr>
            <w:tcW w:w="120" w:type="dxa"/>
            <w:vAlign w:val="bottom"/>
            <w:tcBorders>
              <w:top w:val="single" w:sz="8" w:color="E6ECFF"/>
            </w:tcBorders>
          </w:tcPr>
          <w:p>
            <w:pPr>
              <w:spacing w:after="0" w:line="20" w:lineRule="exact"/>
              <w:rPr>
                <w:sz w:val="1"/>
                <w:szCs w:val="1"/>
                <w:color w:val="auto"/>
              </w:rPr>
            </w:pPr>
          </w:p>
        </w:tc>
        <w:tc>
          <w:tcPr>
            <w:tcW w:w="400" w:type="dxa"/>
            <w:vAlign w:val="bottom"/>
            <w:tcBorders>
              <w:top w:val="single" w:sz="8" w:color="E6ECFF"/>
              <w:bottom w:val="single" w:sz="8" w:color="auto"/>
            </w:tcBorders>
          </w:tcPr>
          <w:p>
            <w:pPr>
              <w:spacing w:after="0" w:line="20" w:lineRule="exact"/>
              <w:rPr>
                <w:sz w:val="1"/>
                <w:szCs w:val="1"/>
                <w:color w:val="auto"/>
              </w:rPr>
            </w:pPr>
          </w:p>
        </w:tc>
        <w:tc>
          <w:tcPr>
            <w:tcW w:w="820" w:type="dxa"/>
            <w:vAlign w:val="bottom"/>
            <w:tcBorders>
              <w:top w:val="single" w:sz="8" w:color="E6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340" w:type="dxa"/>
            <w:vAlign w:val="bottom"/>
            <w:tcBorders>
              <w:bottom w:val="single" w:sz="8" w:color="E6ECFF"/>
            </w:tcBorders>
            <w:shd w:val="clear" w:color="auto" w:fill="E6ECFF"/>
          </w:tcPr>
          <w:p>
            <w:pPr>
              <w:ind w:left="140"/>
              <w:spacing w:after="0"/>
              <w:rPr>
                <w:sz w:val="20"/>
                <w:szCs w:val="20"/>
                <w:color w:val="auto"/>
              </w:rPr>
            </w:pPr>
            <w:r>
              <w:rPr>
                <w:rFonts w:ascii="Calibri" w:cs="Calibri" w:eastAsia="Calibri" w:hAnsi="Calibri"/>
                <w:sz w:val="17"/>
                <w:szCs w:val="17"/>
                <w:color w:val="auto"/>
              </w:rPr>
              <w:t>Basic</w:t>
            </w:r>
          </w:p>
        </w:tc>
        <w:tc>
          <w:tcPr>
            <w:tcW w:w="400" w:type="dxa"/>
            <w:vAlign w:val="bottom"/>
            <w:tcBorders>
              <w:bottom w:val="single" w:sz="8" w:color="auto"/>
            </w:tcBorders>
            <w:shd w:val="clear" w:color="auto" w:fill="E6ECFF"/>
          </w:tcPr>
          <w:p>
            <w:pPr>
              <w:spacing w:after="0"/>
              <w:rPr>
                <w:sz w:val="20"/>
                <w:szCs w:val="20"/>
                <w:color w:val="auto"/>
              </w:rPr>
            </w:pPr>
          </w:p>
        </w:tc>
        <w:tc>
          <w:tcPr>
            <w:tcW w:w="82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43,054</w:t>
            </w:r>
          </w:p>
        </w:tc>
        <w:tc>
          <w:tcPr>
            <w:tcW w:w="120" w:type="dxa"/>
            <w:vAlign w:val="bottom"/>
            <w:tcBorders>
              <w:bottom w:val="single" w:sz="8" w:color="E6ECFF"/>
            </w:tcBorders>
            <w:shd w:val="clear" w:color="auto" w:fill="E6ECFF"/>
          </w:tcPr>
          <w:p>
            <w:pPr>
              <w:spacing w:after="0"/>
              <w:rPr>
                <w:sz w:val="20"/>
                <w:szCs w:val="20"/>
                <w:color w:val="auto"/>
              </w:rPr>
            </w:pPr>
          </w:p>
        </w:tc>
        <w:tc>
          <w:tcPr>
            <w:tcW w:w="400" w:type="dxa"/>
            <w:vAlign w:val="bottom"/>
            <w:tcBorders>
              <w:bottom w:val="single" w:sz="8" w:color="auto"/>
            </w:tcBorders>
            <w:shd w:val="clear" w:color="auto" w:fill="E6ECFF"/>
          </w:tcPr>
          <w:p>
            <w:pPr>
              <w:spacing w:after="0"/>
              <w:rPr>
                <w:sz w:val="20"/>
                <w:szCs w:val="20"/>
                <w:color w:val="auto"/>
              </w:rPr>
            </w:pPr>
          </w:p>
        </w:tc>
        <w:tc>
          <w:tcPr>
            <w:tcW w:w="82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23,594</w:t>
            </w:r>
          </w:p>
        </w:tc>
        <w:tc>
          <w:tcPr>
            <w:tcW w:w="120" w:type="dxa"/>
            <w:vAlign w:val="bottom"/>
            <w:tcBorders>
              <w:bottom w:val="single" w:sz="8" w:color="E6ECFF"/>
            </w:tcBorders>
            <w:shd w:val="clear" w:color="auto" w:fill="E6ECFF"/>
          </w:tcPr>
          <w:p>
            <w:pPr>
              <w:spacing w:after="0"/>
              <w:rPr>
                <w:sz w:val="20"/>
                <w:szCs w:val="20"/>
                <w:color w:val="auto"/>
              </w:rPr>
            </w:pPr>
          </w:p>
        </w:tc>
        <w:tc>
          <w:tcPr>
            <w:tcW w:w="400" w:type="dxa"/>
            <w:vAlign w:val="bottom"/>
            <w:tcBorders>
              <w:bottom w:val="single" w:sz="8" w:color="auto"/>
            </w:tcBorders>
            <w:shd w:val="clear" w:color="auto" w:fill="E6ECFF"/>
          </w:tcPr>
          <w:p>
            <w:pPr>
              <w:spacing w:after="0"/>
              <w:rPr>
                <w:sz w:val="20"/>
                <w:szCs w:val="20"/>
                <w:color w:val="auto"/>
              </w:rPr>
            </w:pPr>
          </w:p>
        </w:tc>
        <w:tc>
          <w:tcPr>
            <w:tcW w:w="820" w:type="dxa"/>
            <w:vAlign w:val="bottom"/>
            <w:tcBorders>
              <w:bottom w:val="single" w:sz="8" w:color="auto"/>
            </w:tcBorders>
            <w:shd w:val="clear" w:color="auto" w:fill="E6ECFF"/>
          </w:tcPr>
          <w:p>
            <w:pPr>
              <w:jc w:val="right"/>
              <w:spacing w:after="0" w:line="205" w:lineRule="exact"/>
              <w:rPr>
                <w:sz w:val="20"/>
                <w:szCs w:val="20"/>
                <w:color w:val="auto"/>
              </w:rPr>
            </w:pPr>
            <w:r>
              <w:rPr>
                <w:rFonts w:ascii="Calibri" w:cs="Calibri" w:eastAsia="Calibri" w:hAnsi="Calibri"/>
                <w:sz w:val="17"/>
                <w:szCs w:val="17"/>
                <w:color w:val="auto"/>
              </w:rPr>
              <w:t>15,897</w:t>
            </w:r>
          </w:p>
        </w:tc>
        <w:tc>
          <w:tcPr>
            <w:tcW w:w="0" w:type="dxa"/>
            <w:vAlign w:val="bottom"/>
          </w:tcPr>
          <w:p>
            <w:pPr>
              <w:spacing w:after="0"/>
              <w:rPr>
                <w:sz w:val="1"/>
                <w:szCs w:val="1"/>
                <w:color w:val="auto"/>
              </w:rPr>
            </w:pPr>
          </w:p>
        </w:tc>
      </w:tr>
      <w:tr>
        <w:trPr>
          <w:trHeight w:val="20"/>
        </w:trPr>
        <w:tc>
          <w:tcPr>
            <w:tcW w:w="7340" w:type="dxa"/>
            <w:vAlign w:val="bottom"/>
            <w:tcBorders>
              <w:top w:val="single" w:sz="8" w:color="E6ECFF"/>
            </w:tcBorders>
          </w:tcPr>
          <w:p>
            <w:pPr>
              <w:spacing w:after="0" w:line="20" w:lineRule="exact"/>
              <w:rPr>
                <w:sz w:val="1"/>
                <w:szCs w:val="1"/>
                <w:color w:val="auto"/>
              </w:rPr>
            </w:pPr>
          </w:p>
        </w:tc>
        <w:tc>
          <w:tcPr>
            <w:tcW w:w="400" w:type="dxa"/>
            <w:vAlign w:val="bottom"/>
            <w:tcBorders>
              <w:top w:val="single" w:sz="8" w:color="E6ECFF"/>
              <w:bottom w:val="single" w:sz="8" w:color="auto"/>
            </w:tcBorders>
          </w:tcPr>
          <w:p>
            <w:pPr>
              <w:spacing w:after="0" w:line="20" w:lineRule="exact"/>
              <w:rPr>
                <w:sz w:val="1"/>
                <w:szCs w:val="1"/>
                <w:color w:val="auto"/>
              </w:rPr>
            </w:pPr>
          </w:p>
        </w:tc>
        <w:tc>
          <w:tcPr>
            <w:tcW w:w="820" w:type="dxa"/>
            <w:vAlign w:val="bottom"/>
            <w:tcBorders>
              <w:top w:val="single" w:sz="8" w:color="E6ECFF"/>
              <w:bottom w:val="single" w:sz="8" w:color="auto"/>
            </w:tcBorders>
          </w:tcPr>
          <w:p>
            <w:pPr>
              <w:spacing w:after="0" w:line="20" w:lineRule="exact"/>
              <w:rPr>
                <w:sz w:val="1"/>
                <w:szCs w:val="1"/>
                <w:color w:val="auto"/>
              </w:rPr>
            </w:pPr>
          </w:p>
        </w:tc>
        <w:tc>
          <w:tcPr>
            <w:tcW w:w="120" w:type="dxa"/>
            <w:vAlign w:val="bottom"/>
            <w:tcBorders>
              <w:top w:val="single" w:sz="8" w:color="E6ECFF"/>
            </w:tcBorders>
          </w:tcPr>
          <w:p>
            <w:pPr>
              <w:spacing w:after="0" w:line="20" w:lineRule="exact"/>
              <w:rPr>
                <w:sz w:val="1"/>
                <w:szCs w:val="1"/>
                <w:color w:val="auto"/>
              </w:rPr>
            </w:pPr>
          </w:p>
        </w:tc>
        <w:tc>
          <w:tcPr>
            <w:tcW w:w="400" w:type="dxa"/>
            <w:vAlign w:val="bottom"/>
            <w:tcBorders>
              <w:top w:val="single" w:sz="8" w:color="E6ECFF"/>
              <w:bottom w:val="single" w:sz="8" w:color="auto"/>
            </w:tcBorders>
          </w:tcPr>
          <w:p>
            <w:pPr>
              <w:spacing w:after="0" w:line="20" w:lineRule="exact"/>
              <w:rPr>
                <w:sz w:val="1"/>
                <w:szCs w:val="1"/>
                <w:color w:val="auto"/>
              </w:rPr>
            </w:pPr>
          </w:p>
        </w:tc>
        <w:tc>
          <w:tcPr>
            <w:tcW w:w="820" w:type="dxa"/>
            <w:vAlign w:val="bottom"/>
            <w:tcBorders>
              <w:top w:val="single" w:sz="8" w:color="E6ECFF"/>
              <w:bottom w:val="single" w:sz="8" w:color="auto"/>
            </w:tcBorders>
          </w:tcPr>
          <w:p>
            <w:pPr>
              <w:spacing w:after="0" w:line="20" w:lineRule="exact"/>
              <w:rPr>
                <w:sz w:val="1"/>
                <w:szCs w:val="1"/>
                <w:color w:val="auto"/>
              </w:rPr>
            </w:pPr>
          </w:p>
        </w:tc>
        <w:tc>
          <w:tcPr>
            <w:tcW w:w="120" w:type="dxa"/>
            <w:vAlign w:val="bottom"/>
            <w:tcBorders>
              <w:top w:val="single" w:sz="8" w:color="E6ECFF"/>
            </w:tcBorders>
          </w:tcPr>
          <w:p>
            <w:pPr>
              <w:spacing w:after="0" w:line="20" w:lineRule="exact"/>
              <w:rPr>
                <w:sz w:val="1"/>
                <w:szCs w:val="1"/>
                <w:color w:val="auto"/>
              </w:rPr>
            </w:pPr>
          </w:p>
        </w:tc>
        <w:tc>
          <w:tcPr>
            <w:tcW w:w="400" w:type="dxa"/>
            <w:vAlign w:val="bottom"/>
            <w:tcBorders>
              <w:top w:val="single" w:sz="8" w:color="E6ECFF"/>
              <w:bottom w:val="single" w:sz="8" w:color="auto"/>
            </w:tcBorders>
          </w:tcPr>
          <w:p>
            <w:pPr>
              <w:spacing w:after="0" w:line="20" w:lineRule="exact"/>
              <w:rPr>
                <w:sz w:val="1"/>
                <w:szCs w:val="1"/>
                <w:color w:val="auto"/>
              </w:rPr>
            </w:pPr>
          </w:p>
        </w:tc>
        <w:tc>
          <w:tcPr>
            <w:tcW w:w="820" w:type="dxa"/>
            <w:vAlign w:val="bottom"/>
            <w:tcBorders>
              <w:top w:val="single" w:sz="8" w:color="E6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340" w:type="dxa"/>
            <w:vAlign w:val="bottom"/>
          </w:tcPr>
          <w:p>
            <w:pPr>
              <w:ind w:left="140"/>
              <w:spacing w:after="0" w:line="191" w:lineRule="exact"/>
              <w:rPr>
                <w:sz w:val="20"/>
                <w:szCs w:val="20"/>
                <w:color w:val="auto"/>
              </w:rPr>
            </w:pPr>
            <w:r>
              <w:rPr>
                <w:rFonts w:ascii="Calibri" w:cs="Calibri" w:eastAsia="Calibri" w:hAnsi="Calibri"/>
                <w:sz w:val="17"/>
                <w:szCs w:val="17"/>
                <w:color w:val="auto"/>
              </w:rPr>
              <w:t>Diluted</w:t>
            </w: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1" w:lineRule="exact"/>
              <w:rPr>
                <w:sz w:val="20"/>
                <w:szCs w:val="20"/>
                <w:color w:val="auto"/>
              </w:rPr>
            </w:pPr>
            <w:r>
              <w:rPr>
                <w:rFonts w:ascii="Calibri" w:cs="Calibri" w:eastAsia="Calibri" w:hAnsi="Calibri"/>
                <w:sz w:val="17"/>
                <w:szCs w:val="17"/>
                <w:color w:val="auto"/>
              </w:rPr>
              <w:t>43,054</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1" w:lineRule="exact"/>
              <w:rPr>
                <w:sz w:val="20"/>
                <w:szCs w:val="20"/>
                <w:color w:val="auto"/>
              </w:rPr>
            </w:pPr>
            <w:r>
              <w:rPr>
                <w:rFonts w:ascii="Calibri" w:cs="Calibri" w:eastAsia="Calibri" w:hAnsi="Calibri"/>
                <w:sz w:val="17"/>
                <w:szCs w:val="17"/>
                <w:color w:val="auto"/>
              </w:rPr>
              <w:t>23,594</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1" w:lineRule="exact"/>
              <w:rPr>
                <w:sz w:val="20"/>
                <w:szCs w:val="20"/>
                <w:color w:val="auto"/>
              </w:rPr>
            </w:pPr>
            <w:r>
              <w:rPr>
                <w:rFonts w:ascii="Calibri" w:cs="Calibri" w:eastAsia="Calibri" w:hAnsi="Calibri"/>
                <w:sz w:val="17"/>
                <w:szCs w:val="17"/>
                <w:color w:val="auto"/>
              </w:rPr>
              <w:t>16,062</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240" w:hanging="237"/>
        <w:spacing w:after="0" w:line="237" w:lineRule="auto"/>
        <w:tabs>
          <w:tab w:leader="none" w:pos="239" w:val="left"/>
        </w:tabs>
        <w:numPr>
          <w:ilvl w:val="0"/>
          <w:numId w:val="31"/>
        </w:numPr>
        <w:rPr>
          <w:rFonts w:ascii="Calibri" w:cs="Calibri" w:eastAsia="Calibri" w:hAnsi="Calibri"/>
          <w:sz w:val="17"/>
          <w:szCs w:val="17"/>
          <w:color w:val="auto"/>
        </w:rPr>
      </w:pPr>
      <w:r>
        <w:rPr>
          <w:rFonts w:ascii="Calibri" w:cs="Calibri" w:eastAsia="Calibri" w:hAnsi="Calibri"/>
          <w:sz w:val="17"/>
          <w:szCs w:val="17"/>
          <w:color w:val="auto"/>
        </w:rPr>
        <w:t>Interest income and expense related to our interest rate swap contracts is recorded in gain on derivatves, net on the consolidated statements of operatons and comprehensive income (loss). For additonal informaton, see fnancial statement Note 7.</w:t>
      </w:r>
    </w:p>
    <w:p>
      <w:pPr>
        <w:spacing w:after="0" w:line="200" w:lineRule="exact"/>
        <w:rPr>
          <w:sz w:val="20"/>
          <w:szCs w:val="20"/>
          <w:color w:val="auto"/>
        </w:rPr>
      </w:pPr>
    </w:p>
    <w:p>
      <w:pPr>
        <w:spacing w:after="0" w:line="380" w:lineRule="exact"/>
        <w:rPr>
          <w:sz w:val="20"/>
          <w:szCs w:val="20"/>
          <w:color w:val="auto"/>
        </w:rPr>
      </w:pPr>
    </w:p>
    <w:p>
      <w:pPr>
        <w:ind w:left="4920"/>
        <w:spacing w:after="0"/>
        <w:rPr>
          <w:sz w:val="20"/>
          <w:szCs w:val="20"/>
          <w:color w:val="auto"/>
        </w:rPr>
      </w:pPr>
      <w:r>
        <w:rPr>
          <w:rFonts w:ascii="Calibri" w:cs="Calibri" w:eastAsia="Calibri" w:hAnsi="Calibri"/>
          <w:sz w:val="17"/>
          <w:szCs w:val="17"/>
          <w:color w:val="auto"/>
        </w:rPr>
        <w:t>See fnancial statement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81" w:name="page82"/>
    <w:bookmarkEnd w:id="81"/>
    <w:p>
      <w:pPr>
        <w:jc w:val="center"/>
        <w:ind w:right="20"/>
        <w:spacing w:after="0"/>
        <w:rPr>
          <w:sz w:val="20"/>
          <w:szCs w:val="20"/>
          <w:color w:val="auto"/>
        </w:rPr>
      </w:pPr>
      <w:r>
        <w:rPr>
          <w:rFonts w:ascii="Calibri" w:cs="Calibri" w:eastAsia="Calibri" w:hAnsi="Calibri"/>
          <w:sz w:val="19"/>
          <w:szCs w:val="19"/>
          <w:b w:val="1"/>
          <w:bCs w:val="1"/>
          <w:color w:val="1C4787"/>
        </w:rPr>
        <w:t>ARMOUR Residental REIT, Inc.</w:t>
      </w:r>
    </w:p>
    <w:p>
      <w:pPr>
        <w:jc w:val="center"/>
        <w:ind w:right="20"/>
        <w:spacing w:after="0"/>
        <w:rPr>
          <w:sz w:val="20"/>
          <w:szCs w:val="20"/>
          <w:color w:val="auto"/>
        </w:rPr>
      </w:pPr>
      <w:r>
        <w:rPr>
          <w:rFonts w:ascii="Calibri" w:cs="Calibri" w:eastAsia="Calibri" w:hAnsi="Calibri"/>
          <w:sz w:val="19"/>
          <w:szCs w:val="19"/>
          <w:b w:val="1"/>
          <w:bCs w:val="1"/>
          <w:color w:val="1C4787"/>
        </w:rPr>
        <w:t>CONSOLIDATED STATEMENTS OF STOCKHOLDERS' EQUITY</w:t>
      </w:r>
    </w:p>
    <w:p>
      <w:pPr>
        <w:spacing w:after="0" w:line="8" w:lineRule="exact"/>
        <w:rPr>
          <w:sz w:val="20"/>
          <w:szCs w:val="20"/>
          <w:color w:val="auto"/>
        </w:rPr>
      </w:pPr>
    </w:p>
    <w:p>
      <w:pPr>
        <w:ind w:left="3840"/>
        <w:spacing w:after="0"/>
        <w:rPr>
          <w:sz w:val="20"/>
          <w:szCs w:val="20"/>
          <w:color w:val="auto"/>
        </w:rPr>
      </w:pPr>
      <w:r>
        <w:rPr>
          <w:rFonts w:ascii="Calibri" w:cs="Calibri" w:eastAsia="Calibri" w:hAnsi="Calibri"/>
          <w:sz w:val="17"/>
          <w:szCs w:val="17"/>
          <w:color w:val="1C4787"/>
        </w:rPr>
        <w:t>(U.S dollar amounts in thousands,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Calibri" w:cs="Calibri" w:eastAsia="Calibri" w:hAnsi="Calibri"/>
                <w:sz w:val="17"/>
                <w:szCs w:val="17"/>
                <w:color w:val="1C4787"/>
              </w:rPr>
              <w:t>80</w:t>
            </w:r>
          </w:p>
        </w:tc>
      </w:tr>
      <w:tr>
        <w:trPr>
          <w:trHeight w:val="628"/>
        </w:trPr>
        <w:tc>
          <w:tcPr>
            <w:tcW w:w="2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2380" w:type="dxa"/>
            <w:vAlign w:val="bottom"/>
            <w:tcBorders>
              <w:bottom w:val="single" w:sz="8" w:color="E6EEFF"/>
            </w:tcBorders>
            <w:shd w:val="clear" w:color="auto" w:fill="E6EEFF"/>
          </w:tcPr>
          <w:p>
            <w:pPr>
              <w:spacing w:after="0"/>
              <w:rPr>
                <w:sz w:val="17"/>
                <w:szCs w:val="17"/>
                <w:color w:val="auto"/>
              </w:rPr>
            </w:pPr>
          </w:p>
        </w:tc>
        <w:tc>
          <w:tcPr>
            <w:tcW w:w="1600" w:type="dxa"/>
            <w:vAlign w:val="bottom"/>
            <w:tcBorders>
              <w:bottom w:val="single" w:sz="8" w:color="E6EEFF"/>
            </w:tcBorders>
            <w:gridSpan w:val="4"/>
            <w:shd w:val="clear" w:color="auto" w:fill="E6EEFF"/>
          </w:tcPr>
          <w:p>
            <w:pPr>
              <w:ind w:left="540"/>
              <w:spacing w:after="0"/>
              <w:rPr>
                <w:sz w:val="20"/>
                <w:szCs w:val="20"/>
                <w:color w:val="auto"/>
              </w:rPr>
            </w:pPr>
            <w:r>
              <w:rPr>
                <w:rFonts w:ascii="Calibri" w:cs="Calibri" w:eastAsia="Calibri" w:hAnsi="Calibri"/>
                <w:sz w:val="15"/>
                <w:szCs w:val="15"/>
                <w:b w:val="1"/>
                <w:bCs w:val="1"/>
                <w:color w:val="1C4787"/>
              </w:rPr>
              <w:t>Shares</w:t>
            </w:r>
          </w:p>
        </w:tc>
        <w:tc>
          <w:tcPr>
            <w:tcW w:w="140" w:type="dxa"/>
            <w:vAlign w:val="bottom"/>
            <w:tcBorders>
              <w:bottom w:val="single" w:sz="8" w:color="E6EEFF"/>
            </w:tcBorders>
            <w:shd w:val="clear" w:color="auto" w:fill="E6EEFF"/>
          </w:tcPr>
          <w:p>
            <w:pPr>
              <w:spacing w:after="0"/>
              <w:rPr>
                <w:sz w:val="17"/>
                <w:szCs w:val="17"/>
                <w:color w:val="auto"/>
              </w:rPr>
            </w:pPr>
          </w:p>
        </w:tc>
        <w:tc>
          <w:tcPr>
            <w:tcW w:w="800" w:type="dxa"/>
            <w:vAlign w:val="bottom"/>
            <w:tcBorders>
              <w:bottom w:val="single" w:sz="8" w:color="E6EEFF"/>
            </w:tcBorders>
            <w:gridSpan w:val="3"/>
            <w:shd w:val="clear" w:color="auto" w:fill="E6EEFF"/>
          </w:tcPr>
          <w:p>
            <w:pPr>
              <w:jc w:val="right"/>
              <w:ind w:right="23"/>
              <w:spacing w:after="0"/>
              <w:rPr>
                <w:sz w:val="20"/>
                <w:szCs w:val="20"/>
                <w:color w:val="auto"/>
              </w:rPr>
            </w:pPr>
            <w:r>
              <w:rPr>
                <w:rFonts w:ascii="Calibri" w:cs="Calibri" w:eastAsia="Calibri" w:hAnsi="Calibri"/>
                <w:sz w:val="15"/>
                <w:szCs w:val="15"/>
                <w:b w:val="1"/>
                <w:bCs w:val="1"/>
                <w:color w:val="1C4787"/>
              </w:rPr>
              <w:t>Par</w:t>
            </w:r>
          </w:p>
        </w:tc>
        <w:tc>
          <w:tcPr>
            <w:tcW w:w="540" w:type="dxa"/>
            <w:vAlign w:val="bottom"/>
            <w:tcBorders>
              <w:bottom w:val="single" w:sz="8" w:color="E6EEFF"/>
            </w:tcBorders>
            <w:shd w:val="clear" w:color="auto" w:fill="E6EEFF"/>
          </w:tcPr>
          <w:p>
            <w:pPr>
              <w:spacing w:after="0"/>
              <w:rPr>
                <w:sz w:val="17"/>
                <w:szCs w:val="17"/>
                <w:color w:val="auto"/>
              </w:rPr>
            </w:pPr>
          </w:p>
        </w:tc>
        <w:tc>
          <w:tcPr>
            <w:tcW w:w="100" w:type="dxa"/>
            <w:vAlign w:val="bottom"/>
            <w:tcBorders>
              <w:bottom w:val="single" w:sz="8" w:color="E6EEFF"/>
            </w:tcBorders>
            <w:shd w:val="clear" w:color="auto" w:fill="E6EEFF"/>
          </w:tcPr>
          <w:p>
            <w:pPr>
              <w:spacing w:after="0"/>
              <w:rPr>
                <w:sz w:val="17"/>
                <w:szCs w:val="17"/>
                <w:color w:val="auto"/>
              </w:rPr>
            </w:pPr>
          </w:p>
        </w:tc>
        <w:tc>
          <w:tcPr>
            <w:tcW w:w="120" w:type="dxa"/>
            <w:vAlign w:val="bottom"/>
            <w:tcBorders>
              <w:bottom w:val="single" w:sz="8" w:color="E6EEFF"/>
            </w:tcBorders>
            <w:shd w:val="clear" w:color="auto" w:fill="E6EEFF"/>
          </w:tcPr>
          <w:p>
            <w:pPr>
              <w:spacing w:after="0"/>
              <w:rPr>
                <w:sz w:val="17"/>
                <w:szCs w:val="17"/>
                <w:color w:val="auto"/>
              </w:rPr>
            </w:pPr>
          </w:p>
        </w:tc>
        <w:tc>
          <w:tcPr>
            <w:tcW w:w="900" w:type="dxa"/>
            <w:vAlign w:val="bottom"/>
            <w:tcBorders>
              <w:bottom w:val="single" w:sz="8" w:color="E6EEFF"/>
            </w:tcBorders>
            <w:shd w:val="clear" w:color="auto" w:fill="E6EEFF"/>
          </w:tcPr>
          <w:p>
            <w:pPr>
              <w:spacing w:after="0"/>
              <w:rPr>
                <w:sz w:val="17"/>
                <w:szCs w:val="17"/>
                <w:color w:val="auto"/>
              </w:rPr>
            </w:pPr>
          </w:p>
        </w:tc>
        <w:tc>
          <w:tcPr>
            <w:tcW w:w="80" w:type="dxa"/>
            <w:vAlign w:val="bottom"/>
            <w:tcBorders>
              <w:bottom w:val="single" w:sz="8" w:color="E6EEFF"/>
            </w:tcBorders>
            <w:shd w:val="clear" w:color="auto" w:fill="E6EEFF"/>
          </w:tcPr>
          <w:p>
            <w:pPr>
              <w:spacing w:after="0"/>
              <w:rPr>
                <w:sz w:val="17"/>
                <w:szCs w:val="17"/>
                <w:color w:val="auto"/>
              </w:rPr>
            </w:pPr>
          </w:p>
        </w:tc>
        <w:tc>
          <w:tcPr>
            <w:tcW w:w="100" w:type="dxa"/>
            <w:vAlign w:val="bottom"/>
            <w:tcBorders>
              <w:bottom w:val="single" w:sz="8" w:color="E6EEFF"/>
            </w:tcBorders>
            <w:shd w:val="clear" w:color="auto" w:fill="E6EEFF"/>
          </w:tcPr>
          <w:p>
            <w:pPr>
              <w:spacing w:after="0"/>
              <w:rPr>
                <w:sz w:val="17"/>
                <w:szCs w:val="17"/>
                <w:color w:val="auto"/>
              </w:rPr>
            </w:pPr>
          </w:p>
        </w:tc>
        <w:tc>
          <w:tcPr>
            <w:tcW w:w="940" w:type="dxa"/>
            <w:vAlign w:val="bottom"/>
            <w:tcBorders>
              <w:bottom w:val="single" w:sz="8" w:color="E6EEFF"/>
            </w:tcBorders>
            <w:shd w:val="clear" w:color="auto" w:fill="E6EEFF"/>
          </w:tcPr>
          <w:p>
            <w:pPr>
              <w:spacing w:after="0"/>
              <w:rPr>
                <w:sz w:val="17"/>
                <w:szCs w:val="17"/>
                <w:color w:val="auto"/>
              </w:rPr>
            </w:pPr>
          </w:p>
        </w:tc>
        <w:tc>
          <w:tcPr>
            <w:tcW w:w="80" w:type="dxa"/>
            <w:vAlign w:val="bottom"/>
            <w:tcBorders>
              <w:bottom w:val="single" w:sz="8" w:color="E6EEFF"/>
            </w:tcBorders>
            <w:shd w:val="clear" w:color="auto" w:fill="E6EEFF"/>
          </w:tcPr>
          <w:p>
            <w:pPr>
              <w:spacing w:after="0"/>
              <w:rPr>
                <w:sz w:val="17"/>
                <w:szCs w:val="17"/>
                <w:color w:val="auto"/>
              </w:rPr>
            </w:pPr>
          </w:p>
        </w:tc>
        <w:tc>
          <w:tcPr>
            <w:tcW w:w="100" w:type="dxa"/>
            <w:vAlign w:val="bottom"/>
            <w:tcBorders>
              <w:bottom w:val="single" w:sz="8" w:color="E6EEFF"/>
            </w:tcBorders>
            <w:shd w:val="clear" w:color="auto" w:fill="E6EEFF"/>
          </w:tcPr>
          <w:p>
            <w:pPr>
              <w:spacing w:after="0"/>
              <w:rPr>
                <w:sz w:val="17"/>
                <w:szCs w:val="17"/>
                <w:color w:val="auto"/>
              </w:rPr>
            </w:pPr>
          </w:p>
        </w:tc>
        <w:tc>
          <w:tcPr>
            <w:tcW w:w="940" w:type="dxa"/>
            <w:vAlign w:val="bottom"/>
            <w:tcBorders>
              <w:bottom w:val="single" w:sz="8" w:color="E6EEFF"/>
            </w:tcBorders>
            <w:shd w:val="clear" w:color="auto" w:fill="E6EEFF"/>
          </w:tcPr>
          <w:p>
            <w:pPr>
              <w:spacing w:after="0"/>
              <w:rPr>
                <w:sz w:val="17"/>
                <w:szCs w:val="17"/>
                <w:color w:val="auto"/>
              </w:rPr>
            </w:pPr>
          </w:p>
        </w:tc>
        <w:tc>
          <w:tcPr>
            <w:tcW w:w="80" w:type="dxa"/>
            <w:vAlign w:val="bottom"/>
            <w:tcBorders>
              <w:bottom w:val="single" w:sz="8" w:color="E6EEFF"/>
            </w:tcBorders>
            <w:shd w:val="clear" w:color="auto" w:fill="E6EEFF"/>
          </w:tcPr>
          <w:p>
            <w:pPr>
              <w:spacing w:after="0"/>
              <w:rPr>
                <w:sz w:val="17"/>
                <w:szCs w:val="17"/>
                <w:color w:val="auto"/>
              </w:rPr>
            </w:pPr>
          </w:p>
        </w:tc>
        <w:tc>
          <w:tcPr>
            <w:tcW w:w="120" w:type="dxa"/>
            <w:vAlign w:val="bottom"/>
            <w:tcBorders>
              <w:bottom w:val="single" w:sz="8" w:color="E6EEFF"/>
            </w:tcBorders>
            <w:shd w:val="clear" w:color="auto" w:fill="E6EEFF"/>
          </w:tcPr>
          <w:p>
            <w:pPr>
              <w:spacing w:after="0"/>
              <w:rPr>
                <w:sz w:val="17"/>
                <w:szCs w:val="17"/>
                <w:color w:val="auto"/>
              </w:rPr>
            </w:pPr>
          </w:p>
        </w:tc>
        <w:tc>
          <w:tcPr>
            <w:tcW w:w="1040" w:type="dxa"/>
            <w:vAlign w:val="bottom"/>
            <w:tcBorders>
              <w:bottom w:val="single" w:sz="8" w:color="E6EEFF"/>
            </w:tcBorders>
            <w:shd w:val="clear" w:color="auto" w:fill="E6EEFF"/>
          </w:tcPr>
          <w:p>
            <w:pPr>
              <w:spacing w:after="0"/>
              <w:rPr>
                <w:sz w:val="17"/>
                <w:szCs w:val="17"/>
                <w:color w:val="auto"/>
              </w:rPr>
            </w:pPr>
          </w:p>
        </w:tc>
        <w:tc>
          <w:tcPr>
            <w:tcW w:w="100" w:type="dxa"/>
            <w:vAlign w:val="bottom"/>
            <w:tcBorders>
              <w:bottom w:val="single" w:sz="8" w:color="E6EEFF"/>
            </w:tcBorders>
            <w:shd w:val="clear" w:color="auto" w:fill="E6EEFF"/>
          </w:tcPr>
          <w:p>
            <w:pPr>
              <w:spacing w:after="0"/>
              <w:rPr>
                <w:sz w:val="17"/>
                <w:szCs w:val="17"/>
                <w:color w:val="auto"/>
              </w:rPr>
            </w:pPr>
          </w:p>
        </w:tc>
        <w:tc>
          <w:tcPr>
            <w:tcW w:w="200" w:type="dxa"/>
            <w:vAlign w:val="bottom"/>
            <w:tcBorders>
              <w:bottom w:val="single" w:sz="8" w:color="E6EEFF"/>
            </w:tcBorders>
            <w:shd w:val="clear" w:color="auto" w:fill="E6EEFF"/>
          </w:tcPr>
          <w:p>
            <w:pPr>
              <w:spacing w:after="0"/>
              <w:rPr>
                <w:sz w:val="17"/>
                <w:szCs w:val="17"/>
                <w:color w:val="auto"/>
              </w:rPr>
            </w:pPr>
          </w:p>
        </w:tc>
        <w:tc>
          <w:tcPr>
            <w:tcW w:w="840" w:type="dxa"/>
            <w:vAlign w:val="bottom"/>
            <w:tcBorders>
              <w:bottom w:val="single" w:sz="8" w:color="E6EEFF"/>
            </w:tcBorders>
            <w:shd w:val="clear" w:color="auto" w:fill="E6EEFF"/>
          </w:tcPr>
          <w:p>
            <w:pPr>
              <w:spacing w:after="0"/>
              <w:rPr>
                <w:sz w:val="17"/>
                <w:szCs w:val="17"/>
                <w:color w:val="auto"/>
              </w:rPr>
            </w:pPr>
          </w:p>
        </w:tc>
        <w:tc>
          <w:tcPr>
            <w:tcW w:w="20" w:type="dxa"/>
            <w:vAlign w:val="bottom"/>
          </w:tcPr>
          <w:p>
            <w:pPr>
              <w:spacing w:after="0"/>
              <w:rPr>
                <w:sz w:val="17"/>
                <w:szCs w:val="17"/>
                <w:color w:val="auto"/>
              </w:rPr>
            </w:pPr>
          </w:p>
        </w:tc>
      </w:tr>
      <w:tr>
        <w:trPr>
          <w:trHeight w:val="130"/>
        </w:trPr>
        <w:tc>
          <w:tcPr>
            <w:tcW w:w="23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1" w:lineRule="exact"/>
              <w:rPr>
                <w:sz w:val="20"/>
                <w:szCs w:val="20"/>
                <w:color w:val="auto"/>
              </w:rPr>
            </w:pPr>
            <w:r>
              <w:rPr>
                <w:rFonts w:ascii="Calibri" w:cs="Calibri" w:eastAsia="Calibri" w:hAnsi="Calibri"/>
                <w:sz w:val="14"/>
                <w:szCs w:val="14"/>
                <w:b w:val="1"/>
                <w:bCs w:val="1"/>
                <w:color w:val="1C4787"/>
              </w:rPr>
              <w:t>Accumulated</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2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5" w:lineRule="exact"/>
              <w:rPr>
                <w:sz w:val="20"/>
                <w:szCs w:val="20"/>
                <w:color w:val="auto"/>
              </w:rPr>
            </w:pPr>
            <w:r>
              <w:rPr>
                <w:rFonts w:ascii="Calibri" w:cs="Calibri" w:eastAsia="Calibri" w:hAnsi="Calibri"/>
                <w:sz w:val="15"/>
                <w:szCs w:val="15"/>
                <w:b w:val="1"/>
                <w:bCs w:val="1"/>
                <w:color w:val="1C4787"/>
              </w:rPr>
              <w:t>Additonal</w:t>
            </w:r>
          </w:p>
        </w:tc>
        <w:tc>
          <w:tcPr>
            <w:tcW w:w="100" w:type="dxa"/>
            <w:vAlign w:val="bottom"/>
          </w:tcPr>
          <w:p>
            <w:pPr>
              <w:spacing w:after="0"/>
              <w:rPr>
                <w:sz w:val="13"/>
                <w:szCs w:val="13"/>
                <w:color w:val="auto"/>
              </w:rPr>
            </w:pPr>
          </w:p>
        </w:tc>
        <w:tc>
          <w:tcPr>
            <w:tcW w:w="1020" w:type="dxa"/>
            <w:vAlign w:val="bottom"/>
            <w:gridSpan w:val="2"/>
          </w:tcPr>
          <w:p>
            <w:pPr>
              <w:ind w:left="60"/>
              <w:spacing w:after="0" w:line="155" w:lineRule="exact"/>
              <w:rPr>
                <w:sz w:val="20"/>
                <w:szCs w:val="20"/>
                <w:color w:val="auto"/>
              </w:rPr>
            </w:pPr>
            <w:r>
              <w:rPr>
                <w:rFonts w:ascii="Calibri" w:cs="Calibri" w:eastAsia="Calibri" w:hAnsi="Calibri"/>
                <w:sz w:val="15"/>
                <w:szCs w:val="15"/>
                <w:b w:val="1"/>
                <w:bCs w:val="1"/>
                <w:color w:val="1C4787"/>
              </w:rPr>
              <w:t>Cumulatve</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00"/>
              <w:spacing w:after="0" w:line="155" w:lineRule="exact"/>
              <w:rPr>
                <w:sz w:val="20"/>
                <w:szCs w:val="20"/>
                <w:color w:val="auto"/>
              </w:rPr>
            </w:pPr>
            <w:r>
              <w:rPr>
                <w:rFonts w:ascii="Calibri" w:cs="Calibri" w:eastAsia="Calibri" w:hAnsi="Calibri"/>
                <w:sz w:val="15"/>
                <w:szCs w:val="15"/>
                <w:b w:val="1"/>
                <w:bCs w:val="1"/>
                <w:color w:val="1C4787"/>
              </w:rPr>
              <w:t>Other</w:t>
            </w:r>
          </w:p>
        </w:tc>
        <w:tc>
          <w:tcPr>
            <w:tcW w:w="200" w:type="dxa"/>
            <w:vAlign w:val="bottom"/>
          </w:tcPr>
          <w:p>
            <w:pPr>
              <w:spacing w:after="0"/>
              <w:rPr>
                <w:sz w:val="13"/>
                <w:szCs w:val="13"/>
                <w:color w:val="auto"/>
              </w:rPr>
            </w:pPr>
          </w:p>
        </w:tc>
        <w:tc>
          <w:tcPr>
            <w:tcW w:w="860" w:type="dxa"/>
            <w:vAlign w:val="bottom"/>
            <w:gridSpan w:val="2"/>
          </w:tcPr>
          <w:p>
            <w:pPr>
              <w:jc w:val="center"/>
              <w:ind w:right="220"/>
              <w:spacing w:after="0" w:line="155" w:lineRule="exact"/>
              <w:rPr>
                <w:sz w:val="20"/>
                <w:szCs w:val="20"/>
                <w:color w:val="auto"/>
              </w:rPr>
            </w:pPr>
            <w:r>
              <w:rPr>
                <w:rFonts w:ascii="Calibri" w:cs="Calibri" w:eastAsia="Calibri" w:hAnsi="Calibri"/>
                <w:sz w:val="15"/>
                <w:szCs w:val="15"/>
                <w:b w:val="1"/>
                <w:bCs w:val="1"/>
                <w:color w:val="1C4787"/>
              </w:rPr>
              <w:t>Total</w:t>
            </w:r>
          </w:p>
        </w:tc>
      </w:tr>
      <w:tr>
        <w:trPr>
          <w:trHeight w:val="155"/>
        </w:trPr>
        <w:tc>
          <w:tcPr>
            <w:tcW w:w="2380" w:type="dxa"/>
            <w:vAlign w:val="bottom"/>
          </w:tcPr>
          <w:p>
            <w:pPr>
              <w:spacing w:after="0"/>
              <w:rPr>
                <w:sz w:val="13"/>
                <w:szCs w:val="13"/>
                <w:color w:val="auto"/>
              </w:rPr>
            </w:pPr>
          </w:p>
        </w:tc>
        <w:tc>
          <w:tcPr>
            <w:tcW w:w="820" w:type="dxa"/>
            <w:vAlign w:val="bottom"/>
            <w:gridSpan w:val="2"/>
          </w:tcPr>
          <w:p>
            <w:pPr>
              <w:jc w:val="center"/>
              <w:ind w:right="100"/>
              <w:spacing w:after="0" w:line="155" w:lineRule="exact"/>
              <w:rPr>
                <w:sz w:val="20"/>
                <w:szCs w:val="20"/>
                <w:color w:val="auto"/>
              </w:rPr>
            </w:pPr>
            <w:r>
              <w:rPr>
                <w:rFonts w:ascii="Calibri" w:cs="Calibri" w:eastAsia="Calibri" w:hAnsi="Calibri"/>
                <w:sz w:val="15"/>
                <w:szCs w:val="15"/>
                <w:b w:val="1"/>
                <w:bCs w:val="1"/>
                <w:color w:val="1C4787"/>
              </w:rPr>
              <w:t>Preferred</w:t>
            </w:r>
          </w:p>
        </w:tc>
        <w:tc>
          <w:tcPr>
            <w:tcW w:w="780" w:type="dxa"/>
            <w:vAlign w:val="bottom"/>
            <w:gridSpan w:val="2"/>
          </w:tcPr>
          <w:p>
            <w:pPr>
              <w:jc w:val="center"/>
              <w:ind w:right="80"/>
              <w:spacing w:after="0" w:line="155" w:lineRule="exact"/>
              <w:rPr>
                <w:sz w:val="20"/>
                <w:szCs w:val="20"/>
                <w:color w:val="auto"/>
              </w:rPr>
            </w:pPr>
            <w:r>
              <w:rPr>
                <w:rFonts w:ascii="Calibri" w:cs="Calibri" w:eastAsia="Calibri" w:hAnsi="Calibri"/>
                <w:sz w:val="15"/>
                <w:szCs w:val="15"/>
                <w:b w:val="1"/>
                <w:bCs w:val="1"/>
                <w:color w:val="1C4787"/>
              </w:rPr>
              <w:t>Common</w:t>
            </w:r>
          </w:p>
        </w:tc>
        <w:tc>
          <w:tcPr>
            <w:tcW w:w="800" w:type="dxa"/>
            <w:vAlign w:val="bottom"/>
            <w:gridSpan w:val="3"/>
          </w:tcPr>
          <w:p>
            <w:pPr>
              <w:jc w:val="center"/>
              <w:ind w:right="80"/>
              <w:spacing w:after="0" w:line="155" w:lineRule="exact"/>
              <w:rPr>
                <w:sz w:val="20"/>
                <w:szCs w:val="20"/>
                <w:color w:val="auto"/>
              </w:rPr>
            </w:pPr>
            <w:r>
              <w:rPr>
                <w:rFonts w:ascii="Calibri" w:cs="Calibri" w:eastAsia="Calibri" w:hAnsi="Calibri"/>
                <w:sz w:val="15"/>
                <w:szCs w:val="15"/>
                <w:b w:val="1"/>
                <w:bCs w:val="1"/>
                <w:color w:val="1C4787"/>
              </w:rPr>
              <w:t>Preferred</w:t>
            </w:r>
          </w:p>
        </w:tc>
        <w:tc>
          <w:tcPr>
            <w:tcW w:w="780" w:type="dxa"/>
            <w:vAlign w:val="bottom"/>
            <w:gridSpan w:val="3"/>
          </w:tcPr>
          <w:p>
            <w:pPr>
              <w:jc w:val="center"/>
              <w:ind w:right="100"/>
              <w:spacing w:after="0" w:line="155" w:lineRule="exact"/>
              <w:rPr>
                <w:sz w:val="20"/>
                <w:szCs w:val="20"/>
                <w:color w:val="auto"/>
              </w:rPr>
            </w:pPr>
            <w:r>
              <w:rPr>
                <w:rFonts w:ascii="Calibri" w:cs="Calibri" w:eastAsia="Calibri" w:hAnsi="Calibri"/>
                <w:sz w:val="15"/>
                <w:szCs w:val="15"/>
                <w:b w:val="1"/>
                <w:bCs w:val="1"/>
                <w:color w:val="1C4787"/>
              </w:rPr>
              <w:t>Common</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line="155" w:lineRule="exact"/>
              <w:rPr>
                <w:sz w:val="20"/>
                <w:szCs w:val="20"/>
                <w:color w:val="auto"/>
              </w:rPr>
            </w:pPr>
            <w:r>
              <w:rPr>
                <w:rFonts w:ascii="Calibri" w:cs="Calibri" w:eastAsia="Calibri" w:hAnsi="Calibri"/>
                <w:sz w:val="15"/>
                <w:szCs w:val="15"/>
                <w:b w:val="1"/>
                <w:bCs w:val="1"/>
                <w:color w:val="1C4787"/>
              </w:rPr>
              <w:t>Paid-in</w:t>
            </w:r>
          </w:p>
        </w:tc>
        <w:tc>
          <w:tcPr>
            <w:tcW w:w="1120" w:type="dxa"/>
            <w:vAlign w:val="bottom"/>
            <w:gridSpan w:val="3"/>
          </w:tcPr>
          <w:p>
            <w:pPr>
              <w:ind w:left="20"/>
              <w:spacing w:after="0" w:line="155" w:lineRule="exact"/>
              <w:rPr>
                <w:sz w:val="20"/>
                <w:szCs w:val="20"/>
                <w:color w:val="auto"/>
              </w:rPr>
            </w:pPr>
            <w:r>
              <w:rPr>
                <w:rFonts w:ascii="Calibri" w:cs="Calibri" w:eastAsia="Calibri" w:hAnsi="Calibri"/>
                <w:sz w:val="15"/>
                <w:szCs w:val="15"/>
                <w:b w:val="1"/>
                <w:bCs w:val="1"/>
                <w:color w:val="1C4787"/>
              </w:rPr>
              <w:t>Distributons to</w:t>
            </w:r>
          </w:p>
        </w:tc>
        <w:tc>
          <w:tcPr>
            <w:tcW w:w="100" w:type="dxa"/>
            <w:vAlign w:val="bottom"/>
          </w:tcPr>
          <w:p>
            <w:pPr>
              <w:spacing w:after="0"/>
              <w:rPr>
                <w:sz w:val="13"/>
                <w:szCs w:val="13"/>
                <w:color w:val="auto"/>
              </w:rPr>
            </w:pPr>
          </w:p>
        </w:tc>
        <w:tc>
          <w:tcPr>
            <w:tcW w:w="1020" w:type="dxa"/>
            <w:vAlign w:val="bottom"/>
            <w:gridSpan w:val="2"/>
          </w:tcPr>
          <w:p>
            <w:pPr>
              <w:jc w:val="center"/>
              <w:ind w:right="180"/>
              <w:spacing w:after="0" w:line="155" w:lineRule="exact"/>
              <w:rPr>
                <w:sz w:val="20"/>
                <w:szCs w:val="20"/>
                <w:color w:val="auto"/>
              </w:rPr>
            </w:pPr>
            <w:r>
              <w:rPr>
                <w:rFonts w:ascii="Calibri" w:cs="Calibri" w:eastAsia="Calibri" w:hAnsi="Calibri"/>
                <w:sz w:val="15"/>
                <w:szCs w:val="15"/>
                <w:b w:val="1"/>
                <w:bCs w:val="1"/>
                <w:color w:val="1C4787"/>
              </w:rPr>
              <w:t>Accumulated</w:t>
            </w:r>
          </w:p>
        </w:tc>
        <w:tc>
          <w:tcPr>
            <w:tcW w:w="1260" w:type="dxa"/>
            <w:vAlign w:val="bottom"/>
            <w:gridSpan w:val="3"/>
          </w:tcPr>
          <w:p>
            <w:pPr>
              <w:jc w:val="center"/>
              <w:ind w:right="100"/>
              <w:spacing w:after="0" w:line="155" w:lineRule="exact"/>
              <w:rPr>
                <w:sz w:val="20"/>
                <w:szCs w:val="20"/>
                <w:color w:val="auto"/>
              </w:rPr>
            </w:pPr>
            <w:r>
              <w:rPr>
                <w:rFonts w:ascii="Calibri" w:cs="Calibri" w:eastAsia="Calibri" w:hAnsi="Calibri"/>
                <w:sz w:val="15"/>
                <w:szCs w:val="15"/>
                <w:b w:val="1"/>
                <w:bCs w:val="1"/>
                <w:color w:val="1C4787"/>
              </w:rPr>
              <w:t>Comprehensive</w:t>
            </w:r>
          </w:p>
        </w:tc>
        <w:tc>
          <w:tcPr>
            <w:tcW w:w="1060" w:type="dxa"/>
            <w:vAlign w:val="bottom"/>
            <w:gridSpan w:val="3"/>
          </w:tcPr>
          <w:p>
            <w:pPr>
              <w:jc w:val="center"/>
              <w:ind w:right="40"/>
              <w:spacing w:after="0" w:line="155" w:lineRule="exact"/>
              <w:rPr>
                <w:sz w:val="20"/>
                <w:szCs w:val="20"/>
                <w:color w:val="auto"/>
              </w:rPr>
            </w:pPr>
            <w:r>
              <w:rPr>
                <w:rFonts w:ascii="Calibri" w:cs="Calibri" w:eastAsia="Calibri" w:hAnsi="Calibri"/>
                <w:sz w:val="15"/>
                <w:szCs w:val="15"/>
                <w:b w:val="1"/>
                <w:bCs w:val="1"/>
                <w:color w:val="1C4787"/>
              </w:rPr>
              <w:t>Stockholders'</w:t>
            </w:r>
          </w:p>
        </w:tc>
      </w:tr>
      <w:tr>
        <w:trPr>
          <w:trHeight w:val="184"/>
        </w:trPr>
        <w:tc>
          <w:tcPr>
            <w:tcW w:w="238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Calibri" w:cs="Calibri" w:eastAsia="Calibri" w:hAnsi="Calibri"/>
                <w:sz w:val="15"/>
                <w:szCs w:val="15"/>
                <w:b w:val="1"/>
                <w:bCs w:val="1"/>
                <w:color w:val="1C4787"/>
              </w:rPr>
              <w:t>Stock</w:t>
            </w:r>
          </w:p>
        </w:tc>
        <w:tc>
          <w:tcPr>
            <w:tcW w:w="780" w:type="dxa"/>
            <w:vAlign w:val="bottom"/>
            <w:gridSpan w:val="2"/>
          </w:tcPr>
          <w:p>
            <w:pPr>
              <w:jc w:val="center"/>
              <w:ind w:right="80"/>
              <w:spacing w:after="0"/>
              <w:rPr>
                <w:sz w:val="20"/>
                <w:szCs w:val="20"/>
                <w:color w:val="auto"/>
              </w:rPr>
            </w:pPr>
            <w:r>
              <w:rPr>
                <w:rFonts w:ascii="Calibri" w:cs="Calibri" w:eastAsia="Calibri" w:hAnsi="Calibri"/>
                <w:sz w:val="15"/>
                <w:szCs w:val="15"/>
                <w:b w:val="1"/>
                <w:bCs w:val="1"/>
                <w:color w:val="1C4787"/>
              </w:rPr>
              <w:t>Stock</w:t>
            </w:r>
          </w:p>
        </w:tc>
        <w:tc>
          <w:tcPr>
            <w:tcW w:w="140" w:type="dxa"/>
            <w:vAlign w:val="bottom"/>
          </w:tcPr>
          <w:p>
            <w:pPr>
              <w:spacing w:after="0"/>
              <w:rPr>
                <w:sz w:val="16"/>
                <w:szCs w:val="16"/>
                <w:color w:val="auto"/>
              </w:rPr>
            </w:pPr>
          </w:p>
        </w:tc>
        <w:tc>
          <w:tcPr>
            <w:tcW w:w="660" w:type="dxa"/>
            <w:vAlign w:val="bottom"/>
            <w:gridSpan w:val="2"/>
          </w:tcPr>
          <w:p>
            <w:pPr>
              <w:jc w:val="center"/>
              <w:ind w:right="240"/>
              <w:spacing w:after="0"/>
              <w:rPr>
                <w:sz w:val="20"/>
                <w:szCs w:val="20"/>
                <w:color w:val="auto"/>
              </w:rPr>
            </w:pPr>
            <w:r>
              <w:rPr>
                <w:rFonts w:ascii="Calibri" w:cs="Calibri" w:eastAsia="Calibri" w:hAnsi="Calibri"/>
                <w:sz w:val="15"/>
                <w:szCs w:val="15"/>
                <w:b w:val="1"/>
                <w:bCs w:val="1"/>
                <w:color w:val="1C4787"/>
              </w:rPr>
              <w:t>Stock</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Calibri" w:cs="Calibri" w:eastAsia="Calibri" w:hAnsi="Calibri"/>
                <w:sz w:val="15"/>
                <w:szCs w:val="15"/>
                <w:b w:val="1"/>
                <w:bCs w:val="1"/>
                <w:color w:val="1C4787"/>
              </w:rPr>
              <w:t>Stock</w:t>
            </w: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Calibri" w:cs="Calibri" w:eastAsia="Calibri" w:hAnsi="Calibri"/>
                <w:sz w:val="15"/>
                <w:szCs w:val="15"/>
                <w:b w:val="1"/>
                <w:bCs w:val="1"/>
                <w:color w:val="1C4787"/>
              </w:rPr>
              <w:t>Capital</w:t>
            </w:r>
          </w:p>
        </w:tc>
        <w:tc>
          <w:tcPr>
            <w:tcW w:w="10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Calibri" w:cs="Calibri" w:eastAsia="Calibri" w:hAnsi="Calibri"/>
                <w:sz w:val="15"/>
                <w:szCs w:val="15"/>
                <w:b w:val="1"/>
                <w:bCs w:val="1"/>
                <w:color w:val="1C4787"/>
              </w:rPr>
              <w:t>Stockholders</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Calibri" w:cs="Calibri" w:eastAsia="Calibri" w:hAnsi="Calibri"/>
                <w:sz w:val="15"/>
                <w:szCs w:val="15"/>
                <w:b w:val="1"/>
                <w:bCs w:val="1"/>
                <w:color w:val="1C4787"/>
              </w:rPr>
              <w:t>Net Loss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Calibri" w:cs="Calibri" w:eastAsia="Calibri" w:hAnsi="Calibri"/>
                <w:sz w:val="15"/>
                <w:szCs w:val="15"/>
                <w:b w:val="1"/>
                <w:bCs w:val="1"/>
                <w:color w:val="1C4787"/>
              </w:rPr>
              <w:t>Income (Loss)</w:t>
            </w:r>
          </w:p>
        </w:tc>
        <w:tc>
          <w:tcPr>
            <w:tcW w:w="2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Calibri" w:cs="Calibri" w:eastAsia="Calibri" w:hAnsi="Calibri"/>
                <w:sz w:val="15"/>
                <w:szCs w:val="15"/>
                <w:b w:val="1"/>
                <w:bCs w:val="1"/>
                <w:color w:val="1C4787"/>
              </w:rPr>
              <w:t>Equity</w:t>
            </w:r>
          </w:p>
        </w:tc>
      </w:tr>
      <w:tr>
        <w:trPr>
          <w:trHeight w:val="26"/>
        </w:trPr>
        <w:tc>
          <w:tcPr>
            <w:tcW w:w="2380" w:type="dxa"/>
            <w:vAlign w:val="bottom"/>
            <w:tcBorders>
              <w:bottom w:val="single" w:sz="8" w:color="E6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E6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6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E6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6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E6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E6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E6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6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9"/>
        </w:trPr>
        <w:tc>
          <w:tcPr>
            <w:tcW w:w="2380" w:type="dxa"/>
            <w:vAlign w:val="bottom"/>
            <w:tcBorders>
              <w:bottom w:val="single" w:sz="8" w:color="E6EEFF"/>
            </w:tcBorders>
            <w:shd w:val="clear" w:color="auto" w:fill="E6EEFF"/>
          </w:tcPr>
          <w:p>
            <w:pPr>
              <w:ind w:left="20"/>
              <w:spacing w:after="0" w:line="173" w:lineRule="exact"/>
              <w:rPr>
                <w:sz w:val="20"/>
                <w:szCs w:val="20"/>
                <w:color w:val="auto"/>
              </w:rPr>
            </w:pPr>
            <w:r>
              <w:rPr>
                <w:rFonts w:ascii="Calibri" w:cs="Calibri" w:eastAsia="Calibri" w:hAnsi="Calibri"/>
                <w:sz w:val="15"/>
                <w:szCs w:val="15"/>
                <w:b w:val="1"/>
                <w:bCs w:val="1"/>
                <w:color w:val="1C4787"/>
              </w:rPr>
              <w:t>Balance January 1, 2021</w:t>
            </w:r>
          </w:p>
        </w:tc>
        <w:tc>
          <w:tcPr>
            <w:tcW w:w="720" w:type="dxa"/>
            <w:vAlign w:val="bottom"/>
            <w:tcBorders>
              <w:bottom w:val="single" w:sz="8" w:color="E6EEFF"/>
            </w:tcBorders>
            <w:shd w:val="clear" w:color="auto" w:fill="E6EEFF"/>
          </w:tcPr>
          <w:p>
            <w:pPr>
              <w:jc w:val="right"/>
              <w:ind w:right="3"/>
              <w:spacing w:after="0" w:line="177" w:lineRule="exact"/>
              <w:rPr>
                <w:sz w:val="20"/>
                <w:szCs w:val="20"/>
                <w:color w:val="auto"/>
              </w:rPr>
            </w:pPr>
            <w:r>
              <w:rPr>
                <w:rFonts w:ascii="Calibri" w:cs="Calibri" w:eastAsia="Calibri" w:hAnsi="Calibri"/>
                <w:sz w:val="15"/>
                <w:szCs w:val="15"/>
                <w:color w:val="auto"/>
              </w:rPr>
              <w:t>5,347</w:t>
            </w:r>
          </w:p>
        </w:tc>
        <w:tc>
          <w:tcPr>
            <w:tcW w:w="100" w:type="dxa"/>
            <w:vAlign w:val="bottom"/>
            <w:tcBorders>
              <w:bottom w:val="single" w:sz="8" w:color="E6EEFF"/>
            </w:tcBorders>
            <w:shd w:val="clear" w:color="auto" w:fill="E6EEFF"/>
          </w:tcPr>
          <w:p>
            <w:pPr>
              <w:spacing w:after="0"/>
              <w:rPr>
                <w:sz w:val="15"/>
                <w:szCs w:val="15"/>
                <w:color w:val="auto"/>
              </w:rPr>
            </w:pPr>
          </w:p>
        </w:tc>
        <w:tc>
          <w:tcPr>
            <w:tcW w:w="68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13,058</w:t>
            </w:r>
          </w:p>
        </w:tc>
        <w:tc>
          <w:tcPr>
            <w:tcW w:w="100" w:type="dxa"/>
            <w:vAlign w:val="bottom"/>
            <w:tcBorders>
              <w:bottom w:val="single" w:sz="8" w:color="E6EEFF"/>
            </w:tcBorders>
            <w:shd w:val="clear" w:color="auto" w:fill="E6EEFF"/>
          </w:tcPr>
          <w:p>
            <w:pPr>
              <w:spacing w:after="0"/>
              <w:rPr>
                <w:sz w:val="15"/>
                <w:szCs w:val="15"/>
                <w:color w:val="auto"/>
              </w:rPr>
            </w:pPr>
          </w:p>
        </w:tc>
        <w:tc>
          <w:tcPr>
            <w:tcW w:w="1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w:t>
            </w:r>
          </w:p>
        </w:tc>
        <w:tc>
          <w:tcPr>
            <w:tcW w:w="56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5</w:t>
            </w:r>
          </w:p>
        </w:tc>
        <w:tc>
          <w:tcPr>
            <w:tcW w:w="100" w:type="dxa"/>
            <w:vAlign w:val="bottom"/>
            <w:tcBorders>
              <w:bottom w:val="single" w:sz="8" w:color="E6EEFF"/>
            </w:tcBorders>
            <w:shd w:val="clear" w:color="auto" w:fill="E6EEFF"/>
          </w:tcPr>
          <w:p>
            <w:pPr>
              <w:spacing w:after="0"/>
              <w:rPr>
                <w:sz w:val="15"/>
                <w:szCs w:val="15"/>
                <w:color w:val="auto"/>
              </w:rPr>
            </w:pPr>
          </w:p>
        </w:tc>
        <w:tc>
          <w:tcPr>
            <w:tcW w:w="1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w:t>
            </w:r>
          </w:p>
        </w:tc>
        <w:tc>
          <w:tcPr>
            <w:tcW w:w="5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13</w:t>
            </w:r>
          </w:p>
        </w:tc>
        <w:tc>
          <w:tcPr>
            <w:tcW w:w="100" w:type="dxa"/>
            <w:vAlign w:val="bottom"/>
            <w:tcBorders>
              <w:bottom w:val="single" w:sz="8" w:color="E6EEFF"/>
            </w:tcBorders>
            <w:shd w:val="clear" w:color="auto" w:fill="E6EEFF"/>
          </w:tcPr>
          <w:p>
            <w:pPr>
              <w:spacing w:after="0"/>
              <w:rPr>
                <w:sz w:val="15"/>
                <w:szCs w:val="15"/>
                <w:color w:val="auto"/>
              </w:rPr>
            </w:pPr>
          </w:p>
        </w:tc>
        <w:tc>
          <w:tcPr>
            <w:tcW w:w="12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w w:val="78"/>
              </w:rPr>
              <w:t>$</w:t>
            </w:r>
          </w:p>
        </w:tc>
        <w:tc>
          <w:tcPr>
            <w:tcW w:w="90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3,033,077</w:t>
            </w:r>
          </w:p>
        </w:tc>
        <w:tc>
          <w:tcPr>
            <w:tcW w:w="80" w:type="dxa"/>
            <w:vAlign w:val="bottom"/>
            <w:tcBorders>
              <w:bottom w:val="single" w:sz="8" w:color="E6EEFF"/>
            </w:tcBorders>
            <w:shd w:val="clear" w:color="auto" w:fill="E6EEFF"/>
          </w:tcPr>
          <w:p>
            <w:pPr>
              <w:spacing w:after="0"/>
              <w:rPr>
                <w:sz w:val="15"/>
                <w:szCs w:val="15"/>
                <w:color w:val="auto"/>
              </w:rPr>
            </w:pPr>
          </w:p>
        </w:tc>
        <w:tc>
          <w:tcPr>
            <w:tcW w:w="100" w:type="dxa"/>
            <w:vAlign w:val="bottom"/>
            <w:tcBorders>
              <w:bottom w:val="single" w:sz="8" w:color="E6EEFF"/>
            </w:tcBorders>
            <w:shd w:val="clear" w:color="auto" w:fill="E6EEFF"/>
          </w:tcPr>
          <w:p>
            <w:pPr>
              <w:ind w:left="20"/>
              <w:spacing w:after="0" w:line="177" w:lineRule="exact"/>
              <w:rPr>
                <w:sz w:val="20"/>
                <w:szCs w:val="20"/>
                <w:color w:val="auto"/>
              </w:rPr>
            </w:pPr>
            <w:r>
              <w:rPr>
                <w:rFonts w:ascii="Calibri" w:cs="Calibri" w:eastAsia="Calibri" w:hAnsi="Calibri"/>
                <w:sz w:val="15"/>
                <w:szCs w:val="15"/>
                <w:color w:val="auto"/>
                <w:w w:val="78"/>
              </w:rPr>
              <w:t>$</w:t>
            </w:r>
          </w:p>
        </w:tc>
        <w:tc>
          <w:tcPr>
            <w:tcW w:w="9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(1,729,852)</w:t>
            </w:r>
          </w:p>
        </w:tc>
        <w:tc>
          <w:tcPr>
            <w:tcW w:w="80" w:type="dxa"/>
            <w:vAlign w:val="bottom"/>
            <w:tcBorders>
              <w:bottom w:val="single" w:sz="8" w:color="E6EEFF"/>
            </w:tcBorders>
            <w:shd w:val="clear" w:color="auto" w:fill="E6EEFF"/>
          </w:tcPr>
          <w:p>
            <w:pPr>
              <w:spacing w:after="0"/>
              <w:rPr>
                <w:sz w:val="15"/>
                <w:szCs w:val="15"/>
                <w:color w:val="auto"/>
              </w:rPr>
            </w:pPr>
          </w:p>
        </w:tc>
        <w:tc>
          <w:tcPr>
            <w:tcW w:w="10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w:t>
            </w:r>
          </w:p>
        </w:tc>
        <w:tc>
          <w:tcPr>
            <w:tcW w:w="9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(543,970)</w:t>
            </w:r>
          </w:p>
        </w:tc>
        <w:tc>
          <w:tcPr>
            <w:tcW w:w="80" w:type="dxa"/>
            <w:vAlign w:val="bottom"/>
            <w:tcBorders>
              <w:bottom w:val="single" w:sz="8" w:color="E6EEFF"/>
            </w:tcBorders>
            <w:shd w:val="clear" w:color="auto" w:fill="E6EEFF"/>
          </w:tcPr>
          <w:p>
            <w:pPr>
              <w:spacing w:after="0"/>
              <w:rPr>
                <w:sz w:val="15"/>
                <w:szCs w:val="15"/>
                <w:color w:val="auto"/>
              </w:rPr>
            </w:pPr>
          </w:p>
        </w:tc>
        <w:tc>
          <w:tcPr>
            <w:tcW w:w="12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w:t>
            </w:r>
          </w:p>
        </w:tc>
        <w:tc>
          <w:tcPr>
            <w:tcW w:w="10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179,031</w:t>
            </w:r>
          </w:p>
        </w:tc>
        <w:tc>
          <w:tcPr>
            <w:tcW w:w="100" w:type="dxa"/>
            <w:vAlign w:val="bottom"/>
            <w:tcBorders>
              <w:bottom w:val="single" w:sz="8" w:color="E6EEFF"/>
            </w:tcBorders>
            <w:shd w:val="clear" w:color="auto" w:fill="E6EEFF"/>
          </w:tcPr>
          <w:p>
            <w:pPr>
              <w:spacing w:after="0"/>
              <w:rPr>
                <w:sz w:val="15"/>
                <w:szCs w:val="15"/>
                <w:color w:val="auto"/>
              </w:rPr>
            </w:pPr>
          </w:p>
        </w:tc>
        <w:tc>
          <w:tcPr>
            <w:tcW w:w="200" w:type="dxa"/>
            <w:vAlign w:val="bottom"/>
            <w:tcBorders>
              <w:bottom w:val="single" w:sz="8" w:color="E6EEFF"/>
            </w:tcBorders>
            <w:shd w:val="clear" w:color="auto" w:fill="E6EEFF"/>
          </w:tcPr>
          <w:p>
            <w:pPr>
              <w:jc w:val="right"/>
              <w:ind w:right="2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938,304</w:t>
            </w:r>
          </w:p>
        </w:tc>
        <w:tc>
          <w:tcPr>
            <w:tcW w:w="20" w:type="dxa"/>
            <w:vAlign w:val="bottom"/>
          </w:tcPr>
          <w:p>
            <w:pPr>
              <w:spacing w:after="0"/>
              <w:rPr>
                <w:sz w:val="15"/>
                <w:szCs w:val="15"/>
                <w:color w:val="auto"/>
              </w:rPr>
            </w:pPr>
          </w:p>
        </w:tc>
      </w:tr>
      <w:tr>
        <w:trPr>
          <w:trHeight w:val="184"/>
        </w:trPr>
        <w:tc>
          <w:tcPr>
            <w:tcW w:w="2380" w:type="dxa"/>
            <w:vAlign w:val="bottom"/>
          </w:tcPr>
          <w:p>
            <w:pPr>
              <w:ind w:left="120"/>
              <w:spacing w:after="0"/>
              <w:rPr>
                <w:sz w:val="20"/>
                <w:szCs w:val="20"/>
                <w:color w:val="auto"/>
              </w:rPr>
            </w:pPr>
            <w:r>
              <w:rPr>
                <w:rFonts w:ascii="Calibri" w:cs="Calibri" w:eastAsia="Calibri" w:hAnsi="Calibri"/>
                <w:sz w:val="15"/>
                <w:szCs w:val="15"/>
                <w:color w:val="auto"/>
              </w:rPr>
              <w:t>Other comprehensive income (loss)</w:t>
            </w:r>
          </w:p>
        </w:tc>
        <w:tc>
          <w:tcPr>
            <w:tcW w:w="82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w:t>
            </w:r>
          </w:p>
        </w:tc>
        <w:tc>
          <w:tcPr>
            <w:tcW w:w="78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15,363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(72,058)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(56,695)</w:t>
            </w:r>
          </w:p>
        </w:tc>
        <w:tc>
          <w:tcPr>
            <w:tcW w:w="20" w:type="dxa"/>
            <w:vAlign w:val="bottom"/>
          </w:tcPr>
          <w:p>
            <w:pPr>
              <w:spacing w:after="0"/>
              <w:rPr>
                <w:sz w:val="16"/>
                <w:szCs w:val="16"/>
                <w:color w:val="auto"/>
              </w:rPr>
            </w:pPr>
          </w:p>
        </w:tc>
      </w:tr>
      <w:tr>
        <w:trPr>
          <w:trHeight w:val="22"/>
        </w:trPr>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380" w:type="dxa"/>
            <w:vAlign w:val="bottom"/>
            <w:shd w:val="clear" w:color="auto" w:fill="E6EEFF"/>
          </w:tcPr>
          <w:p>
            <w:pPr>
              <w:ind w:left="120"/>
              <w:spacing w:after="0" w:line="151" w:lineRule="exact"/>
              <w:rPr>
                <w:sz w:val="20"/>
                <w:szCs w:val="20"/>
                <w:color w:val="auto"/>
              </w:rPr>
            </w:pPr>
            <w:r>
              <w:rPr>
                <w:rFonts w:ascii="Calibri" w:cs="Calibri" w:eastAsia="Calibri" w:hAnsi="Calibri"/>
                <w:sz w:val="15"/>
                <w:szCs w:val="15"/>
                <w:color w:val="auto"/>
              </w:rPr>
              <w:t>Issuance of Series C Preferred</w:t>
            </w:r>
          </w:p>
        </w:tc>
        <w:tc>
          <w:tcPr>
            <w:tcW w:w="72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68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140" w:type="dxa"/>
            <w:vAlign w:val="bottom"/>
            <w:shd w:val="clear" w:color="auto" w:fill="E6EEFF"/>
          </w:tcPr>
          <w:p>
            <w:pPr>
              <w:spacing w:after="0"/>
              <w:rPr>
                <w:sz w:val="13"/>
                <w:szCs w:val="13"/>
                <w:color w:val="auto"/>
              </w:rPr>
            </w:pPr>
          </w:p>
        </w:tc>
        <w:tc>
          <w:tcPr>
            <w:tcW w:w="56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140" w:type="dxa"/>
            <w:vAlign w:val="bottom"/>
            <w:shd w:val="clear" w:color="auto" w:fill="E6EEFF"/>
          </w:tcPr>
          <w:p>
            <w:pPr>
              <w:spacing w:after="0"/>
              <w:rPr>
                <w:sz w:val="13"/>
                <w:szCs w:val="13"/>
                <w:color w:val="auto"/>
              </w:rPr>
            </w:pPr>
          </w:p>
        </w:tc>
        <w:tc>
          <w:tcPr>
            <w:tcW w:w="54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120" w:type="dxa"/>
            <w:vAlign w:val="bottom"/>
            <w:shd w:val="clear" w:color="auto" w:fill="E6EEFF"/>
          </w:tcPr>
          <w:p>
            <w:pPr>
              <w:spacing w:after="0"/>
              <w:rPr>
                <w:sz w:val="13"/>
                <w:szCs w:val="13"/>
                <w:color w:val="auto"/>
              </w:rPr>
            </w:pPr>
          </w:p>
        </w:tc>
        <w:tc>
          <w:tcPr>
            <w:tcW w:w="900" w:type="dxa"/>
            <w:vAlign w:val="bottom"/>
            <w:shd w:val="clear" w:color="auto" w:fill="E6EEFF"/>
          </w:tcPr>
          <w:p>
            <w:pPr>
              <w:spacing w:after="0"/>
              <w:rPr>
                <w:sz w:val="13"/>
                <w:szCs w:val="13"/>
                <w:color w:val="auto"/>
              </w:rPr>
            </w:pPr>
          </w:p>
        </w:tc>
        <w:tc>
          <w:tcPr>
            <w:tcW w:w="8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940" w:type="dxa"/>
            <w:vAlign w:val="bottom"/>
            <w:shd w:val="clear" w:color="auto" w:fill="E6EEFF"/>
          </w:tcPr>
          <w:p>
            <w:pPr>
              <w:spacing w:after="0"/>
              <w:rPr>
                <w:sz w:val="13"/>
                <w:szCs w:val="13"/>
                <w:color w:val="auto"/>
              </w:rPr>
            </w:pPr>
          </w:p>
        </w:tc>
        <w:tc>
          <w:tcPr>
            <w:tcW w:w="8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940" w:type="dxa"/>
            <w:vAlign w:val="bottom"/>
            <w:shd w:val="clear" w:color="auto" w:fill="E6EEFF"/>
          </w:tcPr>
          <w:p>
            <w:pPr>
              <w:spacing w:after="0"/>
              <w:rPr>
                <w:sz w:val="13"/>
                <w:szCs w:val="13"/>
                <w:color w:val="auto"/>
              </w:rPr>
            </w:pPr>
          </w:p>
        </w:tc>
        <w:tc>
          <w:tcPr>
            <w:tcW w:w="80" w:type="dxa"/>
            <w:vAlign w:val="bottom"/>
            <w:shd w:val="clear" w:color="auto" w:fill="E6EEFF"/>
          </w:tcPr>
          <w:p>
            <w:pPr>
              <w:spacing w:after="0"/>
              <w:rPr>
                <w:sz w:val="13"/>
                <w:szCs w:val="13"/>
                <w:color w:val="auto"/>
              </w:rPr>
            </w:pPr>
          </w:p>
        </w:tc>
        <w:tc>
          <w:tcPr>
            <w:tcW w:w="120" w:type="dxa"/>
            <w:vAlign w:val="bottom"/>
            <w:shd w:val="clear" w:color="auto" w:fill="E6EEFF"/>
          </w:tcPr>
          <w:p>
            <w:pPr>
              <w:spacing w:after="0"/>
              <w:rPr>
                <w:sz w:val="13"/>
                <w:szCs w:val="13"/>
                <w:color w:val="auto"/>
              </w:rPr>
            </w:pPr>
          </w:p>
        </w:tc>
        <w:tc>
          <w:tcPr>
            <w:tcW w:w="104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200" w:type="dxa"/>
            <w:vAlign w:val="bottom"/>
            <w:shd w:val="clear" w:color="auto" w:fill="E6EEFF"/>
          </w:tcPr>
          <w:p>
            <w:pPr>
              <w:spacing w:after="0"/>
              <w:rPr>
                <w:sz w:val="13"/>
                <w:szCs w:val="13"/>
                <w:color w:val="auto"/>
              </w:rPr>
            </w:pPr>
          </w:p>
        </w:tc>
        <w:tc>
          <w:tcPr>
            <w:tcW w:w="840" w:type="dxa"/>
            <w:vAlign w:val="bottom"/>
            <w:shd w:val="clear" w:color="auto" w:fill="E6EEFF"/>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2380" w:type="dxa"/>
            <w:vAlign w:val="bottom"/>
            <w:tcBorders>
              <w:bottom w:val="single" w:sz="8" w:color="E6EEFF"/>
            </w:tcBorders>
            <w:shd w:val="clear" w:color="auto" w:fill="E6EEFF"/>
          </w:tcPr>
          <w:p>
            <w:pPr>
              <w:ind w:left="120"/>
              <w:spacing w:after="0"/>
              <w:rPr>
                <w:sz w:val="20"/>
                <w:szCs w:val="20"/>
                <w:color w:val="auto"/>
              </w:rPr>
            </w:pPr>
            <w:r>
              <w:rPr>
                <w:rFonts w:ascii="Calibri" w:cs="Calibri" w:eastAsia="Calibri" w:hAnsi="Calibri"/>
                <w:sz w:val="15"/>
                <w:szCs w:val="15"/>
                <w:color w:val="auto"/>
              </w:rPr>
              <w:t>stock, net of expenses</w:t>
            </w:r>
          </w:p>
        </w:tc>
        <w:tc>
          <w:tcPr>
            <w:tcW w:w="720" w:type="dxa"/>
            <w:vAlign w:val="bottom"/>
            <w:tcBorders>
              <w:bottom w:val="single" w:sz="8" w:color="E6EEFF"/>
            </w:tcBorders>
            <w:shd w:val="clear" w:color="auto" w:fill="E6EEFF"/>
          </w:tcPr>
          <w:p>
            <w:pPr>
              <w:jc w:val="right"/>
              <w:ind w:right="3"/>
              <w:spacing w:after="0"/>
              <w:rPr>
                <w:sz w:val="20"/>
                <w:szCs w:val="20"/>
                <w:color w:val="auto"/>
              </w:rPr>
            </w:pPr>
            <w:r>
              <w:rPr>
                <w:rFonts w:ascii="Calibri" w:cs="Calibri" w:eastAsia="Calibri" w:hAnsi="Calibri"/>
                <w:sz w:val="15"/>
                <w:szCs w:val="15"/>
                <w:color w:val="auto"/>
              </w:rPr>
              <w:t>1,500</w:t>
            </w:r>
          </w:p>
        </w:tc>
        <w:tc>
          <w:tcPr>
            <w:tcW w:w="100" w:type="dxa"/>
            <w:vAlign w:val="bottom"/>
            <w:tcBorders>
              <w:bottom w:val="single" w:sz="8" w:color="E6EEFF"/>
            </w:tcBorders>
            <w:shd w:val="clear" w:color="auto" w:fill="E6EEFF"/>
          </w:tcPr>
          <w:p>
            <w:pPr>
              <w:spacing w:after="0"/>
              <w:rPr>
                <w:sz w:val="16"/>
                <w:szCs w:val="16"/>
                <w:color w:val="auto"/>
              </w:rPr>
            </w:pPr>
          </w:p>
        </w:tc>
        <w:tc>
          <w:tcPr>
            <w:tcW w:w="78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Borders>
              <w:bottom w:val="single" w:sz="8" w:color="E6EEFF"/>
            </w:tcBorders>
            <w:shd w:val="clear" w:color="auto" w:fill="E6EEFF"/>
          </w:tcPr>
          <w:p>
            <w:pPr>
              <w:spacing w:after="0"/>
              <w:rPr>
                <w:sz w:val="16"/>
                <w:szCs w:val="16"/>
                <w:color w:val="auto"/>
              </w:rPr>
            </w:pPr>
          </w:p>
        </w:tc>
        <w:tc>
          <w:tcPr>
            <w:tcW w:w="56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2</w:t>
            </w:r>
          </w:p>
        </w:tc>
        <w:tc>
          <w:tcPr>
            <w:tcW w:w="100" w:type="dxa"/>
            <w:vAlign w:val="bottom"/>
            <w:tcBorders>
              <w:bottom w:val="single" w:sz="8" w:color="E6EEFF"/>
            </w:tcBorders>
            <w:shd w:val="clear" w:color="auto" w:fill="E6EEFF"/>
          </w:tcPr>
          <w:p>
            <w:pPr>
              <w:spacing w:after="0"/>
              <w:rPr>
                <w:sz w:val="16"/>
                <w:szCs w:val="16"/>
                <w:color w:val="auto"/>
              </w:rPr>
            </w:pPr>
          </w:p>
        </w:tc>
        <w:tc>
          <w:tcPr>
            <w:tcW w:w="140" w:type="dxa"/>
            <w:vAlign w:val="bottom"/>
            <w:tcBorders>
              <w:bottom w:val="single" w:sz="8" w:color="E6EEFF"/>
            </w:tcBorders>
            <w:shd w:val="clear" w:color="auto" w:fill="E6EEFF"/>
          </w:tcPr>
          <w:p>
            <w:pPr>
              <w:spacing w:after="0"/>
              <w:rPr>
                <w:sz w:val="16"/>
                <w:szCs w:val="16"/>
                <w:color w:val="auto"/>
              </w:rPr>
            </w:pPr>
          </w:p>
        </w:tc>
        <w:tc>
          <w:tcPr>
            <w:tcW w:w="64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E6EEFF"/>
            </w:tcBorders>
            <w:shd w:val="clear" w:color="auto" w:fill="E6EEFF"/>
          </w:tcPr>
          <w:p>
            <w:pPr>
              <w:spacing w:after="0"/>
              <w:rPr>
                <w:sz w:val="16"/>
                <w:szCs w:val="16"/>
                <w:color w:val="auto"/>
              </w:rPr>
            </w:pPr>
          </w:p>
        </w:tc>
        <w:tc>
          <w:tcPr>
            <w:tcW w:w="90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36,583</w:t>
            </w:r>
          </w:p>
        </w:tc>
        <w:tc>
          <w:tcPr>
            <w:tcW w:w="80" w:type="dxa"/>
            <w:vAlign w:val="bottom"/>
            <w:tcBorders>
              <w:bottom w:val="single" w:sz="8" w:color="E6EEFF"/>
            </w:tcBorders>
            <w:shd w:val="clear" w:color="auto" w:fill="E6EEFF"/>
          </w:tcPr>
          <w:p>
            <w:pPr>
              <w:spacing w:after="0"/>
              <w:rPr>
                <w:sz w:val="16"/>
                <w:szCs w:val="16"/>
                <w:color w:val="auto"/>
              </w:rPr>
            </w:pPr>
          </w:p>
        </w:tc>
        <w:tc>
          <w:tcPr>
            <w:tcW w:w="100" w:type="dxa"/>
            <w:vAlign w:val="bottom"/>
            <w:tcBorders>
              <w:bottom w:val="single" w:sz="8" w:color="E6EEFF"/>
            </w:tcBorders>
            <w:shd w:val="clear" w:color="auto" w:fill="E6EEFF"/>
          </w:tcPr>
          <w:p>
            <w:pPr>
              <w:spacing w:after="0"/>
              <w:rPr>
                <w:sz w:val="16"/>
                <w:szCs w:val="16"/>
                <w:color w:val="auto"/>
              </w:rPr>
            </w:pPr>
          </w:p>
        </w:tc>
        <w:tc>
          <w:tcPr>
            <w:tcW w:w="1020" w:type="dxa"/>
            <w:vAlign w:val="bottom"/>
            <w:tcBorders>
              <w:bottom w:val="single" w:sz="8" w:color="E6EEFF"/>
            </w:tcBorders>
            <w:gridSpan w:val="2"/>
            <w:shd w:val="clear" w:color="auto" w:fill="E6EEFF"/>
          </w:tcPr>
          <w:p>
            <w:pPr>
              <w:ind w:left="7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E6EEFF"/>
            </w:tcBorders>
            <w:shd w:val="clear" w:color="auto" w:fill="E6EEFF"/>
          </w:tcPr>
          <w:p>
            <w:pPr>
              <w:spacing w:after="0"/>
              <w:rPr>
                <w:sz w:val="16"/>
                <w:szCs w:val="16"/>
                <w:color w:val="auto"/>
              </w:rPr>
            </w:pPr>
          </w:p>
        </w:tc>
        <w:tc>
          <w:tcPr>
            <w:tcW w:w="1020" w:type="dxa"/>
            <w:vAlign w:val="bottom"/>
            <w:tcBorders>
              <w:bottom w:val="single" w:sz="8" w:color="E6EEFF"/>
            </w:tcBorders>
            <w:gridSpan w:val="2"/>
            <w:shd w:val="clear" w:color="auto" w:fill="E6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E6EEFF"/>
            </w:tcBorders>
            <w:shd w:val="clear" w:color="auto" w:fill="E6EEFF"/>
          </w:tcPr>
          <w:p>
            <w:pPr>
              <w:spacing w:after="0"/>
              <w:rPr>
                <w:sz w:val="16"/>
                <w:szCs w:val="16"/>
                <w:color w:val="auto"/>
              </w:rPr>
            </w:pPr>
          </w:p>
        </w:tc>
        <w:tc>
          <w:tcPr>
            <w:tcW w:w="114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E6EEFF"/>
            </w:tcBorders>
            <w:shd w:val="clear" w:color="auto" w:fill="E6EEFF"/>
          </w:tcPr>
          <w:p>
            <w:pPr>
              <w:spacing w:after="0"/>
              <w:rPr>
                <w:sz w:val="16"/>
                <w:szCs w:val="16"/>
                <w:color w:val="auto"/>
              </w:rPr>
            </w:pPr>
          </w:p>
        </w:tc>
        <w:tc>
          <w:tcPr>
            <w:tcW w:w="8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36,585</w:t>
            </w:r>
          </w:p>
        </w:tc>
        <w:tc>
          <w:tcPr>
            <w:tcW w:w="20" w:type="dxa"/>
            <w:vAlign w:val="bottom"/>
          </w:tcPr>
          <w:p>
            <w:pPr>
              <w:spacing w:after="0"/>
              <w:rPr>
                <w:sz w:val="16"/>
                <w:szCs w:val="16"/>
                <w:color w:val="auto"/>
              </w:rPr>
            </w:pPr>
          </w:p>
        </w:tc>
      </w:tr>
      <w:tr>
        <w:trPr>
          <w:trHeight w:val="184"/>
        </w:trPr>
        <w:tc>
          <w:tcPr>
            <w:tcW w:w="2380" w:type="dxa"/>
            <w:vAlign w:val="bottom"/>
          </w:tcPr>
          <w:p>
            <w:pPr>
              <w:ind w:left="120"/>
              <w:spacing w:after="0"/>
              <w:rPr>
                <w:sz w:val="20"/>
                <w:szCs w:val="20"/>
                <w:color w:val="auto"/>
              </w:rPr>
            </w:pPr>
            <w:r>
              <w:rPr>
                <w:rFonts w:ascii="Calibri" w:cs="Calibri" w:eastAsia="Calibri" w:hAnsi="Calibri"/>
                <w:sz w:val="15"/>
                <w:szCs w:val="15"/>
                <w:color w:val="auto"/>
              </w:rPr>
              <w:t>Issuance of common stock, net</w:t>
            </w:r>
          </w:p>
        </w:tc>
        <w:tc>
          <w:tcPr>
            <w:tcW w:w="82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5,726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alibri" w:cs="Calibri" w:eastAsia="Calibri" w:hAnsi="Calibri"/>
                <w:sz w:val="15"/>
                <w:szCs w:val="15"/>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328,774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328,780</w:t>
            </w:r>
          </w:p>
        </w:tc>
        <w:tc>
          <w:tcPr>
            <w:tcW w:w="20" w:type="dxa"/>
            <w:vAlign w:val="bottom"/>
          </w:tcPr>
          <w:p>
            <w:pPr>
              <w:spacing w:after="0"/>
              <w:rPr>
                <w:sz w:val="16"/>
                <w:szCs w:val="16"/>
                <w:color w:val="auto"/>
              </w:rPr>
            </w:pPr>
          </w:p>
        </w:tc>
      </w:tr>
      <w:tr>
        <w:trPr>
          <w:trHeight w:val="22"/>
        </w:trPr>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380" w:type="dxa"/>
            <w:vAlign w:val="bottom"/>
            <w:shd w:val="clear" w:color="auto" w:fill="E6EEFF"/>
          </w:tcPr>
          <w:p>
            <w:pPr>
              <w:ind w:left="120"/>
              <w:spacing w:after="0" w:line="151" w:lineRule="exact"/>
              <w:rPr>
                <w:sz w:val="20"/>
                <w:szCs w:val="20"/>
                <w:color w:val="auto"/>
              </w:rPr>
            </w:pPr>
            <w:r>
              <w:rPr>
                <w:rFonts w:ascii="Calibri" w:cs="Calibri" w:eastAsia="Calibri" w:hAnsi="Calibri"/>
                <w:sz w:val="15"/>
                <w:szCs w:val="15"/>
                <w:color w:val="auto"/>
              </w:rPr>
              <w:t>Stock based compensaton, net of</w:t>
            </w:r>
          </w:p>
        </w:tc>
        <w:tc>
          <w:tcPr>
            <w:tcW w:w="72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68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140" w:type="dxa"/>
            <w:vAlign w:val="bottom"/>
            <w:shd w:val="clear" w:color="auto" w:fill="E6EEFF"/>
          </w:tcPr>
          <w:p>
            <w:pPr>
              <w:spacing w:after="0"/>
              <w:rPr>
                <w:sz w:val="13"/>
                <w:szCs w:val="13"/>
                <w:color w:val="auto"/>
              </w:rPr>
            </w:pPr>
          </w:p>
        </w:tc>
        <w:tc>
          <w:tcPr>
            <w:tcW w:w="56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140" w:type="dxa"/>
            <w:vAlign w:val="bottom"/>
            <w:shd w:val="clear" w:color="auto" w:fill="E6EEFF"/>
          </w:tcPr>
          <w:p>
            <w:pPr>
              <w:spacing w:after="0"/>
              <w:rPr>
                <w:sz w:val="13"/>
                <w:szCs w:val="13"/>
                <w:color w:val="auto"/>
              </w:rPr>
            </w:pPr>
          </w:p>
        </w:tc>
        <w:tc>
          <w:tcPr>
            <w:tcW w:w="54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120" w:type="dxa"/>
            <w:vAlign w:val="bottom"/>
            <w:shd w:val="clear" w:color="auto" w:fill="E6EEFF"/>
          </w:tcPr>
          <w:p>
            <w:pPr>
              <w:spacing w:after="0"/>
              <w:rPr>
                <w:sz w:val="13"/>
                <w:szCs w:val="13"/>
                <w:color w:val="auto"/>
              </w:rPr>
            </w:pPr>
          </w:p>
        </w:tc>
        <w:tc>
          <w:tcPr>
            <w:tcW w:w="900" w:type="dxa"/>
            <w:vAlign w:val="bottom"/>
            <w:shd w:val="clear" w:color="auto" w:fill="E6EEFF"/>
          </w:tcPr>
          <w:p>
            <w:pPr>
              <w:spacing w:after="0"/>
              <w:rPr>
                <w:sz w:val="13"/>
                <w:szCs w:val="13"/>
                <w:color w:val="auto"/>
              </w:rPr>
            </w:pPr>
          </w:p>
        </w:tc>
        <w:tc>
          <w:tcPr>
            <w:tcW w:w="8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940" w:type="dxa"/>
            <w:vAlign w:val="bottom"/>
            <w:shd w:val="clear" w:color="auto" w:fill="E6EEFF"/>
          </w:tcPr>
          <w:p>
            <w:pPr>
              <w:spacing w:after="0"/>
              <w:rPr>
                <w:sz w:val="13"/>
                <w:szCs w:val="13"/>
                <w:color w:val="auto"/>
              </w:rPr>
            </w:pPr>
          </w:p>
        </w:tc>
        <w:tc>
          <w:tcPr>
            <w:tcW w:w="8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940" w:type="dxa"/>
            <w:vAlign w:val="bottom"/>
            <w:shd w:val="clear" w:color="auto" w:fill="E6EEFF"/>
          </w:tcPr>
          <w:p>
            <w:pPr>
              <w:spacing w:after="0"/>
              <w:rPr>
                <w:sz w:val="13"/>
                <w:szCs w:val="13"/>
                <w:color w:val="auto"/>
              </w:rPr>
            </w:pPr>
          </w:p>
        </w:tc>
        <w:tc>
          <w:tcPr>
            <w:tcW w:w="80" w:type="dxa"/>
            <w:vAlign w:val="bottom"/>
            <w:shd w:val="clear" w:color="auto" w:fill="E6EEFF"/>
          </w:tcPr>
          <w:p>
            <w:pPr>
              <w:spacing w:after="0"/>
              <w:rPr>
                <w:sz w:val="13"/>
                <w:szCs w:val="13"/>
                <w:color w:val="auto"/>
              </w:rPr>
            </w:pPr>
          </w:p>
        </w:tc>
        <w:tc>
          <w:tcPr>
            <w:tcW w:w="120" w:type="dxa"/>
            <w:vAlign w:val="bottom"/>
            <w:shd w:val="clear" w:color="auto" w:fill="E6EEFF"/>
          </w:tcPr>
          <w:p>
            <w:pPr>
              <w:spacing w:after="0"/>
              <w:rPr>
                <w:sz w:val="13"/>
                <w:szCs w:val="13"/>
                <w:color w:val="auto"/>
              </w:rPr>
            </w:pPr>
          </w:p>
        </w:tc>
        <w:tc>
          <w:tcPr>
            <w:tcW w:w="104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200" w:type="dxa"/>
            <w:vAlign w:val="bottom"/>
            <w:shd w:val="clear" w:color="auto" w:fill="E6EEFF"/>
          </w:tcPr>
          <w:p>
            <w:pPr>
              <w:spacing w:after="0"/>
              <w:rPr>
                <w:sz w:val="13"/>
                <w:szCs w:val="13"/>
                <w:color w:val="auto"/>
              </w:rPr>
            </w:pPr>
          </w:p>
        </w:tc>
        <w:tc>
          <w:tcPr>
            <w:tcW w:w="840" w:type="dxa"/>
            <w:vAlign w:val="bottom"/>
            <w:shd w:val="clear" w:color="auto" w:fill="E6EEFF"/>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2380" w:type="dxa"/>
            <w:vAlign w:val="bottom"/>
            <w:tcBorders>
              <w:bottom w:val="single" w:sz="8" w:color="E6EEFF"/>
            </w:tcBorders>
            <w:shd w:val="clear" w:color="auto" w:fill="E6EEFF"/>
          </w:tcPr>
          <w:p>
            <w:pPr>
              <w:ind w:left="120"/>
              <w:spacing w:after="0"/>
              <w:rPr>
                <w:sz w:val="20"/>
                <w:szCs w:val="20"/>
                <w:color w:val="auto"/>
              </w:rPr>
            </w:pPr>
            <w:r>
              <w:rPr>
                <w:rFonts w:ascii="Calibri" w:cs="Calibri" w:eastAsia="Calibri" w:hAnsi="Calibri"/>
                <w:sz w:val="15"/>
                <w:szCs w:val="15"/>
                <w:color w:val="auto"/>
              </w:rPr>
              <w:t>withholding requirements</w:t>
            </w:r>
          </w:p>
        </w:tc>
        <w:tc>
          <w:tcPr>
            <w:tcW w:w="820" w:type="dxa"/>
            <w:vAlign w:val="bottom"/>
            <w:tcBorders>
              <w:bottom w:val="single" w:sz="8" w:color="E6EEFF"/>
            </w:tcBorders>
            <w:gridSpan w:val="2"/>
            <w:shd w:val="clear" w:color="auto" w:fill="E6EEFF"/>
          </w:tcPr>
          <w:p>
            <w:pPr>
              <w:jc w:val="right"/>
              <w:ind w:right="180"/>
              <w:spacing w:after="0"/>
              <w:rPr>
                <w:sz w:val="20"/>
                <w:szCs w:val="20"/>
                <w:color w:val="auto"/>
              </w:rPr>
            </w:pPr>
            <w:r>
              <w:rPr>
                <w:rFonts w:ascii="Calibri" w:cs="Calibri" w:eastAsia="Calibri" w:hAnsi="Calibri"/>
                <w:sz w:val="15"/>
                <w:szCs w:val="15"/>
                <w:color w:val="auto"/>
              </w:rPr>
              <w:t>—</w:t>
            </w:r>
          </w:p>
        </w:tc>
        <w:tc>
          <w:tcPr>
            <w:tcW w:w="68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47</w:t>
            </w:r>
          </w:p>
        </w:tc>
        <w:tc>
          <w:tcPr>
            <w:tcW w:w="100" w:type="dxa"/>
            <w:vAlign w:val="bottom"/>
            <w:tcBorders>
              <w:bottom w:val="single" w:sz="8" w:color="E6EEFF"/>
            </w:tcBorders>
            <w:shd w:val="clear" w:color="auto" w:fill="E6EEFF"/>
          </w:tcPr>
          <w:p>
            <w:pPr>
              <w:spacing w:after="0"/>
              <w:rPr>
                <w:sz w:val="16"/>
                <w:szCs w:val="16"/>
                <w:color w:val="auto"/>
              </w:rPr>
            </w:pPr>
          </w:p>
        </w:tc>
        <w:tc>
          <w:tcPr>
            <w:tcW w:w="140" w:type="dxa"/>
            <w:vAlign w:val="bottom"/>
            <w:tcBorders>
              <w:bottom w:val="single" w:sz="8" w:color="E6EEFF"/>
            </w:tcBorders>
            <w:shd w:val="clear" w:color="auto" w:fill="E6EEFF"/>
          </w:tcPr>
          <w:p>
            <w:pPr>
              <w:spacing w:after="0"/>
              <w:rPr>
                <w:sz w:val="16"/>
                <w:szCs w:val="16"/>
                <w:color w:val="auto"/>
              </w:rPr>
            </w:pPr>
          </w:p>
        </w:tc>
        <w:tc>
          <w:tcPr>
            <w:tcW w:w="66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Borders>
              <w:bottom w:val="single" w:sz="8" w:color="E6EEFF"/>
            </w:tcBorders>
            <w:shd w:val="clear" w:color="auto" w:fill="E6EEFF"/>
          </w:tcPr>
          <w:p>
            <w:pPr>
              <w:spacing w:after="0"/>
              <w:rPr>
                <w:sz w:val="16"/>
                <w:szCs w:val="16"/>
                <w:color w:val="auto"/>
              </w:rPr>
            </w:pPr>
          </w:p>
        </w:tc>
        <w:tc>
          <w:tcPr>
            <w:tcW w:w="64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E6EEFF"/>
            </w:tcBorders>
            <w:shd w:val="clear" w:color="auto" w:fill="E6EEFF"/>
          </w:tcPr>
          <w:p>
            <w:pPr>
              <w:spacing w:after="0"/>
              <w:rPr>
                <w:sz w:val="16"/>
                <w:szCs w:val="16"/>
                <w:color w:val="auto"/>
              </w:rPr>
            </w:pPr>
          </w:p>
        </w:tc>
        <w:tc>
          <w:tcPr>
            <w:tcW w:w="90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4,768</w:t>
            </w:r>
          </w:p>
        </w:tc>
        <w:tc>
          <w:tcPr>
            <w:tcW w:w="80" w:type="dxa"/>
            <w:vAlign w:val="bottom"/>
            <w:tcBorders>
              <w:bottom w:val="single" w:sz="8" w:color="E6EEFF"/>
            </w:tcBorders>
            <w:shd w:val="clear" w:color="auto" w:fill="E6EEFF"/>
          </w:tcPr>
          <w:p>
            <w:pPr>
              <w:spacing w:after="0"/>
              <w:rPr>
                <w:sz w:val="16"/>
                <w:szCs w:val="16"/>
                <w:color w:val="auto"/>
              </w:rPr>
            </w:pPr>
          </w:p>
        </w:tc>
        <w:tc>
          <w:tcPr>
            <w:tcW w:w="100" w:type="dxa"/>
            <w:vAlign w:val="bottom"/>
            <w:tcBorders>
              <w:bottom w:val="single" w:sz="8" w:color="E6EEFF"/>
            </w:tcBorders>
            <w:shd w:val="clear" w:color="auto" w:fill="E6EEFF"/>
          </w:tcPr>
          <w:p>
            <w:pPr>
              <w:spacing w:after="0"/>
              <w:rPr>
                <w:sz w:val="16"/>
                <w:szCs w:val="16"/>
                <w:color w:val="auto"/>
              </w:rPr>
            </w:pPr>
          </w:p>
        </w:tc>
        <w:tc>
          <w:tcPr>
            <w:tcW w:w="1020" w:type="dxa"/>
            <w:vAlign w:val="bottom"/>
            <w:tcBorders>
              <w:bottom w:val="single" w:sz="8" w:color="E6EEFF"/>
            </w:tcBorders>
            <w:gridSpan w:val="2"/>
            <w:shd w:val="clear" w:color="auto" w:fill="E6EEFF"/>
          </w:tcPr>
          <w:p>
            <w:pPr>
              <w:ind w:left="7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E6EEFF"/>
            </w:tcBorders>
            <w:shd w:val="clear" w:color="auto" w:fill="E6EEFF"/>
          </w:tcPr>
          <w:p>
            <w:pPr>
              <w:spacing w:after="0"/>
              <w:rPr>
                <w:sz w:val="16"/>
                <w:szCs w:val="16"/>
                <w:color w:val="auto"/>
              </w:rPr>
            </w:pPr>
          </w:p>
        </w:tc>
        <w:tc>
          <w:tcPr>
            <w:tcW w:w="940" w:type="dxa"/>
            <w:vAlign w:val="bottom"/>
            <w:tcBorders>
              <w:bottom w:val="single" w:sz="8" w:color="E6EEFF"/>
            </w:tcBorders>
            <w:shd w:val="clear" w:color="auto" w:fill="E6EEFF"/>
          </w:tcPr>
          <w:p>
            <w:pPr>
              <w:spacing w:after="0"/>
              <w:rPr>
                <w:sz w:val="16"/>
                <w:szCs w:val="16"/>
                <w:color w:val="auto"/>
              </w:rPr>
            </w:pPr>
          </w:p>
        </w:tc>
        <w:tc>
          <w:tcPr>
            <w:tcW w:w="80" w:type="dxa"/>
            <w:vAlign w:val="bottom"/>
            <w:tcBorders>
              <w:bottom w:val="single" w:sz="8" w:color="E6EEFF"/>
            </w:tcBorders>
            <w:shd w:val="clear" w:color="auto" w:fill="E6EEFF"/>
          </w:tcPr>
          <w:p>
            <w:pPr>
              <w:spacing w:after="0"/>
              <w:rPr>
                <w:sz w:val="16"/>
                <w:szCs w:val="16"/>
                <w:color w:val="auto"/>
              </w:rPr>
            </w:pPr>
          </w:p>
        </w:tc>
        <w:tc>
          <w:tcPr>
            <w:tcW w:w="120" w:type="dxa"/>
            <w:vAlign w:val="bottom"/>
            <w:tcBorders>
              <w:bottom w:val="single" w:sz="8" w:color="E6EEFF"/>
            </w:tcBorders>
            <w:shd w:val="clear" w:color="auto" w:fill="E6EEFF"/>
          </w:tcPr>
          <w:p>
            <w:pPr>
              <w:spacing w:after="0"/>
              <w:rPr>
                <w:sz w:val="16"/>
                <w:szCs w:val="16"/>
                <w:color w:val="auto"/>
              </w:rPr>
            </w:pPr>
          </w:p>
        </w:tc>
        <w:tc>
          <w:tcPr>
            <w:tcW w:w="114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E6EEFF"/>
            </w:tcBorders>
            <w:shd w:val="clear" w:color="auto" w:fill="E6EEFF"/>
          </w:tcPr>
          <w:p>
            <w:pPr>
              <w:spacing w:after="0"/>
              <w:rPr>
                <w:sz w:val="16"/>
                <w:szCs w:val="16"/>
                <w:color w:val="auto"/>
              </w:rPr>
            </w:pPr>
          </w:p>
        </w:tc>
        <w:tc>
          <w:tcPr>
            <w:tcW w:w="8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4,768</w:t>
            </w:r>
          </w:p>
        </w:tc>
        <w:tc>
          <w:tcPr>
            <w:tcW w:w="20" w:type="dxa"/>
            <w:vAlign w:val="bottom"/>
          </w:tcPr>
          <w:p>
            <w:pPr>
              <w:spacing w:after="0"/>
              <w:rPr>
                <w:sz w:val="16"/>
                <w:szCs w:val="16"/>
                <w:color w:val="auto"/>
              </w:rPr>
            </w:pPr>
          </w:p>
        </w:tc>
      </w:tr>
      <w:tr>
        <w:trPr>
          <w:trHeight w:val="184"/>
        </w:trPr>
        <w:tc>
          <w:tcPr>
            <w:tcW w:w="2380" w:type="dxa"/>
            <w:vAlign w:val="bottom"/>
          </w:tcPr>
          <w:p>
            <w:pPr>
              <w:ind w:left="120"/>
              <w:spacing w:after="0"/>
              <w:rPr>
                <w:sz w:val="20"/>
                <w:szCs w:val="20"/>
                <w:color w:val="auto"/>
              </w:rPr>
            </w:pPr>
            <w:r>
              <w:rPr>
                <w:rFonts w:ascii="Calibri" w:cs="Calibri" w:eastAsia="Calibri" w:hAnsi="Calibri"/>
                <w:sz w:val="15"/>
                <w:szCs w:val="15"/>
                <w:color w:val="auto"/>
              </w:rPr>
              <w:t>Preferred stock dividends</w:t>
            </w:r>
          </w:p>
        </w:tc>
        <w:tc>
          <w:tcPr>
            <w:tcW w:w="82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w:t>
            </w:r>
          </w:p>
        </w:tc>
        <w:tc>
          <w:tcPr>
            <w:tcW w:w="78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(11,473)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(11,473)</w:t>
            </w:r>
          </w:p>
        </w:tc>
        <w:tc>
          <w:tcPr>
            <w:tcW w:w="20" w:type="dxa"/>
            <w:vAlign w:val="bottom"/>
          </w:tcPr>
          <w:p>
            <w:pPr>
              <w:spacing w:after="0"/>
              <w:rPr>
                <w:sz w:val="16"/>
                <w:szCs w:val="16"/>
                <w:color w:val="auto"/>
              </w:rPr>
            </w:pPr>
          </w:p>
        </w:tc>
      </w:tr>
      <w:tr>
        <w:trPr>
          <w:trHeight w:val="22"/>
        </w:trPr>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380" w:type="dxa"/>
            <w:vAlign w:val="bottom"/>
            <w:tcBorders>
              <w:bottom w:val="single" w:sz="8" w:color="E6EEFF"/>
            </w:tcBorders>
            <w:shd w:val="clear" w:color="auto" w:fill="E6EEFF"/>
          </w:tcPr>
          <w:p>
            <w:pPr>
              <w:ind w:left="120"/>
              <w:spacing w:after="0"/>
              <w:rPr>
                <w:sz w:val="20"/>
                <w:szCs w:val="20"/>
                <w:color w:val="auto"/>
              </w:rPr>
            </w:pPr>
            <w:r>
              <w:rPr>
                <w:rFonts w:ascii="Calibri" w:cs="Calibri" w:eastAsia="Calibri" w:hAnsi="Calibri"/>
                <w:sz w:val="15"/>
                <w:szCs w:val="15"/>
                <w:color w:val="auto"/>
              </w:rPr>
              <w:t>Common stock dividends</w:t>
            </w:r>
          </w:p>
        </w:tc>
        <w:tc>
          <w:tcPr>
            <w:tcW w:w="820" w:type="dxa"/>
            <w:vAlign w:val="bottom"/>
            <w:tcBorders>
              <w:bottom w:val="single" w:sz="8" w:color="E6EEFF"/>
            </w:tcBorders>
            <w:gridSpan w:val="2"/>
            <w:shd w:val="clear" w:color="auto" w:fill="E6EEFF"/>
          </w:tcPr>
          <w:p>
            <w:pPr>
              <w:jc w:val="right"/>
              <w:ind w:right="180"/>
              <w:spacing w:after="0"/>
              <w:rPr>
                <w:sz w:val="20"/>
                <w:szCs w:val="20"/>
                <w:color w:val="auto"/>
              </w:rPr>
            </w:pPr>
            <w:r>
              <w:rPr>
                <w:rFonts w:ascii="Calibri" w:cs="Calibri" w:eastAsia="Calibri" w:hAnsi="Calibri"/>
                <w:sz w:val="15"/>
                <w:szCs w:val="15"/>
                <w:color w:val="auto"/>
              </w:rPr>
              <w:t>—</w:t>
            </w:r>
          </w:p>
        </w:tc>
        <w:tc>
          <w:tcPr>
            <w:tcW w:w="78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Borders>
              <w:bottom w:val="single" w:sz="8" w:color="E6EEFF"/>
            </w:tcBorders>
            <w:shd w:val="clear" w:color="auto" w:fill="E6EEFF"/>
          </w:tcPr>
          <w:p>
            <w:pPr>
              <w:spacing w:after="0"/>
              <w:rPr>
                <w:sz w:val="17"/>
                <w:szCs w:val="17"/>
                <w:color w:val="auto"/>
              </w:rPr>
            </w:pPr>
          </w:p>
        </w:tc>
        <w:tc>
          <w:tcPr>
            <w:tcW w:w="66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Borders>
              <w:bottom w:val="single" w:sz="8" w:color="E6EEFF"/>
            </w:tcBorders>
            <w:shd w:val="clear" w:color="auto" w:fill="E6EEFF"/>
          </w:tcPr>
          <w:p>
            <w:pPr>
              <w:spacing w:after="0"/>
              <w:rPr>
                <w:sz w:val="17"/>
                <w:szCs w:val="17"/>
                <w:color w:val="auto"/>
              </w:rPr>
            </w:pPr>
          </w:p>
        </w:tc>
        <w:tc>
          <w:tcPr>
            <w:tcW w:w="64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E6EEFF"/>
            </w:tcBorders>
            <w:shd w:val="clear" w:color="auto" w:fill="E6EEFF"/>
          </w:tcPr>
          <w:p>
            <w:pPr>
              <w:spacing w:after="0"/>
              <w:rPr>
                <w:sz w:val="17"/>
                <w:szCs w:val="17"/>
                <w:color w:val="auto"/>
              </w:rPr>
            </w:pPr>
          </w:p>
        </w:tc>
        <w:tc>
          <w:tcPr>
            <w:tcW w:w="980" w:type="dxa"/>
            <w:vAlign w:val="bottom"/>
            <w:tcBorders>
              <w:bottom w:val="single" w:sz="8" w:color="E6EEFF"/>
            </w:tcBorders>
            <w:gridSpan w:val="2"/>
            <w:shd w:val="clear" w:color="auto" w:fill="E6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E6EEFF"/>
            </w:tcBorders>
            <w:shd w:val="clear" w:color="auto" w:fill="E6EEFF"/>
          </w:tcPr>
          <w:p>
            <w:pPr>
              <w:spacing w:after="0"/>
              <w:rPr>
                <w:sz w:val="17"/>
                <w:szCs w:val="17"/>
                <w:color w:val="auto"/>
              </w:rPr>
            </w:pPr>
          </w:p>
        </w:tc>
        <w:tc>
          <w:tcPr>
            <w:tcW w:w="9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(96,630)</w:t>
            </w:r>
          </w:p>
        </w:tc>
        <w:tc>
          <w:tcPr>
            <w:tcW w:w="80" w:type="dxa"/>
            <w:vAlign w:val="bottom"/>
            <w:tcBorders>
              <w:bottom w:val="single" w:sz="8" w:color="E6EEFF"/>
            </w:tcBorders>
            <w:shd w:val="clear" w:color="auto" w:fill="E6EEFF"/>
          </w:tcPr>
          <w:p>
            <w:pPr>
              <w:spacing w:after="0"/>
              <w:rPr>
                <w:sz w:val="17"/>
                <w:szCs w:val="17"/>
                <w:color w:val="auto"/>
              </w:rPr>
            </w:pPr>
          </w:p>
        </w:tc>
        <w:tc>
          <w:tcPr>
            <w:tcW w:w="100" w:type="dxa"/>
            <w:vAlign w:val="bottom"/>
            <w:tcBorders>
              <w:bottom w:val="single" w:sz="8" w:color="E6EEFF"/>
            </w:tcBorders>
            <w:shd w:val="clear" w:color="auto" w:fill="E6EEFF"/>
          </w:tcPr>
          <w:p>
            <w:pPr>
              <w:spacing w:after="0"/>
              <w:rPr>
                <w:sz w:val="17"/>
                <w:szCs w:val="17"/>
                <w:color w:val="auto"/>
              </w:rPr>
            </w:pPr>
          </w:p>
        </w:tc>
        <w:tc>
          <w:tcPr>
            <w:tcW w:w="1020" w:type="dxa"/>
            <w:vAlign w:val="bottom"/>
            <w:tcBorders>
              <w:bottom w:val="single" w:sz="8" w:color="E6EEFF"/>
            </w:tcBorders>
            <w:gridSpan w:val="2"/>
            <w:shd w:val="clear" w:color="auto" w:fill="E6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E6EEFF"/>
            </w:tcBorders>
            <w:shd w:val="clear" w:color="auto" w:fill="E6EEFF"/>
          </w:tcPr>
          <w:p>
            <w:pPr>
              <w:spacing w:after="0"/>
              <w:rPr>
                <w:sz w:val="17"/>
                <w:szCs w:val="17"/>
                <w:color w:val="auto"/>
              </w:rPr>
            </w:pPr>
          </w:p>
        </w:tc>
        <w:tc>
          <w:tcPr>
            <w:tcW w:w="114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E6EEFF"/>
            </w:tcBorders>
            <w:shd w:val="clear" w:color="auto" w:fill="E6EEFF"/>
          </w:tcPr>
          <w:p>
            <w:pPr>
              <w:spacing w:after="0"/>
              <w:rPr>
                <w:sz w:val="17"/>
                <w:szCs w:val="17"/>
                <w:color w:val="auto"/>
              </w:rPr>
            </w:pPr>
          </w:p>
        </w:tc>
        <w:tc>
          <w:tcPr>
            <w:tcW w:w="8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(96,630)</w:t>
            </w:r>
          </w:p>
        </w:tc>
        <w:tc>
          <w:tcPr>
            <w:tcW w:w="20" w:type="dxa"/>
            <w:vAlign w:val="bottom"/>
          </w:tcPr>
          <w:p>
            <w:pPr>
              <w:spacing w:after="0"/>
              <w:rPr>
                <w:sz w:val="17"/>
                <w:szCs w:val="17"/>
                <w:color w:val="auto"/>
              </w:rPr>
            </w:pPr>
          </w:p>
        </w:tc>
      </w:tr>
      <w:tr>
        <w:trPr>
          <w:trHeight w:val="177"/>
        </w:trPr>
        <w:tc>
          <w:tcPr>
            <w:tcW w:w="2380" w:type="dxa"/>
            <w:vAlign w:val="bottom"/>
          </w:tcPr>
          <w:p>
            <w:pPr>
              <w:ind w:left="20"/>
              <w:spacing w:after="0" w:line="173" w:lineRule="exact"/>
              <w:rPr>
                <w:sz w:val="20"/>
                <w:szCs w:val="20"/>
                <w:color w:val="auto"/>
              </w:rPr>
            </w:pPr>
            <w:r>
              <w:rPr>
                <w:rFonts w:ascii="Calibri" w:cs="Calibri" w:eastAsia="Calibri" w:hAnsi="Calibri"/>
                <w:sz w:val="15"/>
                <w:szCs w:val="15"/>
                <w:b w:val="1"/>
                <w:bCs w:val="1"/>
                <w:color w:val="1C4787"/>
              </w:rPr>
              <w:t>Balance, December 31, 2021</w:t>
            </w:r>
          </w:p>
        </w:tc>
        <w:tc>
          <w:tcPr>
            <w:tcW w:w="72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6,847</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18,831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5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5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w w:val="78"/>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3,403,202</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w w:val="78"/>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(1,837,955)</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(528,607)</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10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106,973</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1,143,639</w:t>
            </w:r>
          </w:p>
        </w:tc>
        <w:tc>
          <w:tcPr>
            <w:tcW w:w="20" w:type="dxa"/>
            <w:vAlign w:val="bottom"/>
          </w:tcPr>
          <w:p>
            <w:pPr>
              <w:spacing w:after="0"/>
              <w:rPr>
                <w:sz w:val="15"/>
                <w:szCs w:val="15"/>
                <w:color w:val="auto"/>
              </w:rPr>
            </w:pPr>
          </w:p>
        </w:tc>
      </w:tr>
      <w:tr>
        <w:trPr>
          <w:trHeight w:val="22"/>
        </w:trPr>
        <w:tc>
          <w:tcPr>
            <w:tcW w:w="2380" w:type="dxa"/>
            <w:vAlign w:val="bottom"/>
            <w:tcBorders>
              <w:bottom w:val="single" w:sz="8" w:color="E6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380" w:type="dxa"/>
            <w:vAlign w:val="bottom"/>
            <w:tcBorders>
              <w:bottom w:val="single" w:sz="8" w:color="E6EEFF"/>
            </w:tcBorders>
            <w:shd w:val="clear" w:color="auto" w:fill="E6EEFF"/>
          </w:tcPr>
          <w:p>
            <w:pPr>
              <w:ind w:left="120"/>
              <w:spacing w:after="0" w:line="173" w:lineRule="exact"/>
              <w:rPr>
                <w:sz w:val="20"/>
                <w:szCs w:val="20"/>
                <w:color w:val="auto"/>
              </w:rPr>
            </w:pPr>
            <w:r>
              <w:rPr>
                <w:rFonts w:ascii="Calibri" w:cs="Calibri" w:eastAsia="Calibri" w:hAnsi="Calibri"/>
                <w:sz w:val="15"/>
                <w:szCs w:val="15"/>
                <w:color w:val="auto"/>
              </w:rPr>
              <w:t>Other comprehensive loss</w:t>
            </w:r>
          </w:p>
        </w:tc>
        <w:tc>
          <w:tcPr>
            <w:tcW w:w="720" w:type="dxa"/>
            <w:vAlign w:val="bottom"/>
            <w:tcBorders>
              <w:bottom w:val="single" w:sz="8" w:color="E6EEFF"/>
            </w:tcBorders>
            <w:shd w:val="clear" w:color="auto" w:fill="E6EEFF"/>
          </w:tcPr>
          <w:p>
            <w:pPr>
              <w:jc w:val="right"/>
              <w:ind w:right="3"/>
              <w:spacing w:after="0" w:line="177" w:lineRule="exact"/>
              <w:rPr>
                <w:sz w:val="20"/>
                <w:szCs w:val="20"/>
                <w:color w:val="auto"/>
              </w:rPr>
            </w:pPr>
            <w:r>
              <w:rPr>
                <w:rFonts w:ascii="Calibri" w:cs="Calibri" w:eastAsia="Calibri" w:hAnsi="Calibri"/>
                <w:sz w:val="15"/>
                <w:szCs w:val="15"/>
                <w:color w:val="auto"/>
              </w:rPr>
              <w:t>—</w:t>
            </w:r>
          </w:p>
        </w:tc>
        <w:tc>
          <w:tcPr>
            <w:tcW w:w="100" w:type="dxa"/>
            <w:vAlign w:val="bottom"/>
            <w:tcBorders>
              <w:bottom w:val="single" w:sz="8" w:color="E6EEFF"/>
            </w:tcBorders>
            <w:shd w:val="clear" w:color="auto" w:fill="E6EEFF"/>
          </w:tcPr>
          <w:p>
            <w:pPr>
              <w:spacing w:after="0"/>
              <w:rPr>
                <w:sz w:val="15"/>
                <w:szCs w:val="15"/>
                <w:color w:val="auto"/>
              </w:rPr>
            </w:pPr>
          </w:p>
        </w:tc>
        <w:tc>
          <w:tcPr>
            <w:tcW w:w="68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w:t>
            </w:r>
          </w:p>
        </w:tc>
        <w:tc>
          <w:tcPr>
            <w:tcW w:w="100" w:type="dxa"/>
            <w:vAlign w:val="bottom"/>
            <w:tcBorders>
              <w:bottom w:val="single" w:sz="8" w:color="E6EEFF"/>
            </w:tcBorders>
            <w:shd w:val="clear" w:color="auto" w:fill="E6EEFF"/>
          </w:tcPr>
          <w:p>
            <w:pPr>
              <w:spacing w:after="0"/>
              <w:rPr>
                <w:sz w:val="15"/>
                <w:szCs w:val="15"/>
                <w:color w:val="auto"/>
              </w:rPr>
            </w:pPr>
          </w:p>
        </w:tc>
        <w:tc>
          <w:tcPr>
            <w:tcW w:w="140" w:type="dxa"/>
            <w:vAlign w:val="bottom"/>
            <w:tcBorders>
              <w:bottom w:val="single" w:sz="8" w:color="E6EEFF"/>
            </w:tcBorders>
            <w:shd w:val="clear" w:color="auto" w:fill="E6EEFF"/>
          </w:tcPr>
          <w:p>
            <w:pPr>
              <w:spacing w:after="0"/>
              <w:rPr>
                <w:sz w:val="15"/>
                <w:szCs w:val="15"/>
                <w:color w:val="auto"/>
              </w:rPr>
            </w:pPr>
          </w:p>
        </w:tc>
        <w:tc>
          <w:tcPr>
            <w:tcW w:w="56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w:t>
            </w:r>
          </w:p>
        </w:tc>
        <w:tc>
          <w:tcPr>
            <w:tcW w:w="100" w:type="dxa"/>
            <w:vAlign w:val="bottom"/>
            <w:tcBorders>
              <w:bottom w:val="single" w:sz="8" w:color="E6EEFF"/>
            </w:tcBorders>
            <w:shd w:val="clear" w:color="auto" w:fill="E6EEFF"/>
          </w:tcPr>
          <w:p>
            <w:pPr>
              <w:spacing w:after="0"/>
              <w:rPr>
                <w:sz w:val="15"/>
                <w:szCs w:val="15"/>
                <w:color w:val="auto"/>
              </w:rPr>
            </w:pPr>
          </w:p>
        </w:tc>
        <w:tc>
          <w:tcPr>
            <w:tcW w:w="140" w:type="dxa"/>
            <w:vAlign w:val="bottom"/>
            <w:tcBorders>
              <w:bottom w:val="single" w:sz="8" w:color="E6EEFF"/>
            </w:tcBorders>
            <w:shd w:val="clear" w:color="auto" w:fill="E6EEFF"/>
          </w:tcPr>
          <w:p>
            <w:pPr>
              <w:spacing w:after="0"/>
              <w:rPr>
                <w:sz w:val="15"/>
                <w:szCs w:val="15"/>
                <w:color w:val="auto"/>
              </w:rPr>
            </w:pPr>
          </w:p>
        </w:tc>
        <w:tc>
          <w:tcPr>
            <w:tcW w:w="5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w:t>
            </w:r>
          </w:p>
        </w:tc>
        <w:tc>
          <w:tcPr>
            <w:tcW w:w="100" w:type="dxa"/>
            <w:vAlign w:val="bottom"/>
            <w:tcBorders>
              <w:bottom w:val="single" w:sz="8" w:color="E6EEFF"/>
            </w:tcBorders>
            <w:shd w:val="clear" w:color="auto" w:fill="E6EEFF"/>
          </w:tcPr>
          <w:p>
            <w:pPr>
              <w:spacing w:after="0"/>
              <w:rPr>
                <w:sz w:val="15"/>
                <w:szCs w:val="15"/>
                <w:color w:val="auto"/>
              </w:rPr>
            </w:pPr>
          </w:p>
        </w:tc>
        <w:tc>
          <w:tcPr>
            <w:tcW w:w="120" w:type="dxa"/>
            <w:vAlign w:val="bottom"/>
            <w:tcBorders>
              <w:bottom w:val="single" w:sz="8" w:color="E6EEFF"/>
            </w:tcBorders>
            <w:shd w:val="clear" w:color="auto" w:fill="E6EEFF"/>
          </w:tcPr>
          <w:p>
            <w:pPr>
              <w:spacing w:after="0"/>
              <w:rPr>
                <w:sz w:val="15"/>
                <w:szCs w:val="15"/>
                <w:color w:val="auto"/>
              </w:rPr>
            </w:pPr>
          </w:p>
        </w:tc>
        <w:tc>
          <w:tcPr>
            <w:tcW w:w="90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E6EEFF"/>
            </w:tcBorders>
            <w:shd w:val="clear" w:color="auto" w:fill="E6EEFF"/>
          </w:tcPr>
          <w:p>
            <w:pPr>
              <w:spacing w:after="0"/>
              <w:rPr>
                <w:sz w:val="15"/>
                <w:szCs w:val="15"/>
                <w:color w:val="auto"/>
              </w:rPr>
            </w:pPr>
          </w:p>
        </w:tc>
        <w:tc>
          <w:tcPr>
            <w:tcW w:w="100" w:type="dxa"/>
            <w:vAlign w:val="bottom"/>
            <w:tcBorders>
              <w:bottom w:val="single" w:sz="8" w:color="E6EEFF"/>
            </w:tcBorders>
            <w:shd w:val="clear" w:color="auto" w:fill="E6EEFF"/>
          </w:tcPr>
          <w:p>
            <w:pPr>
              <w:spacing w:after="0"/>
              <w:rPr>
                <w:sz w:val="15"/>
                <w:szCs w:val="15"/>
                <w:color w:val="auto"/>
              </w:rPr>
            </w:pPr>
          </w:p>
        </w:tc>
        <w:tc>
          <w:tcPr>
            <w:tcW w:w="940" w:type="dxa"/>
            <w:vAlign w:val="bottom"/>
            <w:tcBorders>
              <w:bottom w:val="single" w:sz="8" w:color="E6EEFF"/>
            </w:tcBorders>
            <w:shd w:val="clear" w:color="auto" w:fill="E6EEFF"/>
          </w:tcPr>
          <w:p>
            <w:pPr>
              <w:ind w:left="740"/>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E6EEFF"/>
            </w:tcBorders>
            <w:shd w:val="clear" w:color="auto" w:fill="E6EEFF"/>
          </w:tcPr>
          <w:p>
            <w:pPr>
              <w:spacing w:after="0"/>
              <w:rPr>
                <w:sz w:val="15"/>
                <w:szCs w:val="15"/>
                <w:color w:val="auto"/>
              </w:rPr>
            </w:pPr>
          </w:p>
        </w:tc>
        <w:tc>
          <w:tcPr>
            <w:tcW w:w="100" w:type="dxa"/>
            <w:vAlign w:val="bottom"/>
            <w:tcBorders>
              <w:bottom w:val="single" w:sz="8" w:color="E6EEFF"/>
            </w:tcBorders>
            <w:shd w:val="clear" w:color="auto" w:fill="E6EEFF"/>
          </w:tcPr>
          <w:p>
            <w:pPr>
              <w:spacing w:after="0"/>
              <w:rPr>
                <w:sz w:val="15"/>
                <w:szCs w:val="15"/>
                <w:color w:val="auto"/>
              </w:rPr>
            </w:pPr>
          </w:p>
        </w:tc>
        <w:tc>
          <w:tcPr>
            <w:tcW w:w="9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(229,930)</w:t>
            </w:r>
          </w:p>
        </w:tc>
        <w:tc>
          <w:tcPr>
            <w:tcW w:w="80" w:type="dxa"/>
            <w:vAlign w:val="bottom"/>
            <w:tcBorders>
              <w:bottom w:val="single" w:sz="8" w:color="E6EEFF"/>
            </w:tcBorders>
            <w:shd w:val="clear" w:color="auto" w:fill="E6EEFF"/>
          </w:tcPr>
          <w:p>
            <w:pPr>
              <w:spacing w:after="0"/>
              <w:rPr>
                <w:sz w:val="15"/>
                <w:szCs w:val="15"/>
                <w:color w:val="auto"/>
              </w:rPr>
            </w:pPr>
          </w:p>
        </w:tc>
        <w:tc>
          <w:tcPr>
            <w:tcW w:w="120" w:type="dxa"/>
            <w:vAlign w:val="bottom"/>
            <w:tcBorders>
              <w:bottom w:val="single" w:sz="8" w:color="E6EEFF"/>
            </w:tcBorders>
            <w:shd w:val="clear" w:color="auto" w:fill="E6EEFF"/>
          </w:tcPr>
          <w:p>
            <w:pPr>
              <w:spacing w:after="0"/>
              <w:rPr>
                <w:sz w:val="15"/>
                <w:szCs w:val="15"/>
                <w:color w:val="auto"/>
              </w:rPr>
            </w:pPr>
          </w:p>
        </w:tc>
        <w:tc>
          <w:tcPr>
            <w:tcW w:w="10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(118,500)</w:t>
            </w:r>
          </w:p>
        </w:tc>
        <w:tc>
          <w:tcPr>
            <w:tcW w:w="100" w:type="dxa"/>
            <w:vAlign w:val="bottom"/>
            <w:tcBorders>
              <w:bottom w:val="single" w:sz="8" w:color="E6EEFF"/>
            </w:tcBorders>
            <w:shd w:val="clear" w:color="auto" w:fill="E6EEFF"/>
          </w:tcPr>
          <w:p>
            <w:pPr>
              <w:spacing w:after="0"/>
              <w:rPr>
                <w:sz w:val="15"/>
                <w:szCs w:val="15"/>
                <w:color w:val="auto"/>
              </w:rPr>
            </w:pPr>
          </w:p>
        </w:tc>
        <w:tc>
          <w:tcPr>
            <w:tcW w:w="200" w:type="dxa"/>
            <w:vAlign w:val="bottom"/>
            <w:tcBorders>
              <w:bottom w:val="single" w:sz="8" w:color="E6EEFF"/>
            </w:tcBorders>
            <w:shd w:val="clear" w:color="auto" w:fill="E6EEFF"/>
          </w:tcPr>
          <w:p>
            <w:pPr>
              <w:spacing w:after="0"/>
              <w:rPr>
                <w:sz w:val="15"/>
                <w:szCs w:val="15"/>
                <w:color w:val="auto"/>
              </w:rPr>
            </w:pPr>
          </w:p>
        </w:tc>
        <w:tc>
          <w:tcPr>
            <w:tcW w:w="8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(348,430)</w:t>
            </w:r>
          </w:p>
        </w:tc>
        <w:tc>
          <w:tcPr>
            <w:tcW w:w="20" w:type="dxa"/>
            <w:vAlign w:val="bottom"/>
          </w:tcPr>
          <w:p>
            <w:pPr>
              <w:spacing w:after="0"/>
              <w:rPr>
                <w:sz w:val="15"/>
                <w:szCs w:val="15"/>
                <w:color w:val="auto"/>
              </w:rPr>
            </w:pPr>
          </w:p>
        </w:tc>
      </w:tr>
      <w:tr>
        <w:trPr>
          <w:trHeight w:val="184"/>
        </w:trPr>
        <w:tc>
          <w:tcPr>
            <w:tcW w:w="2380" w:type="dxa"/>
            <w:vAlign w:val="bottom"/>
          </w:tcPr>
          <w:p>
            <w:pPr>
              <w:ind w:left="120"/>
              <w:spacing w:after="0"/>
              <w:rPr>
                <w:sz w:val="20"/>
                <w:szCs w:val="20"/>
                <w:color w:val="auto"/>
              </w:rPr>
            </w:pPr>
            <w:r>
              <w:rPr>
                <w:rFonts w:ascii="Calibri" w:cs="Calibri" w:eastAsia="Calibri" w:hAnsi="Calibri"/>
                <w:sz w:val="15"/>
                <w:szCs w:val="15"/>
                <w:color w:val="auto"/>
              </w:rPr>
              <w:t>Issuance of common stock, net</w:t>
            </w:r>
          </w:p>
        </w:tc>
        <w:tc>
          <w:tcPr>
            <w:tcW w:w="82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14,008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alibri" w:cs="Calibri" w:eastAsia="Calibri" w:hAnsi="Calibri"/>
                <w:sz w:val="15"/>
                <w:szCs w:val="15"/>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475,523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475,537</w:t>
            </w:r>
          </w:p>
        </w:tc>
        <w:tc>
          <w:tcPr>
            <w:tcW w:w="20" w:type="dxa"/>
            <w:vAlign w:val="bottom"/>
          </w:tcPr>
          <w:p>
            <w:pPr>
              <w:spacing w:after="0"/>
              <w:rPr>
                <w:sz w:val="16"/>
                <w:szCs w:val="16"/>
                <w:color w:val="auto"/>
              </w:rPr>
            </w:pPr>
          </w:p>
        </w:tc>
      </w:tr>
      <w:tr>
        <w:trPr>
          <w:trHeight w:val="22"/>
        </w:trPr>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380" w:type="dxa"/>
            <w:vAlign w:val="bottom"/>
            <w:shd w:val="clear" w:color="auto" w:fill="E6EEFF"/>
          </w:tcPr>
          <w:p>
            <w:pPr>
              <w:ind w:left="120"/>
              <w:spacing w:after="0" w:line="151" w:lineRule="exact"/>
              <w:rPr>
                <w:sz w:val="20"/>
                <w:szCs w:val="20"/>
                <w:color w:val="auto"/>
              </w:rPr>
            </w:pPr>
            <w:r>
              <w:rPr>
                <w:rFonts w:ascii="Calibri" w:cs="Calibri" w:eastAsia="Calibri" w:hAnsi="Calibri"/>
                <w:sz w:val="15"/>
                <w:szCs w:val="15"/>
                <w:color w:val="auto"/>
              </w:rPr>
              <w:t>Stock based compensaton, net of</w:t>
            </w:r>
          </w:p>
        </w:tc>
        <w:tc>
          <w:tcPr>
            <w:tcW w:w="72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68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140" w:type="dxa"/>
            <w:vAlign w:val="bottom"/>
            <w:shd w:val="clear" w:color="auto" w:fill="E6EEFF"/>
          </w:tcPr>
          <w:p>
            <w:pPr>
              <w:spacing w:after="0"/>
              <w:rPr>
                <w:sz w:val="13"/>
                <w:szCs w:val="13"/>
                <w:color w:val="auto"/>
              </w:rPr>
            </w:pPr>
          </w:p>
        </w:tc>
        <w:tc>
          <w:tcPr>
            <w:tcW w:w="56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140" w:type="dxa"/>
            <w:vAlign w:val="bottom"/>
            <w:shd w:val="clear" w:color="auto" w:fill="E6EEFF"/>
          </w:tcPr>
          <w:p>
            <w:pPr>
              <w:spacing w:after="0"/>
              <w:rPr>
                <w:sz w:val="13"/>
                <w:szCs w:val="13"/>
                <w:color w:val="auto"/>
              </w:rPr>
            </w:pPr>
          </w:p>
        </w:tc>
        <w:tc>
          <w:tcPr>
            <w:tcW w:w="54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120" w:type="dxa"/>
            <w:vAlign w:val="bottom"/>
            <w:shd w:val="clear" w:color="auto" w:fill="E6EEFF"/>
          </w:tcPr>
          <w:p>
            <w:pPr>
              <w:spacing w:after="0"/>
              <w:rPr>
                <w:sz w:val="13"/>
                <w:szCs w:val="13"/>
                <w:color w:val="auto"/>
              </w:rPr>
            </w:pPr>
          </w:p>
        </w:tc>
        <w:tc>
          <w:tcPr>
            <w:tcW w:w="900" w:type="dxa"/>
            <w:vAlign w:val="bottom"/>
            <w:shd w:val="clear" w:color="auto" w:fill="E6EEFF"/>
          </w:tcPr>
          <w:p>
            <w:pPr>
              <w:spacing w:after="0"/>
              <w:rPr>
                <w:sz w:val="13"/>
                <w:szCs w:val="13"/>
                <w:color w:val="auto"/>
              </w:rPr>
            </w:pPr>
          </w:p>
        </w:tc>
        <w:tc>
          <w:tcPr>
            <w:tcW w:w="8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940" w:type="dxa"/>
            <w:vAlign w:val="bottom"/>
            <w:shd w:val="clear" w:color="auto" w:fill="E6EEFF"/>
          </w:tcPr>
          <w:p>
            <w:pPr>
              <w:spacing w:after="0"/>
              <w:rPr>
                <w:sz w:val="13"/>
                <w:szCs w:val="13"/>
                <w:color w:val="auto"/>
              </w:rPr>
            </w:pPr>
          </w:p>
        </w:tc>
        <w:tc>
          <w:tcPr>
            <w:tcW w:w="8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940" w:type="dxa"/>
            <w:vAlign w:val="bottom"/>
            <w:shd w:val="clear" w:color="auto" w:fill="E6EEFF"/>
          </w:tcPr>
          <w:p>
            <w:pPr>
              <w:spacing w:after="0"/>
              <w:rPr>
                <w:sz w:val="13"/>
                <w:szCs w:val="13"/>
                <w:color w:val="auto"/>
              </w:rPr>
            </w:pPr>
          </w:p>
        </w:tc>
        <w:tc>
          <w:tcPr>
            <w:tcW w:w="80" w:type="dxa"/>
            <w:vAlign w:val="bottom"/>
            <w:shd w:val="clear" w:color="auto" w:fill="E6EEFF"/>
          </w:tcPr>
          <w:p>
            <w:pPr>
              <w:spacing w:after="0"/>
              <w:rPr>
                <w:sz w:val="13"/>
                <w:szCs w:val="13"/>
                <w:color w:val="auto"/>
              </w:rPr>
            </w:pPr>
          </w:p>
        </w:tc>
        <w:tc>
          <w:tcPr>
            <w:tcW w:w="120" w:type="dxa"/>
            <w:vAlign w:val="bottom"/>
            <w:shd w:val="clear" w:color="auto" w:fill="E6EEFF"/>
          </w:tcPr>
          <w:p>
            <w:pPr>
              <w:spacing w:after="0"/>
              <w:rPr>
                <w:sz w:val="13"/>
                <w:szCs w:val="13"/>
                <w:color w:val="auto"/>
              </w:rPr>
            </w:pPr>
          </w:p>
        </w:tc>
        <w:tc>
          <w:tcPr>
            <w:tcW w:w="104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200" w:type="dxa"/>
            <w:vAlign w:val="bottom"/>
            <w:shd w:val="clear" w:color="auto" w:fill="E6EEFF"/>
          </w:tcPr>
          <w:p>
            <w:pPr>
              <w:spacing w:after="0"/>
              <w:rPr>
                <w:sz w:val="13"/>
                <w:szCs w:val="13"/>
                <w:color w:val="auto"/>
              </w:rPr>
            </w:pPr>
          </w:p>
        </w:tc>
        <w:tc>
          <w:tcPr>
            <w:tcW w:w="840" w:type="dxa"/>
            <w:vAlign w:val="bottom"/>
            <w:shd w:val="clear" w:color="auto" w:fill="E6EEFF"/>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2380" w:type="dxa"/>
            <w:vAlign w:val="bottom"/>
            <w:tcBorders>
              <w:bottom w:val="single" w:sz="8" w:color="E6EEFF"/>
            </w:tcBorders>
            <w:shd w:val="clear" w:color="auto" w:fill="E6EEFF"/>
          </w:tcPr>
          <w:p>
            <w:pPr>
              <w:ind w:left="120"/>
              <w:spacing w:after="0"/>
              <w:rPr>
                <w:sz w:val="20"/>
                <w:szCs w:val="20"/>
                <w:color w:val="auto"/>
              </w:rPr>
            </w:pPr>
            <w:r>
              <w:rPr>
                <w:rFonts w:ascii="Calibri" w:cs="Calibri" w:eastAsia="Calibri" w:hAnsi="Calibri"/>
                <w:sz w:val="15"/>
                <w:szCs w:val="15"/>
                <w:color w:val="auto"/>
              </w:rPr>
              <w:t>withholding requirements</w:t>
            </w:r>
          </w:p>
        </w:tc>
        <w:tc>
          <w:tcPr>
            <w:tcW w:w="820" w:type="dxa"/>
            <w:vAlign w:val="bottom"/>
            <w:tcBorders>
              <w:bottom w:val="single" w:sz="8" w:color="E6EEFF"/>
            </w:tcBorders>
            <w:gridSpan w:val="2"/>
            <w:shd w:val="clear" w:color="auto" w:fill="E6EEFF"/>
          </w:tcPr>
          <w:p>
            <w:pPr>
              <w:jc w:val="right"/>
              <w:ind w:right="180"/>
              <w:spacing w:after="0"/>
              <w:rPr>
                <w:sz w:val="20"/>
                <w:szCs w:val="20"/>
                <w:color w:val="auto"/>
              </w:rPr>
            </w:pPr>
            <w:r>
              <w:rPr>
                <w:rFonts w:ascii="Calibri" w:cs="Calibri" w:eastAsia="Calibri" w:hAnsi="Calibri"/>
                <w:sz w:val="15"/>
                <w:szCs w:val="15"/>
                <w:color w:val="auto"/>
              </w:rPr>
              <w:t>—</w:t>
            </w:r>
          </w:p>
        </w:tc>
        <w:tc>
          <w:tcPr>
            <w:tcW w:w="68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39</w:t>
            </w:r>
          </w:p>
        </w:tc>
        <w:tc>
          <w:tcPr>
            <w:tcW w:w="100" w:type="dxa"/>
            <w:vAlign w:val="bottom"/>
            <w:tcBorders>
              <w:bottom w:val="single" w:sz="8" w:color="E6EEFF"/>
            </w:tcBorders>
            <w:shd w:val="clear" w:color="auto" w:fill="E6EEFF"/>
          </w:tcPr>
          <w:p>
            <w:pPr>
              <w:spacing w:after="0"/>
              <w:rPr>
                <w:sz w:val="16"/>
                <w:szCs w:val="16"/>
                <w:color w:val="auto"/>
              </w:rPr>
            </w:pPr>
          </w:p>
        </w:tc>
        <w:tc>
          <w:tcPr>
            <w:tcW w:w="140" w:type="dxa"/>
            <w:vAlign w:val="bottom"/>
            <w:tcBorders>
              <w:bottom w:val="single" w:sz="8" w:color="E6EEFF"/>
            </w:tcBorders>
            <w:shd w:val="clear" w:color="auto" w:fill="E6EEFF"/>
          </w:tcPr>
          <w:p>
            <w:pPr>
              <w:spacing w:after="0"/>
              <w:rPr>
                <w:sz w:val="16"/>
                <w:szCs w:val="16"/>
                <w:color w:val="auto"/>
              </w:rPr>
            </w:pPr>
          </w:p>
        </w:tc>
        <w:tc>
          <w:tcPr>
            <w:tcW w:w="66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Borders>
              <w:bottom w:val="single" w:sz="8" w:color="E6EEFF"/>
            </w:tcBorders>
            <w:shd w:val="clear" w:color="auto" w:fill="E6EEFF"/>
          </w:tcPr>
          <w:p>
            <w:pPr>
              <w:spacing w:after="0"/>
              <w:rPr>
                <w:sz w:val="16"/>
                <w:szCs w:val="16"/>
                <w:color w:val="auto"/>
              </w:rPr>
            </w:pPr>
          </w:p>
        </w:tc>
        <w:tc>
          <w:tcPr>
            <w:tcW w:w="64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E6EEFF"/>
            </w:tcBorders>
            <w:shd w:val="clear" w:color="auto" w:fill="E6EEFF"/>
          </w:tcPr>
          <w:p>
            <w:pPr>
              <w:spacing w:after="0"/>
              <w:rPr>
                <w:sz w:val="16"/>
                <w:szCs w:val="16"/>
                <w:color w:val="auto"/>
              </w:rPr>
            </w:pPr>
          </w:p>
        </w:tc>
        <w:tc>
          <w:tcPr>
            <w:tcW w:w="90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3,696</w:t>
            </w:r>
          </w:p>
        </w:tc>
        <w:tc>
          <w:tcPr>
            <w:tcW w:w="80" w:type="dxa"/>
            <w:vAlign w:val="bottom"/>
            <w:tcBorders>
              <w:bottom w:val="single" w:sz="8" w:color="E6EEFF"/>
            </w:tcBorders>
            <w:shd w:val="clear" w:color="auto" w:fill="E6EEFF"/>
          </w:tcPr>
          <w:p>
            <w:pPr>
              <w:spacing w:after="0"/>
              <w:rPr>
                <w:sz w:val="16"/>
                <w:szCs w:val="16"/>
                <w:color w:val="auto"/>
              </w:rPr>
            </w:pPr>
          </w:p>
        </w:tc>
        <w:tc>
          <w:tcPr>
            <w:tcW w:w="100" w:type="dxa"/>
            <w:vAlign w:val="bottom"/>
            <w:tcBorders>
              <w:bottom w:val="single" w:sz="8" w:color="E6EEFF"/>
            </w:tcBorders>
            <w:shd w:val="clear" w:color="auto" w:fill="E6EEFF"/>
          </w:tcPr>
          <w:p>
            <w:pPr>
              <w:spacing w:after="0"/>
              <w:rPr>
                <w:sz w:val="16"/>
                <w:szCs w:val="16"/>
                <w:color w:val="auto"/>
              </w:rPr>
            </w:pPr>
          </w:p>
        </w:tc>
        <w:tc>
          <w:tcPr>
            <w:tcW w:w="1020" w:type="dxa"/>
            <w:vAlign w:val="bottom"/>
            <w:tcBorders>
              <w:bottom w:val="single" w:sz="8" w:color="E6EEFF"/>
            </w:tcBorders>
            <w:gridSpan w:val="2"/>
            <w:shd w:val="clear" w:color="auto" w:fill="E6EEFF"/>
          </w:tcPr>
          <w:p>
            <w:pPr>
              <w:ind w:left="7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E6EEFF"/>
            </w:tcBorders>
            <w:shd w:val="clear" w:color="auto" w:fill="E6EEFF"/>
          </w:tcPr>
          <w:p>
            <w:pPr>
              <w:spacing w:after="0"/>
              <w:rPr>
                <w:sz w:val="16"/>
                <w:szCs w:val="16"/>
                <w:color w:val="auto"/>
              </w:rPr>
            </w:pPr>
          </w:p>
        </w:tc>
        <w:tc>
          <w:tcPr>
            <w:tcW w:w="1020" w:type="dxa"/>
            <w:vAlign w:val="bottom"/>
            <w:tcBorders>
              <w:bottom w:val="single" w:sz="8" w:color="E6EEFF"/>
            </w:tcBorders>
            <w:gridSpan w:val="2"/>
            <w:shd w:val="clear" w:color="auto" w:fill="E6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E6EEFF"/>
            </w:tcBorders>
            <w:shd w:val="clear" w:color="auto" w:fill="E6EEFF"/>
          </w:tcPr>
          <w:p>
            <w:pPr>
              <w:spacing w:after="0"/>
              <w:rPr>
                <w:sz w:val="16"/>
                <w:szCs w:val="16"/>
                <w:color w:val="auto"/>
              </w:rPr>
            </w:pPr>
          </w:p>
        </w:tc>
        <w:tc>
          <w:tcPr>
            <w:tcW w:w="114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E6EEFF"/>
            </w:tcBorders>
            <w:shd w:val="clear" w:color="auto" w:fill="E6EEFF"/>
          </w:tcPr>
          <w:p>
            <w:pPr>
              <w:spacing w:after="0"/>
              <w:rPr>
                <w:sz w:val="16"/>
                <w:szCs w:val="16"/>
                <w:color w:val="auto"/>
              </w:rPr>
            </w:pPr>
          </w:p>
        </w:tc>
        <w:tc>
          <w:tcPr>
            <w:tcW w:w="8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3,696</w:t>
            </w:r>
          </w:p>
        </w:tc>
        <w:tc>
          <w:tcPr>
            <w:tcW w:w="20" w:type="dxa"/>
            <w:vAlign w:val="bottom"/>
          </w:tcPr>
          <w:p>
            <w:pPr>
              <w:spacing w:after="0"/>
              <w:rPr>
                <w:sz w:val="16"/>
                <w:szCs w:val="16"/>
                <w:color w:val="auto"/>
              </w:rPr>
            </w:pPr>
          </w:p>
        </w:tc>
      </w:tr>
      <w:tr>
        <w:trPr>
          <w:trHeight w:val="184"/>
        </w:trPr>
        <w:tc>
          <w:tcPr>
            <w:tcW w:w="2380" w:type="dxa"/>
            <w:vAlign w:val="bottom"/>
          </w:tcPr>
          <w:p>
            <w:pPr>
              <w:ind w:left="120"/>
              <w:spacing w:after="0"/>
              <w:rPr>
                <w:sz w:val="20"/>
                <w:szCs w:val="20"/>
                <w:color w:val="auto"/>
              </w:rPr>
            </w:pPr>
            <w:r>
              <w:rPr>
                <w:rFonts w:ascii="Calibri" w:cs="Calibri" w:eastAsia="Calibri" w:hAnsi="Calibri"/>
                <w:sz w:val="15"/>
                <w:szCs w:val="15"/>
                <w:color w:val="auto"/>
              </w:rPr>
              <w:t>Common stock repurchased</w:t>
            </w:r>
          </w:p>
        </w:tc>
        <w:tc>
          <w:tcPr>
            <w:tcW w:w="82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(296)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(7,664)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(7,664)</w:t>
            </w:r>
          </w:p>
        </w:tc>
        <w:tc>
          <w:tcPr>
            <w:tcW w:w="20" w:type="dxa"/>
            <w:vAlign w:val="bottom"/>
          </w:tcPr>
          <w:p>
            <w:pPr>
              <w:spacing w:after="0"/>
              <w:rPr>
                <w:sz w:val="16"/>
                <w:szCs w:val="16"/>
                <w:color w:val="auto"/>
              </w:rPr>
            </w:pPr>
          </w:p>
        </w:tc>
      </w:tr>
      <w:tr>
        <w:trPr>
          <w:trHeight w:val="22"/>
        </w:trPr>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2380" w:type="dxa"/>
            <w:vAlign w:val="bottom"/>
            <w:tcBorders>
              <w:bottom w:val="single" w:sz="8" w:color="E6EEFF"/>
            </w:tcBorders>
            <w:shd w:val="clear" w:color="auto" w:fill="E6EEFF"/>
          </w:tcPr>
          <w:p>
            <w:pPr>
              <w:ind w:left="120"/>
              <w:spacing w:after="0"/>
              <w:rPr>
                <w:sz w:val="20"/>
                <w:szCs w:val="20"/>
                <w:color w:val="auto"/>
              </w:rPr>
            </w:pPr>
            <w:r>
              <w:rPr>
                <w:rFonts w:ascii="Calibri" w:cs="Calibri" w:eastAsia="Calibri" w:hAnsi="Calibri"/>
                <w:sz w:val="15"/>
                <w:szCs w:val="15"/>
                <w:color w:val="auto"/>
              </w:rPr>
              <w:t>Preferred stock dividends</w:t>
            </w:r>
          </w:p>
        </w:tc>
        <w:tc>
          <w:tcPr>
            <w:tcW w:w="820" w:type="dxa"/>
            <w:vAlign w:val="bottom"/>
            <w:tcBorders>
              <w:bottom w:val="single" w:sz="8" w:color="E6EEFF"/>
            </w:tcBorders>
            <w:gridSpan w:val="2"/>
            <w:shd w:val="clear" w:color="auto" w:fill="E6EEFF"/>
          </w:tcPr>
          <w:p>
            <w:pPr>
              <w:jc w:val="right"/>
              <w:ind w:right="180"/>
              <w:spacing w:after="0"/>
              <w:rPr>
                <w:sz w:val="20"/>
                <w:szCs w:val="20"/>
                <w:color w:val="auto"/>
              </w:rPr>
            </w:pPr>
            <w:r>
              <w:rPr>
                <w:rFonts w:ascii="Calibri" w:cs="Calibri" w:eastAsia="Calibri" w:hAnsi="Calibri"/>
                <w:sz w:val="15"/>
                <w:szCs w:val="15"/>
                <w:color w:val="auto"/>
              </w:rPr>
              <w:t>—</w:t>
            </w:r>
          </w:p>
        </w:tc>
        <w:tc>
          <w:tcPr>
            <w:tcW w:w="78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Borders>
              <w:bottom w:val="single" w:sz="8" w:color="E6EEFF"/>
            </w:tcBorders>
            <w:shd w:val="clear" w:color="auto" w:fill="E6EEFF"/>
          </w:tcPr>
          <w:p>
            <w:pPr>
              <w:spacing w:after="0"/>
              <w:rPr>
                <w:sz w:val="16"/>
                <w:szCs w:val="16"/>
                <w:color w:val="auto"/>
              </w:rPr>
            </w:pPr>
          </w:p>
        </w:tc>
        <w:tc>
          <w:tcPr>
            <w:tcW w:w="66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Borders>
              <w:bottom w:val="single" w:sz="8" w:color="E6EEFF"/>
            </w:tcBorders>
            <w:shd w:val="clear" w:color="auto" w:fill="E6EEFF"/>
          </w:tcPr>
          <w:p>
            <w:pPr>
              <w:spacing w:after="0"/>
              <w:rPr>
                <w:sz w:val="16"/>
                <w:szCs w:val="16"/>
                <w:color w:val="auto"/>
              </w:rPr>
            </w:pPr>
          </w:p>
        </w:tc>
        <w:tc>
          <w:tcPr>
            <w:tcW w:w="64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E6EEFF"/>
            </w:tcBorders>
            <w:shd w:val="clear" w:color="auto" w:fill="E6EEFF"/>
          </w:tcPr>
          <w:p>
            <w:pPr>
              <w:spacing w:after="0"/>
              <w:rPr>
                <w:sz w:val="16"/>
                <w:szCs w:val="16"/>
                <w:color w:val="auto"/>
              </w:rPr>
            </w:pPr>
          </w:p>
        </w:tc>
        <w:tc>
          <w:tcPr>
            <w:tcW w:w="980" w:type="dxa"/>
            <w:vAlign w:val="bottom"/>
            <w:tcBorders>
              <w:bottom w:val="single" w:sz="8" w:color="E6EEFF"/>
            </w:tcBorders>
            <w:gridSpan w:val="2"/>
            <w:shd w:val="clear" w:color="auto" w:fill="E6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E6EEFF"/>
            </w:tcBorders>
            <w:shd w:val="clear" w:color="auto" w:fill="E6EEFF"/>
          </w:tcPr>
          <w:p>
            <w:pPr>
              <w:spacing w:after="0"/>
              <w:rPr>
                <w:sz w:val="16"/>
                <w:szCs w:val="16"/>
                <w:color w:val="auto"/>
              </w:rPr>
            </w:pPr>
          </w:p>
        </w:tc>
        <w:tc>
          <w:tcPr>
            <w:tcW w:w="9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(11,982)</w:t>
            </w:r>
          </w:p>
        </w:tc>
        <w:tc>
          <w:tcPr>
            <w:tcW w:w="80" w:type="dxa"/>
            <w:vAlign w:val="bottom"/>
            <w:tcBorders>
              <w:bottom w:val="single" w:sz="8" w:color="E6EEFF"/>
            </w:tcBorders>
            <w:shd w:val="clear" w:color="auto" w:fill="E6EEFF"/>
          </w:tcPr>
          <w:p>
            <w:pPr>
              <w:spacing w:after="0"/>
              <w:rPr>
                <w:sz w:val="16"/>
                <w:szCs w:val="16"/>
                <w:color w:val="auto"/>
              </w:rPr>
            </w:pPr>
          </w:p>
        </w:tc>
        <w:tc>
          <w:tcPr>
            <w:tcW w:w="100" w:type="dxa"/>
            <w:vAlign w:val="bottom"/>
            <w:tcBorders>
              <w:bottom w:val="single" w:sz="8" w:color="E6EEFF"/>
            </w:tcBorders>
            <w:shd w:val="clear" w:color="auto" w:fill="E6EEFF"/>
          </w:tcPr>
          <w:p>
            <w:pPr>
              <w:spacing w:after="0"/>
              <w:rPr>
                <w:sz w:val="16"/>
                <w:szCs w:val="16"/>
                <w:color w:val="auto"/>
              </w:rPr>
            </w:pPr>
          </w:p>
        </w:tc>
        <w:tc>
          <w:tcPr>
            <w:tcW w:w="1020" w:type="dxa"/>
            <w:vAlign w:val="bottom"/>
            <w:tcBorders>
              <w:bottom w:val="single" w:sz="8" w:color="E6EEFF"/>
            </w:tcBorders>
            <w:gridSpan w:val="2"/>
            <w:shd w:val="clear" w:color="auto" w:fill="E6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E6EEFF"/>
            </w:tcBorders>
            <w:shd w:val="clear" w:color="auto" w:fill="E6EEFF"/>
          </w:tcPr>
          <w:p>
            <w:pPr>
              <w:spacing w:after="0"/>
              <w:rPr>
                <w:sz w:val="16"/>
                <w:szCs w:val="16"/>
                <w:color w:val="auto"/>
              </w:rPr>
            </w:pPr>
          </w:p>
        </w:tc>
        <w:tc>
          <w:tcPr>
            <w:tcW w:w="114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E6EEFF"/>
            </w:tcBorders>
            <w:shd w:val="clear" w:color="auto" w:fill="E6EEFF"/>
          </w:tcPr>
          <w:p>
            <w:pPr>
              <w:spacing w:after="0"/>
              <w:rPr>
                <w:sz w:val="16"/>
                <w:szCs w:val="16"/>
                <w:color w:val="auto"/>
              </w:rPr>
            </w:pPr>
          </w:p>
        </w:tc>
        <w:tc>
          <w:tcPr>
            <w:tcW w:w="8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(11,982)</w:t>
            </w:r>
          </w:p>
        </w:tc>
        <w:tc>
          <w:tcPr>
            <w:tcW w:w="20" w:type="dxa"/>
            <w:vAlign w:val="bottom"/>
          </w:tcPr>
          <w:p>
            <w:pPr>
              <w:spacing w:after="0"/>
              <w:rPr>
                <w:sz w:val="16"/>
                <w:szCs w:val="16"/>
                <w:color w:val="auto"/>
              </w:rPr>
            </w:pPr>
          </w:p>
        </w:tc>
      </w:tr>
      <w:tr>
        <w:trPr>
          <w:trHeight w:val="184"/>
        </w:trPr>
        <w:tc>
          <w:tcPr>
            <w:tcW w:w="2380" w:type="dxa"/>
            <w:vAlign w:val="bottom"/>
          </w:tcPr>
          <w:p>
            <w:pPr>
              <w:ind w:left="120"/>
              <w:spacing w:after="0"/>
              <w:rPr>
                <w:sz w:val="20"/>
                <w:szCs w:val="20"/>
                <w:color w:val="auto"/>
              </w:rPr>
            </w:pPr>
            <w:r>
              <w:rPr>
                <w:rFonts w:ascii="Calibri" w:cs="Calibri" w:eastAsia="Calibri" w:hAnsi="Calibri"/>
                <w:sz w:val="15"/>
                <w:szCs w:val="15"/>
                <w:color w:val="auto"/>
              </w:rPr>
              <w:t>Common stock dividends</w:t>
            </w:r>
          </w:p>
        </w:tc>
        <w:tc>
          <w:tcPr>
            <w:tcW w:w="82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w:t>
            </w:r>
          </w:p>
        </w:tc>
        <w:tc>
          <w:tcPr>
            <w:tcW w:w="78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(142,424)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(142,424)</w:t>
            </w:r>
          </w:p>
        </w:tc>
        <w:tc>
          <w:tcPr>
            <w:tcW w:w="20" w:type="dxa"/>
            <w:vAlign w:val="bottom"/>
          </w:tcPr>
          <w:p>
            <w:pPr>
              <w:spacing w:after="0"/>
              <w:rPr>
                <w:sz w:val="16"/>
                <w:szCs w:val="16"/>
                <w:color w:val="auto"/>
              </w:rPr>
            </w:pPr>
          </w:p>
        </w:tc>
      </w:tr>
      <w:tr>
        <w:trPr>
          <w:trHeight w:val="22"/>
        </w:trPr>
        <w:tc>
          <w:tcPr>
            <w:tcW w:w="2380" w:type="dxa"/>
            <w:vAlign w:val="bottom"/>
            <w:tcBorders>
              <w:bottom w:val="single" w:sz="8" w:color="E6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2380" w:type="dxa"/>
            <w:vAlign w:val="bottom"/>
            <w:tcBorders>
              <w:bottom w:val="single" w:sz="8" w:color="E6EEFF"/>
            </w:tcBorders>
            <w:shd w:val="clear" w:color="auto" w:fill="E6EEFF"/>
          </w:tcPr>
          <w:p>
            <w:pPr>
              <w:ind w:left="20"/>
              <w:spacing w:after="0" w:line="173" w:lineRule="exact"/>
              <w:rPr>
                <w:sz w:val="20"/>
                <w:szCs w:val="20"/>
                <w:color w:val="auto"/>
              </w:rPr>
            </w:pPr>
            <w:r>
              <w:rPr>
                <w:rFonts w:ascii="Calibri" w:cs="Calibri" w:eastAsia="Calibri" w:hAnsi="Calibri"/>
                <w:sz w:val="15"/>
                <w:szCs w:val="15"/>
                <w:b w:val="1"/>
                <w:bCs w:val="1"/>
                <w:color w:val="1C4787"/>
              </w:rPr>
              <w:t>Balance, December 31, 2022</w:t>
            </w:r>
          </w:p>
        </w:tc>
        <w:tc>
          <w:tcPr>
            <w:tcW w:w="720" w:type="dxa"/>
            <w:vAlign w:val="bottom"/>
            <w:tcBorders>
              <w:bottom w:val="single" w:sz="8" w:color="E6EEFF"/>
            </w:tcBorders>
            <w:shd w:val="clear" w:color="auto" w:fill="E6EEFF"/>
          </w:tcPr>
          <w:p>
            <w:pPr>
              <w:jc w:val="right"/>
              <w:ind w:right="3"/>
              <w:spacing w:after="0" w:line="177" w:lineRule="exact"/>
              <w:rPr>
                <w:sz w:val="20"/>
                <w:szCs w:val="20"/>
                <w:color w:val="auto"/>
              </w:rPr>
            </w:pPr>
            <w:r>
              <w:rPr>
                <w:rFonts w:ascii="Calibri" w:cs="Calibri" w:eastAsia="Calibri" w:hAnsi="Calibri"/>
                <w:sz w:val="15"/>
                <w:szCs w:val="15"/>
                <w:color w:val="auto"/>
              </w:rPr>
              <w:t>6,847</w:t>
            </w:r>
          </w:p>
        </w:tc>
        <w:tc>
          <w:tcPr>
            <w:tcW w:w="100" w:type="dxa"/>
            <w:vAlign w:val="bottom"/>
            <w:tcBorders>
              <w:bottom w:val="single" w:sz="8" w:color="E6EEFF"/>
            </w:tcBorders>
            <w:shd w:val="clear" w:color="auto" w:fill="E6EEFF"/>
          </w:tcPr>
          <w:p>
            <w:pPr>
              <w:spacing w:after="0"/>
              <w:rPr>
                <w:sz w:val="17"/>
                <w:szCs w:val="17"/>
                <w:color w:val="auto"/>
              </w:rPr>
            </w:pPr>
          </w:p>
        </w:tc>
        <w:tc>
          <w:tcPr>
            <w:tcW w:w="68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32,582</w:t>
            </w:r>
          </w:p>
        </w:tc>
        <w:tc>
          <w:tcPr>
            <w:tcW w:w="100" w:type="dxa"/>
            <w:vAlign w:val="bottom"/>
            <w:tcBorders>
              <w:bottom w:val="single" w:sz="8" w:color="E6EEFF"/>
            </w:tcBorders>
            <w:shd w:val="clear" w:color="auto" w:fill="E6EEFF"/>
          </w:tcPr>
          <w:p>
            <w:pPr>
              <w:spacing w:after="0"/>
              <w:rPr>
                <w:sz w:val="17"/>
                <w:szCs w:val="17"/>
                <w:color w:val="auto"/>
              </w:rPr>
            </w:pPr>
          </w:p>
        </w:tc>
        <w:tc>
          <w:tcPr>
            <w:tcW w:w="1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w:t>
            </w:r>
          </w:p>
        </w:tc>
        <w:tc>
          <w:tcPr>
            <w:tcW w:w="56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7</w:t>
            </w:r>
          </w:p>
        </w:tc>
        <w:tc>
          <w:tcPr>
            <w:tcW w:w="100" w:type="dxa"/>
            <w:vAlign w:val="bottom"/>
            <w:tcBorders>
              <w:bottom w:val="single" w:sz="8" w:color="E6EEFF"/>
            </w:tcBorders>
            <w:shd w:val="clear" w:color="auto" w:fill="E6EEFF"/>
          </w:tcPr>
          <w:p>
            <w:pPr>
              <w:spacing w:after="0"/>
              <w:rPr>
                <w:sz w:val="17"/>
                <w:szCs w:val="17"/>
                <w:color w:val="auto"/>
              </w:rPr>
            </w:pPr>
          </w:p>
        </w:tc>
        <w:tc>
          <w:tcPr>
            <w:tcW w:w="1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w:t>
            </w:r>
          </w:p>
        </w:tc>
        <w:tc>
          <w:tcPr>
            <w:tcW w:w="5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33</w:t>
            </w:r>
          </w:p>
        </w:tc>
        <w:tc>
          <w:tcPr>
            <w:tcW w:w="100" w:type="dxa"/>
            <w:vAlign w:val="bottom"/>
            <w:tcBorders>
              <w:bottom w:val="single" w:sz="8" w:color="E6EEFF"/>
            </w:tcBorders>
            <w:shd w:val="clear" w:color="auto" w:fill="E6EEFF"/>
          </w:tcPr>
          <w:p>
            <w:pPr>
              <w:spacing w:after="0"/>
              <w:rPr>
                <w:sz w:val="17"/>
                <w:szCs w:val="17"/>
                <w:color w:val="auto"/>
              </w:rPr>
            </w:pPr>
          </w:p>
        </w:tc>
        <w:tc>
          <w:tcPr>
            <w:tcW w:w="12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w w:val="78"/>
              </w:rPr>
              <w:t>$</w:t>
            </w:r>
          </w:p>
        </w:tc>
        <w:tc>
          <w:tcPr>
            <w:tcW w:w="90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3,874,757</w:t>
            </w:r>
          </w:p>
        </w:tc>
        <w:tc>
          <w:tcPr>
            <w:tcW w:w="80" w:type="dxa"/>
            <w:vAlign w:val="bottom"/>
            <w:tcBorders>
              <w:bottom w:val="single" w:sz="8" w:color="E6EEFF"/>
            </w:tcBorders>
            <w:shd w:val="clear" w:color="auto" w:fill="E6EEFF"/>
          </w:tcPr>
          <w:p>
            <w:pPr>
              <w:spacing w:after="0"/>
              <w:rPr>
                <w:sz w:val="17"/>
                <w:szCs w:val="17"/>
                <w:color w:val="auto"/>
              </w:rPr>
            </w:pPr>
          </w:p>
        </w:tc>
        <w:tc>
          <w:tcPr>
            <w:tcW w:w="100" w:type="dxa"/>
            <w:vAlign w:val="bottom"/>
            <w:tcBorders>
              <w:bottom w:val="single" w:sz="8" w:color="E6EEFF"/>
            </w:tcBorders>
            <w:shd w:val="clear" w:color="auto" w:fill="E6EEFF"/>
          </w:tcPr>
          <w:p>
            <w:pPr>
              <w:ind w:left="20"/>
              <w:spacing w:after="0" w:line="177" w:lineRule="exact"/>
              <w:rPr>
                <w:sz w:val="20"/>
                <w:szCs w:val="20"/>
                <w:color w:val="auto"/>
              </w:rPr>
            </w:pPr>
            <w:r>
              <w:rPr>
                <w:rFonts w:ascii="Calibri" w:cs="Calibri" w:eastAsia="Calibri" w:hAnsi="Calibri"/>
                <w:sz w:val="15"/>
                <w:szCs w:val="15"/>
                <w:color w:val="auto"/>
                <w:w w:val="78"/>
              </w:rPr>
              <w:t>$</w:t>
            </w:r>
          </w:p>
        </w:tc>
        <w:tc>
          <w:tcPr>
            <w:tcW w:w="9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(1,992,361)</w:t>
            </w:r>
          </w:p>
        </w:tc>
        <w:tc>
          <w:tcPr>
            <w:tcW w:w="80" w:type="dxa"/>
            <w:vAlign w:val="bottom"/>
            <w:tcBorders>
              <w:bottom w:val="single" w:sz="8" w:color="E6EEFF"/>
            </w:tcBorders>
            <w:shd w:val="clear" w:color="auto" w:fill="E6EEFF"/>
          </w:tcPr>
          <w:p>
            <w:pPr>
              <w:spacing w:after="0"/>
              <w:rPr>
                <w:sz w:val="17"/>
                <w:szCs w:val="17"/>
                <w:color w:val="auto"/>
              </w:rPr>
            </w:pPr>
          </w:p>
        </w:tc>
        <w:tc>
          <w:tcPr>
            <w:tcW w:w="10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w:t>
            </w:r>
          </w:p>
        </w:tc>
        <w:tc>
          <w:tcPr>
            <w:tcW w:w="9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(758,537)</w:t>
            </w:r>
          </w:p>
        </w:tc>
        <w:tc>
          <w:tcPr>
            <w:tcW w:w="80" w:type="dxa"/>
            <w:vAlign w:val="bottom"/>
            <w:tcBorders>
              <w:bottom w:val="single" w:sz="8" w:color="E6EEFF"/>
            </w:tcBorders>
            <w:shd w:val="clear" w:color="auto" w:fill="E6EEFF"/>
          </w:tcPr>
          <w:p>
            <w:pPr>
              <w:spacing w:after="0"/>
              <w:rPr>
                <w:sz w:val="17"/>
                <w:szCs w:val="17"/>
                <w:color w:val="auto"/>
              </w:rPr>
            </w:pPr>
          </w:p>
        </w:tc>
        <w:tc>
          <w:tcPr>
            <w:tcW w:w="12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w:t>
            </w:r>
          </w:p>
        </w:tc>
        <w:tc>
          <w:tcPr>
            <w:tcW w:w="10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(11,527)</w:t>
            </w:r>
          </w:p>
        </w:tc>
        <w:tc>
          <w:tcPr>
            <w:tcW w:w="100" w:type="dxa"/>
            <w:vAlign w:val="bottom"/>
            <w:tcBorders>
              <w:bottom w:val="single" w:sz="8" w:color="E6EEFF"/>
            </w:tcBorders>
            <w:shd w:val="clear" w:color="auto" w:fill="E6EEFF"/>
          </w:tcPr>
          <w:p>
            <w:pPr>
              <w:spacing w:after="0"/>
              <w:rPr>
                <w:sz w:val="17"/>
                <w:szCs w:val="17"/>
                <w:color w:val="auto"/>
              </w:rPr>
            </w:pPr>
          </w:p>
        </w:tc>
        <w:tc>
          <w:tcPr>
            <w:tcW w:w="200" w:type="dxa"/>
            <w:vAlign w:val="bottom"/>
            <w:tcBorders>
              <w:bottom w:val="single" w:sz="8" w:color="E6EEFF"/>
            </w:tcBorders>
            <w:shd w:val="clear" w:color="auto" w:fill="E6EEFF"/>
          </w:tcPr>
          <w:p>
            <w:pPr>
              <w:jc w:val="right"/>
              <w:ind w:right="2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bottom w:val="single" w:sz="8" w:color="E6EEFF"/>
            </w:tcBorders>
            <w:shd w:val="clear" w:color="auto" w:fill="E6EEFF"/>
          </w:tcPr>
          <w:p>
            <w:pPr>
              <w:jc w:val="right"/>
              <w:spacing w:after="0" w:line="177" w:lineRule="exact"/>
              <w:rPr>
                <w:sz w:val="20"/>
                <w:szCs w:val="20"/>
                <w:color w:val="auto"/>
              </w:rPr>
            </w:pPr>
            <w:r>
              <w:rPr>
                <w:rFonts w:ascii="Calibri" w:cs="Calibri" w:eastAsia="Calibri" w:hAnsi="Calibri"/>
                <w:sz w:val="15"/>
                <w:szCs w:val="15"/>
                <w:color w:val="auto"/>
              </w:rPr>
              <w:t>1,112,372</w:t>
            </w:r>
          </w:p>
        </w:tc>
        <w:tc>
          <w:tcPr>
            <w:tcW w:w="20" w:type="dxa"/>
            <w:vAlign w:val="bottom"/>
          </w:tcPr>
          <w:p>
            <w:pPr>
              <w:spacing w:after="0"/>
              <w:rPr>
                <w:sz w:val="17"/>
                <w:szCs w:val="17"/>
                <w:color w:val="auto"/>
              </w:rPr>
            </w:pPr>
          </w:p>
        </w:tc>
      </w:tr>
      <w:tr>
        <w:trPr>
          <w:trHeight w:val="177"/>
        </w:trPr>
        <w:tc>
          <w:tcPr>
            <w:tcW w:w="2380" w:type="dxa"/>
            <w:vAlign w:val="bottom"/>
          </w:tcPr>
          <w:p>
            <w:pPr>
              <w:ind w:left="120"/>
              <w:spacing w:after="0" w:line="173" w:lineRule="exact"/>
              <w:rPr>
                <w:sz w:val="20"/>
                <w:szCs w:val="20"/>
                <w:color w:val="auto"/>
              </w:rPr>
            </w:pPr>
            <w:r>
              <w:rPr>
                <w:rFonts w:ascii="Calibri" w:cs="Calibri" w:eastAsia="Calibri" w:hAnsi="Calibri"/>
                <w:sz w:val="15"/>
                <w:szCs w:val="15"/>
                <w:color w:val="auto"/>
              </w:rPr>
              <w:t>Other comprehensive income (loss)</w:t>
            </w:r>
          </w:p>
        </w:tc>
        <w:tc>
          <w:tcPr>
            <w:tcW w:w="72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ind w:left="740"/>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(67,923)</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11,527</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(56,396)</w:t>
            </w:r>
          </w:p>
        </w:tc>
        <w:tc>
          <w:tcPr>
            <w:tcW w:w="20" w:type="dxa"/>
            <w:vAlign w:val="bottom"/>
          </w:tcPr>
          <w:p>
            <w:pPr>
              <w:spacing w:after="0"/>
              <w:rPr>
                <w:sz w:val="15"/>
                <w:szCs w:val="15"/>
                <w:color w:val="auto"/>
              </w:rPr>
            </w:pPr>
          </w:p>
        </w:tc>
      </w:tr>
      <w:tr>
        <w:trPr>
          <w:trHeight w:val="22"/>
        </w:trPr>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2380" w:type="dxa"/>
            <w:vAlign w:val="bottom"/>
            <w:tcBorders>
              <w:bottom w:val="single" w:sz="8" w:color="E6EEFF"/>
            </w:tcBorders>
            <w:shd w:val="clear" w:color="auto" w:fill="E6EEFF"/>
          </w:tcPr>
          <w:p>
            <w:pPr>
              <w:ind w:left="120"/>
              <w:spacing w:after="0"/>
              <w:rPr>
                <w:sz w:val="20"/>
                <w:szCs w:val="20"/>
                <w:color w:val="auto"/>
              </w:rPr>
            </w:pPr>
            <w:r>
              <w:rPr>
                <w:rFonts w:ascii="Calibri" w:cs="Calibri" w:eastAsia="Calibri" w:hAnsi="Calibri"/>
                <w:sz w:val="15"/>
                <w:szCs w:val="15"/>
                <w:color w:val="auto"/>
              </w:rPr>
              <w:t>Issuance of common stock, net</w:t>
            </w:r>
          </w:p>
        </w:tc>
        <w:tc>
          <w:tcPr>
            <w:tcW w:w="820" w:type="dxa"/>
            <w:vAlign w:val="bottom"/>
            <w:tcBorders>
              <w:bottom w:val="single" w:sz="8" w:color="E6EEFF"/>
            </w:tcBorders>
            <w:gridSpan w:val="2"/>
            <w:shd w:val="clear" w:color="auto" w:fill="E6EEFF"/>
          </w:tcPr>
          <w:p>
            <w:pPr>
              <w:jc w:val="right"/>
              <w:ind w:right="180"/>
              <w:spacing w:after="0"/>
              <w:rPr>
                <w:sz w:val="20"/>
                <w:szCs w:val="20"/>
                <w:color w:val="auto"/>
              </w:rPr>
            </w:pPr>
            <w:r>
              <w:rPr>
                <w:rFonts w:ascii="Calibri" w:cs="Calibri" w:eastAsia="Calibri" w:hAnsi="Calibri"/>
                <w:sz w:val="15"/>
                <w:szCs w:val="15"/>
                <w:color w:val="auto"/>
              </w:rPr>
              <w:t>—</w:t>
            </w:r>
          </w:p>
        </w:tc>
        <w:tc>
          <w:tcPr>
            <w:tcW w:w="68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16,636</w:t>
            </w:r>
          </w:p>
        </w:tc>
        <w:tc>
          <w:tcPr>
            <w:tcW w:w="100" w:type="dxa"/>
            <w:vAlign w:val="bottom"/>
            <w:tcBorders>
              <w:bottom w:val="single" w:sz="8" w:color="E6EEFF"/>
            </w:tcBorders>
            <w:shd w:val="clear" w:color="auto" w:fill="E6EEFF"/>
          </w:tcPr>
          <w:p>
            <w:pPr>
              <w:spacing w:after="0"/>
              <w:rPr>
                <w:sz w:val="16"/>
                <w:szCs w:val="16"/>
                <w:color w:val="auto"/>
              </w:rPr>
            </w:pPr>
          </w:p>
        </w:tc>
        <w:tc>
          <w:tcPr>
            <w:tcW w:w="140" w:type="dxa"/>
            <w:vAlign w:val="bottom"/>
            <w:tcBorders>
              <w:bottom w:val="single" w:sz="8" w:color="E6EEFF"/>
            </w:tcBorders>
            <w:shd w:val="clear" w:color="auto" w:fill="E6EEFF"/>
          </w:tcPr>
          <w:p>
            <w:pPr>
              <w:spacing w:after="0"/>
              <w:rPr>
                <w:sz w:val="16"/>
                <w:szCs w:val="16"/>
                <w:color w:val="auto"/>
              </w:rPr>
            </w:pPr>
          </w:p>
        </w:tc>
        <w:tc>
          <w:tcPr>
            <w:tcW w:w="66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Borders>
              <w:bottom w:val="single" w:sz="8" w:color="E6EEFF"/>
            </w:tcBorders>
            <w:shd w:val="clear" w:color="auto" w:fill="E6EEFF"/>
          </w:tcPr>
          <w:p>
            <w:pPr>
              <w:spacing w:after="0"/>
              <w:rPr>
                <w:sz w:val="16"/>
                <w:szCs w:val="16"/>
                <w:color w:val="auto"/>
              </w:rPr>
            </w:pPr>
          </w:p>
        </w:tc>
        <w:tc>
          <w:tcPr>
            <w:tcW w:w="5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16</w:t>
            </w:r>
          </w:p>
        </w:tc>
        <w:tc>
          <w:tcPr>
            <w:tcW w:w="100" w:type="dxa"/>
            <w:vAlign w:val="bottom"/>
            <w:tcBorders>
              <w:bottom w:val="single" w:sz="8" w:color="E6EEFF"/>
            </w:tcBorders>
            <w:shd w:val="clear" w:color="auto" w:fill="E6EEFF"/>
          </w:tcPr>
          <w:p>
            <w:pPr>
              <w:spacing w:after="0"/>
              <w:rPr>
                <w:sz w:val="16"/>
                <w:szCs w:val="16"/>
                <w:color w:val="auto"/>
              </w:rPr>
            </w:pPr>
          </w:p>
        </w:tc>
        <w:tc>
          <w:tcPr>
            <w:tcW w:w="120" w:type="dxa"/>
            <w:vAlign w:val="bottom"/>
            <w:tcBorders>
              <w:bottom w:val="single" w:sz="8" w:color="E6EEFF"/>
            </w:tcBorders>
            <w:shd w:val="clear" w:color="auto" w:fill="E6EEFF"/>
          </w:tcPr>
          <w:p>
            <w:pPr>
              <w:spacing w:after="0"/>
              <w:rPr>
                <w:sz w:val="16"/>
                <w:szCs w:val="16"/>
                <w:color w:val="auto"/>
              </w:rPr>
            </w:pPr>
          </w:p>
        </w:tc>
        <w:tc>
          <w:tcPr>
            <w:tcW w:w="90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450,132</w:t>
            </w:r>
          </w:p>
        </w:tc>
        <w:tc>
          <w:tcPr>
            <w:tcW w:w="80" w:type="dxa"/>
            <w:vAlign w:val="bottom"/>
            <w:tcBorders>
              <w:bottom w:val="single" w:sz="8" w:color="E6EEFF"/>
            </w:tcBorders>
            <w:shd w:val="clear" w:color="auto" w:fill="E6EEFF"/>
          </w:tcPr>
          <w:p>
            <w:pPr>
              <w:spacing w:after="0"/>
              <w:rPr>
                <w:sz w:val="16"/>
                <w:szCs w:val="16"/>
                <w:color w:val="auto"/>
              </w:rPr>
            </w:pPr>
          </w:p>
        </w:tc>
        <w:tc>
          <w:tcPr>
            <w:tcW w:w="100" w:type="dxa"/>
            <w:vAlign w:val="bottom"/>
            <w:tcBorders>
              <w:bottom w:val="single" w:sz="8" w:color="E6EEFF"/>
            </w:tcBorders>
            <w:shd w:val="clear" w:color="auto" w:fill="E6EEFF"/>
          </w:tcPr>
          <w:p>
            <w:pPr>
              <w:spacing w:after="0"/>
              <w:rPr>
                <w:sz w:val="16"/>
                <w:szCs w:val="16"/>
                <w:color w:val="auto"/>
              </w:rPr>
            </w:pPr>
          </w:p>
        </w:tc>
        <w:tc>
          <w:tcPr>
            <w:tcW w:w="1020" w:type="dxa"/>
            <w:vAlign w:val="bottom"/>
            <w:tcBorders>
              <w:bottom w:val="single" w:sz="8" w:color="E6EEFF"/>
            </w:tcBorders>
            <w:gridSpan w:val="2"/>
            <w:shd w:val="clear" w:color="auto" w:fill="E6EEFF"/>
          </w:tcPr>
          <w:p>
            <w:pPr>
              <w:ind w:left="7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E6EEFF"/>
            </w:tcBorders>
            <w:shd w:val="clear" w:color="auto" w:fill="E6EEFF"/>
          </w:tcPr>
          <w:p>
            <w:pPr>
              <w:spacing w:after="0"/>
              <w:rPr>
                <w:sz w:val="16"/>
                <w:szCs w:val="16"/>
                <w:color w:val="auto"/>
              </w:rPr>
            </w:pPr>
          </w:p>
        </w:tc>
        <w:tc>
          <w:tcPr>
            <w:tcW w:w="1020" w:type="dxa"/>
            <w:vAlign w:val="bottom"/>
            <w:tcBorders>
              <w:bottom w:val="single" w:sz="8" w:color="E6EEFF"/>
            </w:tcBorders>
            <w:gridSpan w:val="2"/>
            <w:shd w:val="clear" w:color="auto" w:fill="E6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E6EEFF"/>
            </w:tcBorders>
            <w:shd w:val="clear" w:color="auto" w:fill="E6EEFF"/>
          </w:tcPr>
          <w:p>
            <w:pPr>
              <w:spacing w:after="0"/>
              <w:rPr>
                <w:sz w:val="16"/>
                <w:szCs w:val="16"/>
                <w:color w:val="auto"/>
              </w:rPr>
            </w:pPr>
          </w:p>
        </w:tc>
        <w:tc>
          <w:tcPr>
            <w:tcW w:w="114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E6EEFF"/>
            </w:tcBorders>
            <w:shd w:val="clear" w:color="auto" w:fill="E6EEFF"/>
          </w:tcPr>
          <w:p>
            <w:pPr>
              <w:spacing w:after="0"/>
              <w:rPr>
                <w:sz w:val="16"/>
                <w:szCs w:val="16"/>
                <w:color w:val="auto"/>
              </w:rPr>
            </w:pPr>
          </w:p>
        </w:tc>
        <w:tc>
          <w:tcPr>
            <w:tcW w:w="8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450,148</w:t>
            </w:r>
          </w:p>
        </w:tc>
        <w:tc>
          <w:tcPr>
            <w:tcW w:w="20" w:type="dxa"/>
            <w:vAlign w:val="bottom"/>
          </w:tcPr>
          <w:p>
            <w:pPr>
              <w:spacing w:after="0"/>
              <w:rPr>
                <w:sz w:val="16"/>
                <w:szCs w:val="16"/>
                <w:color w:val="auto"/>
              </w:rPr>
            </w:pPr>
          </w:p>
        </w:tc>
      </w:tr>
      <w:tr>
        <w:trPr>
          <w:trHeight w:val="150"/>
        </w:trPr>
        <w:tc>
          <w:tcPr>
            <w:tcW w:w="2380" w:type="dxa"/>
            <w:vAlign w:val="bottom"/>
          </w:tcPr>
          <w:p>
            <w:pPr>
              <w:ind w:left="120"/>
              <w:spacing w:after="0" w:line="151" w:lineRule="exact"/>
              <w:rPr>
                <w:sz w:val="20"/>
                <w:szCs w:val="20"/>
                <w:color w:val="auto"/>
              </w:rPr>
            </w:pPr>
            <w:r>
              <w:rPr>
                <w:rFonts w:ascii="Calibri" w:cs="Calibri" w:eastAsia="Calibri" w:hAnsi="Calibri"/>
                <w:sz w:val="15"/>
                <w:szCs w:val="15"/>
                <w:color w:val="auto"/>
              </w:rPr>
              <w:t>Stock based compensaton, net of</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2380" w:type="dxa"/>
            <w:vAlign w:val="bottom"/>
          </w:tcPr>
          <w:p>
            <w:pPr>
              <w:ind w:left="120"/>
              <w:spacing w:after="0"/>
              <w:rPr>
                <w:sz w:val="20"/>
                <w:szCs w:val="20"/>
                <w:color w:val="auto"/>
              </w:rPr>
            </w:pPr>
            <w:r>
              <w:rPr>
                <w:rFonts w:ascii="Calibri" w:cs="Calibri" w:eastAsia="Calibri" w:hAnsi="Calibri"/>
                <w:sz w:val="15"/>
                <w:szCs w:val="15"/>
                <w:color w:val="auto"/>
              </w:rPr>
              <w:t>withholding requirements</w:t>
            </w:r>
          </w:p>
        </w:tc>
        <w:tc>
          <w:tcPr>
            <w:tcW w:w="82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3,201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3,201</w:t>
            </w:r>
          </w:p>
        </w:tc>
        <w:tc>
          <w:tcPr>
            <w:tcW w:w="20" w:type="dxa"/>
            <w:vAlign w:val="bottom"/>
          </w:tcPr>
          <w:p>
            <w:pPr>
              <w:spacing w:after="0"/>
              <w:rPr>
                <w:sz w:val="16"/>
                <w:szCs w:val="16"/>
                <w:color w:val="auto"/>
              </w:rPr>
            </w:pPr>
          </w:p>
        </w:tc>
      </w:tr>
      <w:tr>
        <w:trPr>
          <w:trHeight w:val="26"/>
        </w:trPr>
        <w:tc>
          <w:tcPr>
            <w:tcW w:w="2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2380" w:type="dxa"/>
            <w:vAlign w:val="bottom"/>
            <w:tcBorders>
              <w:bottom w:val="single" w:sz="8" w:color="E6EEFF"/>
            </w:tcBorders>
            <w:shd w:val="clear" w:color="auto" w:fill="E6EEFF"/>
          </w:tcPr>
          <w:p>
            <w:pPr>
              <w:ind w:left="100"/>
              <w:spacing w:after="0"/>
              <w:rPr>
                <w:sz w:val="20"/>
                <w:szCs w:val="20"/>
                <w:color w:val="auto"/>
              </w:rPr>
            </w:pPr>
            <w:r>
              <w:rPr>
                <w:rFonts w:ascii="Calibri" w:cs="Calibri" w:eastAsia="Calibri" w:hAnsi="Calibri"/>
                <w:sz w:val="15"/>
                <w:szCs w:val="15"/>
                <w:color w:val="auto"/>
              </w:rPr>
              <w:t>Common stock repurchased</w:t>
            </w:r>
          </w:p>
        </w:tc>
        <w:tc>
          <w:tcPr>
            <w:tcW w:w="820" w:type="dxa"/>
            <w:vAlign w:val="bottom"/>
            <w:tcBorders>
              <w:bottom w:val="single" w:sz="8" w:color="E6EEFF"/>
            </w:tcBorders>
            <w:gridSpan w:val="2"/>
            <w:shd w:val="clear" w:color="auto" w:fill="E6EEFF"/>
          </w:tcPr>
          <w:p>
            <w:pPr>
              <w:jc w:val="right"/>
              <w:ind w:right="180"/>
              <w:spacing w:after="0"/>
              <w:rPr>
                <w:sz w:val="20"/>
                <w:szCs w:val="20"/>
                <w:color w:val="auto"/>
              </w:rPr>
            </w:pPr>
            <w:r>
              <w:rPr>
                <w:rFonts w:ascii="Calibri" w:cs="Calibri" w:eastAsia="Calibri" w:hAnsi="Calibri"/>
                <w:sz w:val="15"/>
                <w:szCs w:val="15"/>
                <w:color w:val="auto"/>
              </w:rPr>
              <w:t>—</w:t>
            </w:r>
          </w:p>
        </w:tc>
        <w:tc>
          <w:tcPr>
            <w:tcW w:w="68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(477)</w:t>
            </w:r>
          </w:p>
        </w:tc>
        <w:tc>
          <w:tcPr>
            <w:tcW w:w="100" w:type="dxa"/>
            <w:vAlign w:val="bottom"/>
            <w:tcBorders>
              <w:bottom w:val="single" w:sz="8" w:color="E6EEFF"/>
            </w:tcBorders>
            <w:shd w:val="clear" w:color="auto" w:fill="E6EEFF"/>
          </w:tcPr>
          <w:p>
            <w:pPr>
              <w:spacing w:after="0"/>
              <w:rPr>
                <w:sz w:val="16"/>
                <w:szCs w:val="16"/>
                <w:color w:val="auto"/>
              </w:rPr>
            </w:pPr>
          </w:p>
        </w:tc>
        <w:tc>
          <w:tcPr>
            <w:tcW w:w="140" w:type="dxa"/>
            <w:vAlign w:val="bottom"/>
            <w:tcBorders>
              <w:bottom w:val="single" w:sz="8" w:color="E6EEFF"/>
            </w:tcBorders>
            <w:shd w:val="clear" w:color="auto" w:fill="E6EEFF"/>
          </w:tcPr>
          <w:p>
            <w:pPr>
              <w:spacing w:after="0"/>
              <w:rPr>
                <w:sz w:val="16"/>
                <w:szCs w:val="16"/>
                <w:color w:val="auto"/>
              </w:rPr>
            </w:pPr>
          </w:p>
        </w:tc>
        <w:tc>
          <w:tcPr>
            <w:tcW w:w="66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Borders>
              <w:bottom w:val="single" w:sz="8" w:color="E6EEFF"/>
            </w:tcBorders>
            <w:shd w:val="clear" w:color="auto" w:fill="E6EEFF"/>
          </w:tcPr>
          <w:p>
            <w:pPr>
              <w:spacing w:after="0"/>
              <w:rPr>
                <w:sz w:val="16"/>
                <w:szCs w:val="16"/>
                <w:color w:val="auto"/>
              </w:rPr>
            </w:pPr>
          </w:p>
        </w:tc>
        <w:tc>
          <w:tcPr>
            <w:tcW w:w="64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E6EEFF"/>
            </w:tcBorders>
            <w:shd w:val="clear" w:color="auto" w:fill="E6EEFF"/>
          </w:tcPr>
          <w:p>
            <w:pPr>
              <w:spacing w:after="0"/>
              <w:rPr>
                <w:sz w:val="16"/>
                <w:szCs w:val="16"/>
                <w:color w:val="auto"/>
              </w:rPr>
            </w:pPr>
          </w:p>
        </w:tc>
        <w:tc>
          <w:tcPr>
            <w:tcW w:w="90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(9,935)</w:t>
            </w:r>
          </w:p>
        </w:tc>
        <w:tc>
          <w:tcPr>
            <w:tcW w:w="80" w:type="dxa"/>
            <w:vAlign w:val="bottom"/>
            <w:tcBorders>
              <w:bottom w:val="single" w:sz="8" w:color="E6EEFF"/>
            </w:tcBorders>
            <w:shd w:val="clear" w:color="auto" w:fill="E6EEFF"/>
          </w:tcPr>
          <w:p>
            <w:pPr>
              <w:spacing w:after="0"/>
              <w:rPr>
                <w:sz w:val="16"/>
                <w:szCs w:val="16"/>
                <w:color w:val="auto"/>
              </w:rPr>
            </w:pPr>
          </w:p>
        </w:tc>
        <w:tc>
          <w:tcPr>
            <w:tcW w:w="100" w:type="dxa"/>
            <w:vAlign w:val="bottom"/>
            <w:tcBorders>
              <w:bottom w:val="single" w:sz="8" w:color="E6EEFF"/>
            </w:tcBorders>
            <w:shd w:val="clear" w:color="auto" w:fill="E6EEFF"/>
          </w:tcPr>
          <w:p>
            <w:pPr>
              <w:spacing w:after="0"/>
              <w:rPr>
                <w:sz w:val="16"/>
                <w:szCs w:val="16"/>
                <w:color w:val="auto"/>
              </w:rPr>
            </w:pPr>
          </w:p>
        </w:tc>
        <w:tc>
          <w:tcPr>
            <w:tcW w:w="1020" w:type="dxa"/>
            <w:vAlign w:val="bottom"/>
            <w:tcBorders>
              <w:bottom w:val="single" w:sz="8" w:color="E6EEFF"/>
            </w:tcBorders>
            <w:gridSpan w:val="2"/>
            <w:shd w:val="clear" w:color="auto" w:fill="E6EEFF"/>
          </w:tcPr>
          <w:p>
            <w:pPr>
              <w:ind w:left="7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E6EEFF"/>
            </w:tcBorders>
            <w:shd w:val="clear" w:color="auto" w:fill="E6EEFF"/>
          </w:tcPr>
          <w:p>
            <w:pPr>
              <w:spacing w:after="0"/>
              <w:rPr>
                <w:sz w:val="16"/>
                <w:szCs w:val="16"/>
                <w:color w:val="auto"/>
              </w:rPr>
            </w:pPr>
          </w:p>
        </w:tc>
        <w:tc>
          <w:tcPr>
            <w:tcW w:w="1020" w:type="dxa"/>
            <w:vAlign w:val="bottom"/>
            <w:tcBorders>
              <w:bottom w:val="single" w:sz="8" w:color="E6EEFF"/>
            </w:tcBorders>
            <w:gridSpan w:val="2"/>
            <w:shd w:val="clear" w:color="auto" w:fill="E6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E6EEFF"/>
            </w:tcBorders>
            <w:shd w:val="clear" w:color="auto" w:fill="E6EEFF"/>
          </w:tcPr>
          <w:p>
            <w:pPr>
              <w:spacing w:after="0"/>
              <w:rPr>
                <w:sz w:val="16"/>
                <w:szCs w:val="16"/>
                <w:color w:val="auto"/>
              </w:rPr>
            </w:pPr>
          </w:p>
        </w:tc>
        <w:tc>
          <w:tcPr>
            <w:tcW w:w="114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E6EEFF"/>
            </w:tcBorders>
            <w:shd w:val="clear" w:color="auto" w:fill="E6EEFF"/>
          </w:tcPr>
          <w:p>
            <w:pPr>
              <w:spacing w:after="0"/>
              <w:rPr>
                <w:sz w:val="16"/>
                <w:szCs w:val="16"/>
                <w:color w:val="auto"/>
              </w:rPr>
            </w:pPr>
          </w:p>
        </w:tc>
        <w:tc>
          <w:tcPr>
            <w:tcW w:w="8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(9,935)</w:t>
            </w:r>
          </w:p>
        </w:tc>
        <w:tc>
          <w:tcPr>
            <w:tcW w:w="20" w:type="dxa"/>
            <w:vAlign w:val="bottom"/>
          </w:tcPr>
          <w:p>
            <w:pPr>
              <w:spacing w:after="0"/>
              <w:rPr>
                <w:sz w:val="16"/>
                <w:szCs w:val="16"/>
                <w:color w:val="auto"/>
              </w:rPr>
            </w:pPr>
          </w:p>
        </w:tc>
      </w:tr>
      <w:tr>
        <w:trPr>
          <w:trHeight w:val="184"/>
        </w:trPr>
        <w:tc>
          <w:tcPr>
            <w:tcW w:w="2380" w:type="dxa"/>
            <w:vAlign w:val="bottom"/>
          </w:tcPr>
          <w:p>
            <w:pPr>
              <w:ind w:left="120"/>
              <w:spacing w:after="0"/>
              <w:rPr>
                <w:sz w:val="20"/>
                <w:szCs w:val="20"/>
                <w:color w:val="auto"/>
              </w:rPr>
            </w:pPr>
            <w:r>
              <w:rPr>
                <w:rFonts w:ascii="Calibri" w:cs="Calibri" w:eastAsia="Calibri" w:hAnsi="Calibri"/>
                <w:sz w:val="15"/>
                <w:szCs w:val="15"/>
                <w:color w:val="auto"/>
              </w:rPr>
              <w:t>Preferred stock dividends</w:t>
            </w:r>
          </w:p>
        </w:tc>
        <w:tc>
          <w:tcPr>
            <w:tcW w:w="82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w:t>
            </w:r>
          </w:p>
        </w:tc>
        <w:tc>
          <w:tcPr>
            <w:tcW w:w="78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(11,982)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(11,982)</w:t>
            </w:r>
          </w:p>
        </w:tc>
        <w:tc>
          <w:tcPr>
            <w:tcW w:w="20" w:type="dxa"/>
            <w:vAlign w:val="bottom"/>
          </w:tcPr>
          <w:p>
            <w:pPr>
              <w:spacing w:after="0"/>
              <w:rPr>
                <w:sz w:val="16"/>
                <w:szCs w:val="16"/>
                <w:color w:val="auto"/>
              </w:rPr>
            </w:pPr>
          </w:p>
        </w:tc>
      </w:tr>
      <w:tr>
        <w:trPr>
          <w:trHeight w:val="22"/>
        </w:trPr>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380" w:type="dxa"/>
            <w:vAlign w:val="bottom"/>
            <w:tcBorders>
              <w:bottom w:val="single" w:sz="8" w:color="E6EEFF"/>
            </w:tcBorders>
            <w:shd w:val="clear" w:color="auto" w:fill="E6EEFF"/>
          </w:tcPr>
          <w:p>
            <w:pPr>
              <w:ind w:left="120"/>
              <w:spacing w:after="0"/>
              <w:rPr>
                <w:sz w:val="20"/>
                <w:szCs w:val="20"/>
                <w:color w:val="auto"/>
              </w:rPr>
            </w:pPr>
            <w:r>
              <w:rPr>
                <w:rFonts w:ascii="Calibri" w:cs="Calibri" w:eastAsia="Calibri" w:hAnsi="Calibri"/>
                <w:sz w:val="15"/>
                <w:szCs w:val="15"/>
                <w:color w:val="auto"/>
              </w:rPr>
              <w:t>Common stock dividends</w:t>
            </w:r>
          </w:p>
        </w:tc>
        <w:tc>
          <w:tcPr>
            <w:tcW w:w="820" w:type="dxa"/>
            <w:vAlign w:val="bottom"/>
            <w:tcBorders>
              <w:bottom w:val="single" w:sz="8" w:color="E6EEFF"/>
            </w:tcBorders>
            <w:gridSpan w:val="2"/>
            <w:shd w:val="clear" w:color="auto" w:fill="E6EEFF"/>
          </w:tcPr>
          <w:p>
            <w:pPr>
              <w:jc w:val="right"/>
              <w:ind w:right="180"/>
              <w:spacing w:after="0"/>
              <w:rPr>
                <w:sz w:val="20"/>
                <w:szCs w:val="20"/>
                <w:color w:val="auto"/>
              </w:rPr>
            </w:pPr>
            <w:r>
              <w:rPr>
                <w:rFonts w:ascii="Calibri" w:cs="Calibri" w:eastAsia="Calibri" w:hAnsi="Calibri"/>
                <w:sz w:val="15"/>
                <w:szCs w:val="15"/>
                <w:color w:val="auto"/>
              </w:rPr>
              <w:t>—</w:t>
            </w:r>
          </w:p>
        </w:tc>
        <w:tc>
          <w:tcPr>
            <w:tcW w:w="78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Borders>
              <w:bottom w:val="single" w:sz="8" w:color="E6EEFF"/>
            </w:tcBorders>
            <w:shd w:val="clear" w:color="auto" w:fill="E6EEFF"/>
          </w:tcPr>
          <w:p>
            <w:pPr>
              <w:spacing w:after="0"/>
              <w:rPr>
                <w:sz w:val="17"/>
                <w:szCs w:val="17"/>
                <w:color w:val="auto"/>
              </w:rPr>
            </w:pPr>
          </w:p>
        </w:tc>
        <w:tc>
          <w:tcPr>
            <w:tcW w:w="66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40" w:type="dxa"/>
            <w:vAlign w:val="bottom"/>
            <w:tcBorders>
              <w:bottom w:val="single" w:sz="8" w:color="E6EEFF"/>
            </w:tcBorders>
            <w:shd w:val="clear" w:color="auto" w:fill="E6EEFF"/>
          </w:tcPr>
          <w:p>
            <w:pPr>
              <w:spacing w:after="0"/>
              <w:rPr>
                <w:sz w:val="17"/>
                <w:szCs w:val="17"/>
                <w:color w:val="auto"/>
              </w:rPr>
            </w:pPr>
          </w:p>
        </w:tc>
        <w:tc>
          <w:tcPr>
            <w:tcW w:w="64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E6EEFF"/>
            </w:tcBorders>
            <w:shd w:val="clear" w:color="auto" w:fill="E6EEFF"/>
          </w:tcPr>
          <w:p>
            <w:pPr>
              <w:spacing w:after="0"/>
              <w:rPr>
                <w:sz w:val="17"/>
                <w:szCs w:val="17"/>
                <w:color w:val="auto"/>
              </w:rPr>
            </w:pPr>
          </w:p>
        </w:tc>
        <w:tc>
          <w:tcPr>
            <w:tcW w:w="980" w:type="dxa"/>
            <w:vAlign w:val="bottom"/>
            <w:tcBorders>
              <w:bottom w:val="single" w:sz="8" w:color="E6EEFF"/>
            </w:tcBorders>
            <w:gridSpan w:val="2"/>
            <w:shd w:val="clear" w:color="auto" w:fill="E6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E6EEFF"/>
            </w:tcBorders>
            <w:shd w:val="clear" w:color="auto" w:fill="E6EEFF"/>
          </w:tcPr>
          <w:p>
            <w:pPr>
              <w:spacing w:after="0"/>
              <w:rPr>
                <w:sz w:val="17"/>
                <w:szCs w:val="17"/>
                <w:color w:val="auto"/>
              </w:rPr>
            </w:pPr>
          </w:p>
        </w:tc>
        <w:tc>
          <w:tcPr>
            <w:tcW w:w="9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(216,224)</w:t>
            </w:r>
          </w:p>
        </w:tc>
        <w:tc>
          <w:tcPr>
            <w:tcW w:w="80" w:type="dxa"/>
            <w:vAlign w:val="bottom"/>
            <w:tcBorders>
              <w:bottom w:val="single" w:sz="8" w:color="E6EEFF"/>
            </w:tcBorders>
            <w:shd w:val="clear" w:color="auto" w:fill="E6EEFF"/>
          </w:tcPr>
          <w:p>
            <w:pPr>
              <w:spacing w:after="0"/>
              <w:rPr>
                <w:sz w:val="17"/>
                <w:szCs w:val="17"/>
                <w:color w:val="auto"/>
              </w:rPr>
            </w:pPr>
          </w:p>
        </w:tc>
        <w:tc>
          <w:tcPr>
            <w:tcW w:w="100" w:type="dxa"/>
            <w:vAlign w:val="bottom"/>
            <w:tcBorders>
              <w:bottom w:val="single" w:sz="8" w:color="E6EEFF"/>
            </w:tcBorders>
            <w:shd w:val="clear" w:color="auto" w:fill="E6EEFF"/>
          </w:tcPr>
          <w:p>
            <w:pPr>
              <w:spacing w:after="0"/>
              <w:rPr>
                <w:sz w:val="17"/>
                <w:szCs w:val="17"/>
                <w:color w:val="auto"/>
              </w:rPr>
            </w:pPr>
          </w:p>
        </w:tc>
        <w:tc>
          <w:tcPr>
            <w:tcW w:w="1020" w:type="dxa"/>
            <w:vAlign w:val="bottom"/>
            <w:tcBorders>
              <w:bottom w:val="single" w:sz="8" w:color="E6EEFF"/>
            </w:tcBorders>
            <w:gridSpan w:val="2"/>
            <w:shd w:val="clear" w:color="auto" w:fill="E6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E6EEFF"/>
            </w:tcBorders>
            <w:shd w:val="clear" w:color="auto" w:fill="E6EEFF"/>
          </w:tcPr>
          <w:p>
            <w:pPr>
              <w:spacing w:after="0"/>
              <w:rPr>
                <w:sz w:val="17"/>
                <w:szCs w:val="17"/>
                <w:color w:val="auto"/>
              </w:rPr>
            </w:pPr>
          </w:p>
        </w:tc>
        <w:tc>
          <w:tcPr>
            <w:tcW w:w="1140" w:type="dxa"/>
            <w:vAlign w:val="bottom"/>
            <w:tcBorders>
              <w:bottom w:val="single" w:sz="8" w:color="E6EEFF"/>
            </w:tcBorders>
            <w:gridSpan w:val="2"/>
            <w:shd w:val="clear" w:color="auto" w:fill="E6EEFF"/>
          </w:tcPr>
          <w:p>
            <w:pPr>
              <w:jc w:val="right"/>
              <w:ind w:right="16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E6EEFF"/>
            </w:tcBorders>
            <w:shd w:val="clear" w:color="auto" w:fill="E6EEFF"/>
          </w:tcPr>
          <w:p>
            <w:pPr>
              <w:spacing w:after="0"/>
              <w:rPr>
                <w:sz w:val="17"/>
                <w:szCs w:val="17"/>
                <w:color w:val="auto"/>
              </w:rPr>
            </w:pPr>
          </w:p>
        </w:tc>
        <w:tc>
          <w:tcPr>
            <w:tcW w:w="8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5"/>
                <w:szCs w:val="15"/>
                <w:color w:val="auto"/>
              </w:rPr>
              <w:t>(216,224)</w:t>
            </w:r>
          </w:p>
        </w:tc>
        <w:tc>
          <w:tcPr>
            <w:tcW w:w="20" w:type="dxa"/>
            <w:vAlign w:val="bottom"/>
          </w:tcPr>
          <w:p>
            <w:pPr>
              <w:spacing w:after="0"/>
              <w:rPr>
                <w:sz w:val="17"/>
                <w:szCs w:val="17"/>
                <w:color w:val="auto"/>
              </w:rPr>
            </w:pPr>
          </w:p>
        </w:tc>
      </w:tr>
      <w:tr>
        <w:trPr>
          <w:trHeight w:val="199"/>
        </w:trPr>
        <w:tc>
          <w:tcPr>
            <w:tcW w:w="2380" w:type="dxa"/>
            <w:vAlign w:val="bottom"/>
          </w:tcPr>
          <w:p>
            <w:pPr>
              <w:ind w:left="80"/>
              <w:spacing w:after="0"/>
              <w:rPr>
                <w:sz w:val="20"/>
                <w:szCs w:val="20"/>
                <w:color w:val="auto"/>
              </w:rPr>
            </w:pPr>
            <w:r>
              <w:rPr>
                <w:rFonts w:ascii="Calibri" w:cs="Calibri" w:eastAsia="Calibri" w:hAnsi="Calibri"/>
                <w:sz w:val="15"/>
                <w:szCs w:val="15"/>
                <w:b w:val="1"/>
                <w:bCs w:val="1"/>
                <w:color w:val="1C4787"/>
              </w:rPr>
              <w:t>Balance, December 31, 2023</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Calibri" w:cs="Calibri" w:eastAsia="Calibri" w:hAnsi="Calibri"/>
                <w:sz w:val="15"/>
                <w:szCs w:val="15"/>
                <w:color w:val="auto"/>
              </w:rPr>
              <w:t>6,847</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48,799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49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w w:val="7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4,318,155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Calibri" w:cs="Calibri" w:eastAsia="Calibri" w:hAnsi="Calibri"/>
                <w:sz w:val="15"/>
                <w:szCs w:val="15"/>
                <w:color w:val="auto"/>
                <w:w w:val="7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(2,220,567)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(826,460)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1,271,184</w:t>
            </w:r>
          </w:p>
        </w:tc>
        <w:tc>
          <w:tcPr>
            <w:tcW w:w="20" w:type="dxa"/>
            <w:vAlign w:val="bottom"/>
          </w:tcPr>
          <w:p>
            <w:pPr>
              <w:spacing w:after="0"/>
              <w:rPr>
                <w:sz w:val="17"/>
                <w:szCs w:val="17"/>
                <w:color w:val="auto"/>
              </w:rPr>
            </w:pPr>
          </w:p>
        </w:tc>
      </w:tr>
      <w:tr>
        <w:trPr>
          <w:trHeight w:val="20"/>
        </w:trPr>
        <w:tc>
          <w:tcPr>
            <w:tcW w:w="2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80"/>
        <w:spacing w:after="0"/>
        <w:rPr>
          <w:sz w:val="20"/>
          <w:szCs w:val="20"/>
          <w:color w:val="auto"/>
        </w:rPr>
      </w:pPr>
      <w:r>
        <w:rPr>
          <w:rFonts w:ascii="Calibri" w:cs="Calibri" w:eastAsia="Calibri" w:hAnsi="Calibri"/>
          <w:sz w:val="15"/>
          <w:szCs w:val="15"/>
          <w:color w:val="auto"/>
        </w:rPr>
        <w:t>See fnancial statement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1158875</wp:posOffset>
            </wp:positionV>
            <wp:extent cx="716407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434975</wp:posOffset>
            </wp:positionV>
            <wp:extent cx="458470" cy="5073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20"/>
          </w:cols>
          <w:pgMar w:left="340" w:top="508" w:right="339" w:bottom="1440" w:gutter="0" w:footer="0" w:header="0"/>
        </w:sectPr>
      </w:pPr>
    </w:p>
    <w:bookmarkStart w:id="82" w:name="page83"/>
    <w:bookmarkEnd w:id="82"/>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CONSOLIDATED STATEMENTS OF CASH FLOWS</w:t>
      </w:r>
    </w:p>
    <w:p>
      <w:pPr>
        <w:spacing w:after="0" w:line="8" w:lineRule="exact"/>
        <w:rPr>
          <w:sz w:val="20"/>
          <w:szCs w:val="20"/>
          <w:color w:val="auto"/>
        </w:rPr>
      </w:pPr>
    </w:p>
    <w:p>
      <w:pPr>
        <w:ind w:left="4760"/>
        <w:spacing w:after="0"/>
        <w:rPr>
          <w:sz w:val="20"/>
          <w:szCs w:val="20"/>
          <w:color w:val="auto"/>
        </w:rPr>
      </w:pPr>
      <w:r>
        <w:rPr>
          <w:rFonts w:ascii="Calibri" w:cs="Calibri" w:eastAsia="Calibri" w:hAnsi="Calibri"/>
          <w:sz w:val="17"/>
          <w:szCs w:val="17"/>
          <w:color w:val="1C4787"/>
        </w:rPr>
        <w:t>(U.S. dollar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Calibri" w:cs="Calibri" w:eastAsia="Calibri" w:hAnsi="Calibri"/>
                <w:sz w:val="17"/>
                <w:szCs w:val="17"/>
                <w:color w:val="1C4787"/>
              </w:rPr>
              <w:t>81</w:t>
            </w:r>
          </w:p>
        </w:tc>
      </w:tr>
      <w:tr>
        <w:trPr>
          <w:trHeight w:val="628"/>
        </w:trPr>
        <w:tc>
          <w:tcPr>
            <w:tcW w:w="6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6520" w:type="dxa"/>
            <w:vAlign w:val="bottom"/>
            <w:shd w:val="clear" w:color="auto" w:fill="E6EEFF"/>
          </w:tcPr>
          <w:p>
            <w:pPr>
              <w:spacing w:after="0"/>
              <w:rPr>
                <w:sz w:val="18"/>
                <w:szCs w:val="18"/>
                <w:color w:val="auto"/>
              </w:rPr>
            </w:pPr>
          </w:p>
        </w:tc>
        <w:tc>
          <w:tcPr>
            <w:tcW w:w="360" w:type="dxa"/>
            <w:vAlign w:val="bottom"/>
            <w:tcBorders>
              <w:bottom w:val="single" w:sz="8" w:color="auto"/>
            </w:tcBorders>
            <w:shd w:val="clear" w:color="auto" w:fill="E6EEFF"/>
          </w:tcPr>
          <w:p>
            <w:pPr>
              <w:spacing w:after="0"/>
              <w:rPr>
                <w:sz w:val="18"/>
                <w:szCs w:val="18"/>
                <w:color w:val="auto"/>
              </w:rPr>
            </w:pPr>
          </w:p>
        </w:tc>
        <w:tc>
          <w:tcPr>
            <w:tcW w:w="1140" w:type="dxa"/>
            <w:vAlign w:val="bottom"/>
            <w:tcBorders>
              <w:bottom w:val="single" w:sz="8" w:color="auto"/>
            </w:tcBorders>
            <w:shd w:val="clear" w:color="auto" w:fill="E6EEFF"/>
          </w:tcPr>
          <w:p>
            <w:pPr>
              <w:spacing w:after="0"/>
              <w:rPr>
                <w:sz w:val="18"/>
                <w:szCs w:val="18"/>
                <w:color w:val="auto"/>
              </w:rPr>
            </w:pPr>
          </w:p>
        </w:tc>
        <w:tc>
          <w:tcPr>
            <w:tcW w:w="120" w:type="dxa"/>
            <w:vAlign w:val="bottom"/>
            <w:tcBorders>
              <w:bottom w:val="single" w:sz="8" w:color="auto"/>
            </w:tcBorders>
            <w:shd w:val="clear" w:color="auto" w:fill="E6EEFF"/>
          </w:tcPr>
          <w:p>
            <w:pPr>
              <w:spacing w:after="0"/>
              <w:rPr>
                <w:sz w:val="18"/>
                <w:szCs w:val="18"/>
                <w:color w:val="auto"/>
              </w:rPr>
            </w:pPr>
          </w:p>
        </w:tc>
        <w:tc>
          <w:tcPr>
            <w:tcW w:w="1600" w:type="dxa"/>
            <w:vAlign w:val="bottom"/>
            <w:tcBorders>
              <w:bottom w:val="single" w:sz="8" w:color="auto"/>
            </w:tcBorders>
            <w:gridSpan w:val="3"/>
            <w:shd w:val="clear" w:color="auto" w:fill="E6EEFF"/>
          </w:tcPr>
          <w:p>
            <w:pPr>
              <w:ind w:left="60"/>
              <w:spacing w:after="0" w:line="205" w:lineRule="exact"/>
              <w:rPr>
                <w:sz w:val="20"/>
                <w:szCs w:val="20"/>
                <w:color w:val="auto"/>
              </w:rPr>
            </w:pPr>
            <w:r>
              <w:rPr>
                <w:rFonts w:ascii="Calibri" w:cs="Calibri" w:eastAsia="Calibri" w:hAnsi="Calibri"/>
                <w:sz w:val="17"/>
                <w:szCs w:val="17"/>
                <w:b w:val="1"/>
                <w:bCs w:val="1"/>
                <w:color w:val="1C4787"/>
              </w:rPr>
              <w:t>For the Years Ended</w:t>
            </w:r>
          </w:p>
        </w:tc>
        <w:tc>
          <w:tcPr>
            <w:tcW w:w="400" w:type="dxa"/>
            <w:vAlign w:val="bottom"/>
            <w:tcBorders>
              <w:bottom w:val="single" w:sz="8" w:color="auto"/>
            </w:tcBorders>
            <w:shd w:val="clear" w:color="auto" w:fill="E6EEFF"/>
          </w:tcPr>
          <w:p>
            <w:pPr>
              <w:spacing w:after="0"/>
              <w:rPr>
                <w:sz w:val="18"/>
                <w:szCs w:val="18"/>
                <w:color w:val="auto"/>
              </w:rPr>
            </w:pPr>
          </w:p>
        </w:tc>
        <w:tc>
          <w:tcPr>
            <w:tcW w:w="1100" w:type="dxa"/>
            <w:vAlign w:val="bottom"/>
            <w:tcBorders>
              <w:bottom w:val="single" w:sz="8" w:color="auto"/>
            </w:tcBorders>
            <w:shd w:val="clear" w:color="auto" w:fill="E6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6520" w:type="dxa"/>
            <w:vAlign w:val="bottom"/>
          </w:tcPr>
          <w:p>
            <w:pPr>
              <w:spacing w:after="0"/>
              <w:rPr>
                <w:sz w:val="18"/>
                <w:szCs w:val="18"/>
                <w:color w:val="auto"/>
              </w:rPr>
            </w:pPr>
          </w:p>
        </w:tc>
        <w:tc>
          <w:tcPr>
            <w:tcW w:w="1620" w:type="dxa"/>
            <w:vAlign w:val="bottom"/>
            <w:gridSpan w:val="3"/>
          </w:tcPr>
          <w:p>
            <w:pPr>
              <w:ind w:left="8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600" w:type="dxa"/>
            <w:vAlign w:val="bottom"/>
            <w:gridSpan w:val="3"/>
          </w:tcPr>
          <w:p>
            <w:pPr>
              <w:ind w:left="8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500" w:type="dxa"/>
            <w:vAlign w:val="bottom"/>
            <w:gridSpan w:val="2"/>
          </w:tcPr>
          <w:p>
            <w:pPr>
              <w:jc w:val="right"/>
              <w:spacing w:after="0" w:line="205" w:lineRule="exact"/>
              <w:rPr>
                <w:sz w:val="20"/>
                <w:szCs w:val="20"/>
                <w:color w:val="auto"/>
              </w:rPr>
            </w:pPr>
            <w:r>
              <w:rPr>
                <w:rFonts w:ascii="Calibri" w:cs="Calibri" w:eastAsia="Calibri" w:hAnsi="Calibri"/>
                <w:sz w:val="17"/>
                <w:szCs w:val="17"/>
                <w:b w:val="1"/>
                <w:bCs w:val="1"/>
                <w:color w:val="1C4787"/>
              </w:rPr>
              <w:t>December 31, 2021</w:t>
            </w:r>
          </w:p>
        </w:tc>
        <w:tc>
          <w:tcPr>
            <w:tcW w:w="20" w:type="dxa"/>
            <w:vAlign w:val="bottom"/>
          </w:tcPr>
          <w:p>
            <w:pPr>
              <w:spacing w:after="0"/>
              <w:rPr>
                <w:sz w:val="18"/>
                <w:szCs w:val="18"/>
                <w:color w:val="auto"/>
              </w:rPr>
            </w:pPr>
          </w:p>
        </w:tc>
      </w:tr>
      <w:tr>
        <w:trPr>
          <w:trHeight w:val="206"/>
        </w:trPr>
        <w:tc>
          <w:tcPr>
            <w:tcW w:w="6520" w:type="dxa"/>
            <w:vAlign w:val="bottom"/>
            <w:tcBorders>
              <w:top w:val="single" w:sz="8" w:color="E6EEFF"/>
            </w:tcBorders>
            <w:shd w:val="clear" w:color="auto" w:fill="E6EEFF"/>
          </w:tcPr>
          <w:p>
            <w:pPr>
              <w:ind w:left="20"/>
              <w:spacing w:after="0" w:line="192" w:lineRule="exact"/>
              <w:rPr>
                <w:sz w:val="20"/>
                <w:szCs w:val="20"/>
                <w:color w:val="auto"/>
              </w:rPr>
            </w:pPr>
            <w:r>
              <w:rPr>
                <w:rFonts w:ascii="Calibri" w:cs="Calibri" w:eastAsia="Calibri" w:hAnsi="Calibri"/>
                <w:sz w:val="17"/>
                <w:szCs w:val="17"/>
                <w:b w:val="1"/>
                <w:bCs w:val="1"/>
                <w:color w:val="1C4787"/>
              </w:rPr>
              <w:t>Cash Flows From Operatng Actvites:</w:t>
            </w:r>
          </w:p>
        </w:tc>
        <w:tc>
          <w:tcPr>
            <w:tcW w:w="360" w:type="dxa"/>
            <w:vAlign w:val="bottom"/>
            <w:tcBorders>
              <w:top w:val="single" w:sz="8" w:color="auto"/>
            </w:tcBorders>
            <w:shd w:val="clear" w:color="auto" w:fill="E6EEFF"/>
          </w:tcPr>
          <w:p>
            <w:pPr>
              <w:spacing w:after="0"/>
              <w:rPr>
                <w:sz w:val="17"/>
                <w:szCs w:val="17"/>
                <w:color w:val="auto"/>
              </w:rPr>
            </w:pPr>
          </w:p>
        </w:tc>
        <w:tc>
          <w:tcPr>
            <w:tcW w:w="1140" w:type="dxa"/>
            <w:vAlign w:val="bottom"/>
            <w:tcBorders>
              <w:top w:val="single" w:sz="8" w:color="auto"/>
            </w:tcBorders>
            <w:shd w:val="clear" w:color="auto" w:fill="E6EEFF"/>
          </w:tcPr>
          <w:p>
            <w:pPr>
              <w:spacing w:after="0"/>
              <w:rPr>
                <w:sz w:val="17"/>
                <w:szCs w:val="17"/>
                <w:color w:val="auto"/>
              </w:rPr>
            </w:pPr>
          </w:p>
        </w:tc>
        <w:tc>
          <w:tcPr>
            <w:tcW w:w="120" w:type="dxa"/>
            <w:vAlign w:val="bottom"/>
            <w:tcBorders>
              <w:top w:val="single" w:sz="8" w:color="E6EEFF"/>
            </w:tcBorders>
            <w:shd w:val="clear" w:color="auto" w:fill="E6EEFF"/>
          </w:tcPr>
          <w:p>
            <w:pPr>
              <w:spacing w:after="0"/>
              <w:rPr>
                <w:sz w:val="17"/>
                <w:szCs w:val="17"/>
                <w:color w:val="auto"/>
              </w:rPr>
            </w:pPr>
          </w:p>
        </w:tc>
        <w:tc>
          <w:tcPr>
            <w:tcW w:w="360" w:type="dxa"/>
            <w:vAlign w:val="bottom"/>
            <w:tcBorders>
              <w:top w:val="single" w:sz="8" w:color="auto"/>
            </w:tcBorders>
            <w:shd w:val="clear" w:color="auto" w:fill="E6EEFF"/>
          </w:tcPr>
          <w:p>
            <w:pPr>
              <w:spacing w:after="0"/>
              <w:rPr>
                <w:sz w:val="17"/>
                <w:szCs w:val="17"/>
                <w:color w:val="auto"/>
              </w:rPr>
            </w:pPr>
          </w:p>
        </w:tc>
        <w:tc>
          <w:tcPr>
            <w:tcW w:w="1140" w:type="dxa"/>
            <w:vAlign w:val="bottom"/>
            <w:tcBorders>
              <w:top w:val="single" w:sz="8" w:color="auto"/>
            </w:tcBorders>
            <w:shd w:val="clear" w:color="auto" w:fill="E6EEFF"/>
          </w:tcPr>
          <w:p>
            <w:pPr>
              <w:spacing w:after="0"/>
              <w:rPr>
                <w:sz w:val="17"/>
                <w:szCs w:val="17"/>
                <w:color w:val="auto"/>
              </w:rPr>
            </w:pPr>
          </w:p>
        </w:tc>
        <w:tc>
          <w:tcPr>
            <w:tcW w:w="100" w:type="dxa"/>
            <w:vAlign w:val="bottom"/>
            <w:tcBorders>
              <w:top w:val="single" w:sz="8" w:color="E6EEFF"/>
            </w:tcBorders>
            <w:shd w:val="clear" w:color="auto" w:fill="E6EEFF"/>
          </w:tcPr>
          <w:p>
            <w:pPr>
              <w:spacing w:after="0"/>
              <w:rPr>
                <w:sz w:val="17"/>
                <w:szCs w:val="17"/>
                <w:color w:val="auto"/>
              </w:rPr>
            </w:pPr>
          </w:p>
        </w:tc>
        <w:tc>
          <w:tcPr>
            <w:tcW w:w="400" w:type="dxa"/>
            <w:vAlign w:val="bottom"/>
            <w:tcBorders>
              <w:top w:val="single" w:sz="8" w:color="auto"/>
            </w:tcBorders>
            <w:shd w:val="clear" w:color="auto" w:fill="E6EEFF"/>
          </w:tcPr>
          <w:p>
            <w:pPr>
              <w:spacing w:after="0"/>
              <w:rPr>
                <w:sz w:val="17"/>
                <w:szCs w:val="17"/>
                <w:color w:val="auto"/>
              </w:rPr>
            </w:pPr>
          </w:p>
        </w:tc>
        <w:tc>
          <w:tcPr>
            <w:tcW w:w="1100" w:type="dxa"/>
            <w:vAlign w:val="bottom"/>
            <w:tcBorders>
              <w:top w:val="single" w:sz="8" w:color="auto"/>
            </w:tcBorders>
            <w:shd w:val="clear" w:color="auto" w:fill="E6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6520" w:type="dxa"/>
            <w:vAlign w:val="bottom"/>
          </w:tcPr>
          <w:p>
            <w:pPr>
              <w:ind w:left="20"/>
              <w:spacing w:after="0" w:line="205" w:lineRule="exact"/>
              <w:rPr>
                <w:sz w:val="20"/>
                <w:szCs w:val="20"/>
                <w:color w:val="auto"/>
              </w:rPr>
            </w:pPr>
            <w:r>
              <w:rPr>
                <w:rFonts w:ascii="Calibri" w:cs="Calibri" w:eastAsia="Calibri" w:hAnsi="Calibri"/>
                <w:sz w:val="17"/>
                <w:szCs w:val="17"/>
                <w:color w:val="auto"/>
              </w:rPr>
              <w:t>Net Income (Loss)</w:t>
            </w:r>
          </w:p>
        </w:tc>
        <w:tc>
          <w:tcPr>
            <w:tcW w:w="360" w:type="dxa"/>
            <w:vAlign w:val="bottom"/>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(67,923)</w:t>
            </w:r>
          </w:p>
        </w:tc>
        <w:tc>
          <w:tcPr>
            <w:tcW w:w="120" w:type="dxa"/>
            <w:vAlign w:val="bottom"/>
          </w:tcPr>
          <w:p>
            <w:pPr>
              <w:spacing w:after="0"/>
              <w:rPr>
                <w:sz w:val="18"/>
                <w:szCs w:val="18"/>
                <w:color w:val="auto"/>
              </w:rPr>
            </w:pPr>
          </w:p>
        </w:tc>
        <w:tc>
          <w:tcPr>
            <w:tcW w:w="360" w:type="dxa"/>
            <w:vAlign w:val="bottom"/>
          </w:tcPr>
          <w:p>
            <w:pPr>
              <w:jc w:val="right"/>
              <w:ind w:right="174"/>
              <w:spacing w:after="0" w:line="205" w:lineRule="exact"/>
              <w:rPr>
                <w:sz w:val="20"/>
                <w:szCs w:val="20"/>
                <w:color w:val="auto"/>
              </w:rPr>
            </w:pPr>
            <w:r>
              <w:rPr>
                <w:rFonts w:ascii="Calibri" w:cs="Calibri" w:eastAsia="Calibri" w:hAnsi="Calibri"/>
                <w:sz w:val="17"/>
                <w:szCs w:val="17"/>
                <w:color w:val="auto"/>
                <w:w w:val="92"/>
              </w:rPr>
              <w:t>$</w:t>
            </w: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(229,930)</w:t>
            </w:r>
          </w:p>
        </w:tc>
        <w:tc>
          <w:tcPr>
            <w:tcW w:w="100" w:type="dxa"/>
            <w:vAlign w:val="bottom"/>
          </w:tcPr>
          <w:p>
            <w:pPr>
              <w:spacing w:after="0"/>
              <w:rPr>
                <w:sz w:val="18"/>
                <w:szCs w:val="18"/>
                <w:color w:val="auto"/>
              </w:rPr>
            </w:pPr>
          </w:p>
        </w:tc>
        <w:tc>
          <w:tcPr>
            <w:tcW w:w="400" w:type="dxa"/>
            <w:vAlign w:val="bottom"/>
          </w:tcPr>
          <w:p>
            <w:pPr>
              <w:jc w:val="right"/>
              <w:ind w:right="194"/>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15,363</w:t>
            </w:r>
          </w:p>
        </w:tc>
        <w:tc>
          <w:tcPr>
            <w:tcW w:w="20" w:type="dxa"/>
            <w:vAlign w:val="bottom"/>
          </w:tcPr>
          <w:p>
            <w:pPr>
              <w:spacing w:after="0"/>
              <w:rPr>
                <w:sz w:val="18"/>
                <w:szCs w:val="18"/>
                <w:color w:val="auto"/>
              </w:rPr>
            </w:pPr>
          </w:p>
        </w:tc>
      </w:tr>
      <w:tr>
        <w:trPr>
          <w:trHeight w:val="179"/>
        </w:trPr>
        <w:tc>
          <w:tcPr>
            <w:tcW w:w="6520" w:type="dxa"/>
            <w:vAlign w:val="bottom"/>
            <w:shd w:val="clear" w:color="auto" w:fill="E6EEFF"/>
          </w:tcPr>
          <w:p>
            <w:pPr>
              <w:ind w:left="20"/>
              <w:spacing w:after="0" w:line="179" w:lineRule="exact"/>
              <w:rPr>
                <w:sz w:val="20"/>
                <w:szCs w:val="20"/>
                <w:color w:val="auto"/>
              </w:rPr>
            </w:pPr>
            <w:r>
              <w:rPr>
                <w:rFonts w:ascii="Calibri" w:cs="Calibri" w:eastAsia="Calibri" w:hAnsi="Calibri"/>
                <w:sz w:val="17"/>
                <w:szCs w:val="17"/>
                <w:color w:val="auto"/>
              </w:rPr>
              <w:t>Adjustments to reconcile net income (loss) to net cash and cash equivalents and cash</w:t>
            </w:r>
          </w:p>
        </w:tc>
        <w:tc>
          <w:tcPr>
            <w:tcW w:w="360" w:type="dxa"/>
            <w:vAlign w:val="bottom"/>
            <w:shd w:val="clear" w:color="auto" w:fill="E6EEFF"/>
          </w:tcPr>
          <w:p>
            <w:pPr>
              <w:spacing w:after="0"/>
              <w:rPr>
                <w:sz w:val="15"/>
                <w:szCs w:val="15"/>
                <w:color w:val="auto"/>
              </w:rPr>
            </w:pPr>
          </w:p>
        </w:tc>
        <w:tc>
          <w:tcPr>
            <w:tcW w:w="1140" w:type="dxa"/>
            <w:vAlign w:val="bottom"/>
            <w:shd w:val="clear" w:color="auto" w:fill="E6EEFF"/>
          </w:tcPr>
          <w:p>
            <w:pPr>
              <w:spacing w:after="0"/>
              <w:rPr>
                <w:sz w:val="15"/>
                <w:szCs w:val="15"/>
                <w:color w:val="auto"/>
              </w:rPr>
            </w:pPr>
          </w:p>
        </w:tc>
        <w:tc>
          <w:tcPr>
            <w:tcW w:w="120" w:type="dxa"/>
            <w:vAlign w:val="bottom"/>
            <w:shd w:val="clear" w:color="auto" w:fill="E6EEFF"/>
          </w:tcPr>
          <w:p>
            <w:pPr>
              <w:spacing w:after="0"/>
              <w:rPr>
                <w:sz w:val="15"/>
                <w:szCs w:val="15"/>
                <w:color w:val="auto"/>
              </w:rPr>
            </w:pPr>
          </w:p>
        </w:tc>
        <w:tc>
          <w:tcPr>
            <w:tcW w:w="360" w:type="dxa"/>
            <w:vAlign w:val="bottom"/>
            <w:shd w:val="clear" w:color="auto" w:fill="E6EEFF"/>
          </w:tcPr>
          <w:p>
            <w:pPr>
              <w:spacing w:after="0"/>
              <w:rPr>
                <w:sz w:val="15"/>
                <w:szCs w:val="15"/>
                <w:color w:val="auto"/>
              </w:rPr>
            </w:pPr>
          </w:p>
        </w:tc>
        <w:tc>
          <w:tcPr>
            <w:tcW w:w="1140" w:type="dxa"/>
            <w:vAlign w:val="bottom"/>
            <w:shd w:val="clear" w:color="auto" w:fill="E6EEFF"/>
          </w:tcPr>
          <w:p>
            <w:pPr>
              <w:spacing w:after="0"/>
              <w:rPr>
                <w:sz w:val="15"/>
                <w:szCs w:val="15"/>
                <w:color w:val="auto"/>
              </w:rPr>
            </w:pPr>
          </w:p>
        </w:tc>
        <w:tc>
          <w:tcPr>
            <w:tcW w:w="100" w:type="dxa"/>
            <w:vAlign w:val="bottom"/>
            <w:shd w:val="clear" w:color="auto" w:fill="E6EEFF"/>
          </w:tcPr>
          <w:p>
            <w:pPr>
              <w:spacing w:after="0"/>
              <w:rPr>
                <w:sz w:val="15"/>
                <w:szCs w:val="15"/>
                <w:color w:val="auto"/>
              </w:rPr>
            </w:pPr>
          </w:p>
        </w:tc>
        <w:tc>
          <w:tcPr>
            <w:tcW w:w="400" w:type="dxa"/>
            <w:vAlign w:val="bottom"/>
            <w:shd w:val="clear" w:color="auto" w:fill="E6EEFF"/>
          </w:tcPr>
          <w:p>
            <w:pPr>
              <w:spacing w:after="0"/>
              <w:rPr>
                <w:sz w:val="15"/>
                <w:szCs w:val="15"/>
                <w:color w:val="auto"/>
              </w:rPr>
            </w:pPr>
          </w:p>
        </w:tc>
        <w:tc>
          <w:tcPr>
            <w:tcW w:w="1100" w:type="dxa"/>
            <w:vAlign w:val="bottom"/>
            <w:shd w:val="clear" w:color="auto" w:fill="E6EEFF"/>
          </w:tcPr>
          <w:p>
            <w:pPr>
              <w:spacing w:after="0"/>
              <w:rPr>
                <w:sz w:val="15"/>
                <w:szCs w:val="15"/>
                <w:color w:val="auto"/>
              </w:rPr>
            </w:pPr>
          </w:p>
        </w:tc>
        <w:tc>
          <w:tcPr>
            <w:tcW w:w="20" w:type="dxa"/>
            <w:vAlign w:val="bottom"/>
          </w:tcPr>
          <w:p>
            <w:pPr>
              <w:spacing w:after="0"/>
              <w:rPr>
                <w:sz w:val="15"/>
                <w:szCs w:val="15"/>
                <w:color w:val="auto"/>
              </w:rPr>
            </w:pPr>
          </w:p>
        </w:tc>
      </w:tr>
      <w:tr>
        <w:trPr>
          <w:trHeight w:val="207"/>
        </w:trPr>
        <w:tc>
          <w:tcPr>
            <w:tcW w:w="6520" w:type="dxa"/>
            <w:vAlign w:val="bottom"/>
            <w:tcBorders>
              <w:bottom w:val="single" w:sz="8" w:color="E6EEFF"/>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collateral posted to counterpartes provided by operatng actvites:</w:t>
            </w:r>
          </w:p>
        </w:tc>
        <w:tc>
          <w:tcPr>
            <w:tcW w:w="360" w:type="dxa"/>
            <w:vAlign w:val="bottom"/>
            <w:tcBorders>
              <w:bottom w:val="single" w:sz="8" w:color="E6EEFF"/>
            </w:tcBorders>
            <w:shd w:val="clear" w:color="auto" w:fill="E6EEFF"/>
          </w:tcPr>
          <w:p>
            <w:pPr>
              <w:spacing w:after="0"/>
              <w:rPr>
                <w:sz w:val="18"/>
                <w:szCs w:val="18"/>
                <w:color w:val="auto"/>
              </w:rPr>
            </w:pPr>
          </w:p>
        </w:tc>
        <w:tc>
          <w:tcPr>
            <w:tcW w:w="1140" w:type="dxa"/>
            <w:vAlign w:val="bottom"/>
            <w:tcBorders>
              <w:bottom w:val="single" w:sz="8" w:color="E6EEFF"/>
            </w:tcBorders>
            <w:shd w:val="clear" w:color="auto" w:fill="E6EEFF"/>
          </w:tcPr>
          <w:p>
            <w:pPr>
              <w:spacing w:after="0"/>
              <w:rPr>
                <w:sz w:val="18"/>
                <w:szCs w:val="18"/>
                <w:color w:val="auto"/>
              </w:rPr>
            </w:pPr>
          </w:p>
        </w:tc>
        <w:tc>
          <w:tcPr>
            <w:tcW w:w="120" w:type="dxa"/>
            <w:vAlign w:val="bottom"/>
            <w:tcBorders>
              <w:bottom w:val="single" w:sz="8" w:color="E6EEFF"/>
            </w:tcBorders>
            <w:shd w:val="clear" w:color="auto" w:fill="E6EEFF"/>
          </w:tcPr>
          <w:p>
            <w:pPr>
              <w:spacing w:after="0"/>
              <w:rPr>
                <w:sz w:val="18"/>
                <w:szCs w:val="18"/>
                <w:color w:val="auto"/>
              </w:rPr>
            </w:pPr>
          </w:p>
        </w:tc>
        <w:tc>
          <w:tcPr>
            <w:tcW w:w="360" w:type="dxa"/>
            <w:vAlign w:val="bottom"/>
            <w:tcBorders>
              <w:bottom w:val="single" w:sz="8" w:color="E6EEFF"/>
            </w:tcBorders>
            <w:shd w:val="clear" w:color="auto" w:fill="E6EEFF"/>
          </w:tcPr>
          <w:p>
            <w:pPr>
              <w:spacing w:after="0"/>
              <w:rPr>
                <w:sz w:val="18"/>
                <w:szCs w:val="18"/>
                <w:color w:val="auto"/>
              </w:rPr>
            </w:pPr>
          </w:p>
        </w:tc>
        <w:tc>
          <w:tcPr>
            <w:tcW w:w="1140" w:type="dxa"/>
            <w:vAlign w:val="bottom"/>
            <w:tcBorders>
              <w:bottom w:val="single" w:sz="8" w:color="E6EEFF"/>
            </w:tcBorders>
            <w:shd w:val="clear" w:color="auto" w:fill="E6EEFF"/>
          </w:tcPr>
          <w:p>
            <w:pPr>
              <w:spacing w:after="0"/>
              <w:rPr>
                <w:sz w:val="18"/>
                <w:szCs w:val="18"/>
                <w:color w:val="auto"/>
              </w:rPr>
            </w:pPr>
          </w:p>
        </w:tc>
        <w:tc>
          <w:tcPr>
            <w:tcW w:w="100" w:type="dxa"/>
            <w:vAlign w:val="bottom"/>
            <w:tcBorders>
              <w:bottom w:val="single" w:sz="8" w:color="E6EEFF"/>
            </w:tcBorders>
            <w:shd w:val="clear" w:color="auto" w:fill="E6EEFF"/>
          </w:tcPr>
          <w:p>
            <w:pPr>
              <w:spacing w:after="0"/>
              <w:rPr>
                <w:sz w:val="18"/>
                <w:szCs w:val="18"/>
                <w:color w:val="auto"/>
              </w:rPr>
            </w:pPr>
          </w:p>
        </w:tc>
        <w:tc>
          <w:tcPr>
            <w:tcW w:w="400" w:type="dxa"/>
            <w:vAlign w:val="bottom"/>
            <w:tcBorders>
              <w:bottom w:val="single" w:sz="8" w:color="E6EEFF"/>
            </w:tcBorders>
            <w:shd w:val="clear" w:color="auto" w:fill="E6EEFF"/>
          </w:tcPr>
          <w:p>
            <w:pPr>
              <w:spacing w:after="0"/>
              <w:rPr>
                <w:sz w:val="18"/>
                <w:szCs w:val="18"/>
                <w:color w:val="auto"/>
              </w:rPr>
            </w:pPr>
          </w:p>
        </w:tc>
        <w:tc>
          <w:tcPr>
            <w:tcW w:w="1100" w:type="dxa"/>
            <w:vAlign w:val="bottom"/>
            <w:tcBorders>
              <w:bottom w:val="single" w:sz="8" w:color="E6EEFF"/>
            </w:tcBorders>
            <w:shd w:val="clear" w:color="auto" w:fill="E6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6520" w:type="dxa"/>
            <w:vAlign w:val="bottom"/>
          </w:tcPr>
          <w:p>
            <w:pPr>
              <w:ind w:left="140"/>
              <w:spacing w:after="0" w:line="205" w:lineRule="exact"/>
              <w:rPr>
                <w:sz w:val="20"/>
                <w:szCs w:val="20"/>
                <w:color w:val="auto"/>
              </w:rPr>
            </w:pPr>
            <w:r>
              <w:rPr>
                <w:rFonts w:ascii="Calibri" w:cs="Calibri" w:eastAsia="Calibri" w:hAnsi="Calibri"/>
                <w:sz w:val="17"/>
                <w:szCs w:val="17"/>
                <w:color w:val="auto"/>
              </w:rPr>
              <w:t>Net amortzaton of premium on Agency Securites</w:t>
            </w: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3,388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18,390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48,127</w:t>
            </w:r>
          </w:p>
        </w:tc>
        <w:tc>
          <w:tcPr>
            <w:tcW w:w="20" w:type="dxa"/>
            <w:vAlign w:val="bottom"/>
          </w:tcPr>
          <w:p>
            <w:pPr>
              <w:spacing w:after="0"/>
              <w:rPr>
                <w:sz w:val="18"/>
                <w:szCs w:val="18"/>
                <w:color w:val="auto"/>
              </w:rPr>
            </w:pPr>
          </w:p>
        </w:tc>
      </w:tr>
      <w:tr>
        <w:trPr>
          <w:trHeight w:val="226"/>
        </w:trPr>
        <w:tc>
          <w:tcPr>
            <w:tcW w:w="6520" w:type="dxa"/>
            <w:vAlign w:val="bottom"/>
            <w:shd w:val="clear" w:color="auto" w:fill="E6EEFF"/>
          </w:tcPr>
          <w:p>
            <w:pPr>
              <w:ind w:left="140"/>
              <w:spacing w:after="0"/>
              <w:rPr>
                <w:sz w:val="20"/>
                <w:szCs w:val="20"/>
                <w:color w:val="auto"/>
              </w:rPr>
            </w:pPr>
            <w:r>
              <w:rPr>
                <w:rFonts w:ascii="Calibri" w:cs="Calibri" w:eastAsia="Calibri" w:hAnsi="Calibri"/>
                <w:sz w:val="17"/>
                <w:szCs w:val="17"/>
                <w:color w:val="auto"/>
              </w:rPr>
              <w:t>Net amortzaton of U.S. Treasury Securites</w:t>
            </w: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131</w:t>
            </w:r>
          </w:p>
        </w:tc>
        <w:tc>
          <w:tcPr>
            <w:tcW w:w="120" w:type="dxa"/>
            <w:vAlign w:val="bottom"/>
            <w:shd w:val="clear" w:color="auto" w:fill="E6EEFF"/>
          </w:tcPr>
          <w:p>
            <w:pPr>
              <w:spacing w:after="0"/>
              <w:rPr>
                <w:sz w:val="19"/>
                <w:szCs w:val="19"/>
                <w:color w:val="auto"/>
              </w:rPr>
            </w:pP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(1,879)</w:t>
            </w:r>
          </w:p>
        </w:tc>
        <w:tc>
          <w:tcPr>
            <w:tcW w:w="100" w:type="dxa"/>
            <w:vAlign w:val="bottom"/>
            <w:shd w:val="clear" w:color="auto" w:fill="E6EEFF"/>
          </w:tcPr>
          <w:p>
            <w:pPr>
              <w:spacing w:after="0"/>
              <w:rPr>
                <w:sz w:val="19"/>
                <w:szCs w:val="19"/>
                <w:color w:val="auto"/>
              </w:rPr>
            </w:pPr>
          </w:p>
        </w:tc>
        <w:tc>
          <w:tcPr>
            <w:tcW w:w="400" w:type="dxa"/>
            <w:vAlign w:val="bottom"/>
            <w:shd w:val="clear" w:color="auto" w:fill="E6EEFF"/>
          </w:tcPr>
          <w:p>
            <w:pPr>
              <w:spacing w:after="0"/>
              <w:rPr>
                <w:sz w:val="19"/>
                <w:szCs w:val="19"/>
                <w:color w:val="auto"/>
              </w:rPr>
            </w:pPr>
          </w:p>
        </w:tc>
        <w:tc>
          <w:tcPr>
            <w:tcW w:w="11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(21)</w:t>
            </w:r>
          </w:p>
        </w:tc>
        <w:tc>
          <w:tcPr>
            <w:tcW w:w="20" w:type="dxa"/>
            <w:vAlign w:val="bottom"/>
          </w:tcPr>
          <w:p>
            <w:pPr>
              <w:spacing w:after="0"/>
              <w:rPr>
                <w:sz w:val="19"/>
                <w:szCs w:val="19"/>
                <w:color w:val="auto"/>
              </w:rPr>
            </w:pPr>
          </w:p>
        </w:tc>
      </w:tr>
      <w:tr>
        <w:trPr>
          <w:trHeight w:val="205"/>
        </w:trPr>
        <w:tc>
          <w:tcPr>
            <w:tcW w:w="6520" w:type="dxa"/>
            <w:vAlign w:val="bottom"/>
          </w:tcPr>
          <w:p>
            <w:pPr>
              <w:ind w:left="140"/>
              <w:spacing w:after="0" w:line="205" w:lineRule="exact"/>
              <w:rPr>
                <w:sz w:val="20"/>
                <w:szCs w:val="20"/>
                <w:color w:val="auto"/>
              </w:rPr>
            </w:pPr>
            <w:r>
              <w:rPr>
                <w:rFonts w:ascii="Calibri" w:cs="Calibri" w:eastAsia="Calibri" w:hAnsi="Calibri"/>
                <w:sz w:val="17"/>
                <w:szCs w:val="17"/>
                <w:color w:val="auto"/>
              </w:rPr>
              <w:t>Realized (gain) loss on sale of Agency Securites, available for sale</w:t>
            </w:r>
          </w:p>
        </w:tc>
        <w:tc>
          <w:tcPr>
            <w:tcW w:w="36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7,471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7,452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(10,952)</w:t>
            </w:r>
          </w:p>
        </w:tc>
        <w:tc>
          <w:tcPr>
            <w:tcW w:w="20" w:type="dxa"/>
            <w:vAlign w:val="bottom"/>
          </w:tcPr>
          <w:p>
            <w:pPr>
              <w:spacing w:after="0"/>
              <w:rPr>
                <w:sz w:val="17"/>
                <w:szCs w:val="17"/>
                <w:color w:val="auto"/>
              </w:rPr>
            </w:pPr>
          </w:p>
        </w:tc>
      </w:tr>
      <w:tr>
        <w:trPr>
          <w:trHeight w:val="233"/>
        </w:trPr>
        <w:tc>
          <w:tcPr>
            <w:tcW w:w="6520" w:type="dxa"/>
            <w:vAlign w:val="bottom"/>
            <w:shd w:val="clear" w:color="auto" w:fill="E6EEFF"/>
          </w:tcPr>
          <w:p>
            <w:pPr>
              <w:ind w:left="140"/>
              <w:spacing w:after="0"/>
              <w:rPr>
                <w:sz w:val="20"/>
                <w:szCs w:val="20"/>
                <w:color w:val="auto"/>
              </w:rPr>
            </w:pPr>
            <w:r>
              <w:rPr>
                <w:rFonts w:ascii="Calibri" w:cs="Calibri" w:eastAsia="Calibri" w:hAnsi="Calibri"/>
                <w:sz w:val="17"/>
                <w:szCs w:val="17"/>
                <w:color w:val="auto"/>
              </w:rPr>
              <w:t>Impairment losses on available for sale Agency Securites</w:t>
            </w:r>
          </w:p>
        </w:tc>
        <w:tc>
          <w:tcPr>
            <w:tcW w:w="360" w:type="dxa"/>
            <w:vAlign w:val="bottom"/>
            <w:shd w:val="clear" w:color="auto" w:fill="E6EEFF"/>
          </w:tcPr>
          <w:p>
            <w:pPr>
              <w:spacing w:after="0"/>
              <w:rPr>
                <w:sz w:val="20"/>
                <w:szCs w:val="20"/>
                <w:color w:val="auto"/>
              </w:rPr>
            </w:pPr>
          </w:p>
        </w:tc>
        <w:tc>
          <w:tcPr>
            <w:tcW w:w="1260" w:type="dxa"/>
            <w:vAlign w:val="bottom"/>
            <w:gridSpan w:val="2"/>
            <w:shd w:val="clear" w:color="auto" w:fill="E6EEFF"/>
          </w:tcPr>
          <w:p>
            <w:pPr>
              <w:jc w:val="right"/>
              <w:ind w:right="180"/>
              <w:spacing w:after="0"/>
              <w:rPr>
                <w:sz w:val="20"/>
                <w:szCs w:val="20"/>
                <w:color w:val="auto"/>
              </w:rPr>
            </w:pPr>
            <w:r>
              <w:rPr>
                <w:rFonts w:ascii="Calibri" w:cs="Calibri" w:eastAsia="Calibri" w:hAnsi="Calibri"/>
                <w:sz w:val="17"/>
                <w:szCs w:val="17"/>
                <w:color w:val="auto"/>
              </w:rPr>
              <w:t>—</w:t>
            </w:r>
          </w:p>
        </w:tc>
        <w:tc>
          <w:tcPr>
            <w:tcW w:w="360" w:type="dxa"/>
            <w:vAlign w:val="bottom"/>
            <w:shd w:val="clear" w:color="auto" w:fill="E6EEFF"/>
          </w:tcPr>
          <w:p>
            <w:pPr>
              <w:spacing w:after="0"/>
              <w:rPr>
                <w:sz w:val="20"/>
                <w:szCs w:val="20"/>
                <w:color w:val="auto"/>
              </w:rPr>
            </w:pP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4,183</w:t>
            </w:r>
          </w:p>
        </w:tc>
        <w:tc>
          <w:tcPr>
            <w:tcW w:w="100" w:type="dxa"/>
            <w:vAlign w:val="bottom"/>
            <w:shd w:val="clear" w:color="auto" w:fill="E6EEFF"/>
          </w:tcPr>
          <w:p>
            <w:pPr>
              <w:spacing w:after="0"/>
              <w:rPr>
                <w:sz w:val="20"/>
                <w:szCs w:val="20"/>
                <w:color w:val="auto"/>
              </w:rPr>
            </w:pPr>
          </w:p>
        </w:tc>
        <w:tc>
          <w:tcPr>
            <w:tcW w:w="400" w:type="dxa"/>
            <w:vAlign w:val="bottom"/>
            <w:shd w:val="clear" w:color="auto" w:fill="E6EEFF"/>
          </w:tcPr>
          <w:p>
            <w:pPr>
              <w:spacing w:after="0"/>
              <w:rPr>
                <w:sz w:val="20"/>
                <w:szCs w:val="20"/>
                <w:color w:val="auto"/>
              </w:rPr>
            </w:pPr>
          </w:p>
        </w:tc>
        <w:tc>
          <w:tcPr>
            <w:tcW w:w="11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w:t>
            </w:r>
          </w:p>
        </w:tc>
        <w:tc>
          <w:tcPr>
            <w:tcW w:w="20" w:type="dxa"/>
            <w:vAlign w:val="bottom"/>
          </w:tcPr>
          <w:p>
            <w:pPr>
              <w:spacing w:after="0"/>
              <w:rPr>
                <w:sz w:val="20"/>
                <w:szCs w:val="20"/>
                <w:color w:val="auto"/>
              </w:rPr>
            </w:pPr>
          </w:p>
        </w:tc>
      </w:tr>
      <w:tr>
        <w:trPr>
          <w:trHeight w:val="212"/>
        </w:trPr>
        <w:tc>
          <w:tcPr>
            <w:tcW w:w="6520" w:type="dxa"/>
            <w:vAlign w:val="bottom"/>
          </w:tcPr>
          <w:p>
            <w:pPr>
              <w:ind w:left="140"/>
              <w:spacing w:after="0" w:line="205" w:lineRule="exact"/>
              <w:rPr>
                <w:sz w:val="20"/>
                <w:szCs w:val="20"/>
                <w:color w:val="auto"/>
              </w:rPr>
            </w:pPr>
            <w:r>
              <w:rPr>
                <w:rFonts w:ascii="Calibri" w:cs="Calibri" w:eastAsia="Calibri" w:hAnsi="Calibri"/>
                <w:sz w:val="17"/>
                <w:szCs w:val="17"/>
                <w:color w:val="auto"/>
              </w:rPr>
              <w:t>Loss on Agency Securites, trading</w:t>
            </w: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52,665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946,666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77,145</w:t>
            </w:r>
          </w:p>
        </w:tc>
        <w:tc>
          <w:tcPr>
            <w:tcW w:w="20" w:type="dxa"/>
            <w:vAlign w:val="bottom"/>
          </w:tcPr>
          <w:p>
            <w:pPr>
              <w:spacing w:after="0"/>
              <w:rPr>
                <w:sz w:val="18"/>
                <w:szCs w:val="18"/>
                <w:color w:val="auto"/>
              </w:rPr>
            </w:pPr>
          </w:p>
        </w:tc>
      </w:tr>
      <w:tr>
        <w:trPr>
          <w:trHeight w:val="226"/>
        </w:trPr>
        <w:tc>
          <w:tcPr>
            <w:tcW w:w="6520" w:type="dxa"/>
            <w:vAlign w:val="bottom"/>
            <w:shd w:val="clear" w:color="auto" w:fill="E6EEFF"/>
          </w:tcPr>
          <w:p>
            <w:pPr>
              <w:ind w:left="140"/>
              <w:spacing w:after="0"/>
              <w:rPr>
                <w:sz w:val="20"/>
                <w:szCs w:val="20"/>
                <w:color w:val="auto"/>
              </w:rPr>
            </w:pPr>
            <w:r>
              <w:rPr>
                <w:rFonts w:ascii="Calibri" w:cs="Calibri" w:eastAsia="Calibri" w:hAnsi="Calibri"/>
                <w:sz w:val="17"/>
                <w:szCs w:val="17"/>
                <w:color w:val="auto"/>
              </w:rPr>
              <w:t>Loss on U.S. Treasury Securites</w:t>
            </w: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43,093</w:t>
            </w:r>
          </w:p>
        </w:tc>
        <w:tc>
          <w:tcPr>
            <w:tcW w:w="120" w:type="dxa"/>
            <w:vAlign w:val="bottom"/>
            <w:shd w:val="clear" w:color="auto" w:fill="E6EEFF"/>
          </w:tcPr>
          <w:p>
            <w:pPr>
              <w:spacing w:after="0"/>
              <w:rPr>
                <w:sz w:val="19"/>
                <w:szCs w:val="19"/>
                <w:color w:val="auto"/>
              </w:rPr>
            </w:pP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152,268</w:t>
            </w:r>
          </w:p>
        </w:tc>
        <w:tc>
          <w:tcPr>
            <w:tcW w:w="100" w:type="dxa"/>
            <w:vAlign w:val="bottom"/>
            <w:shd w:val="clear" w:color="auto" w:fill="E6EEFF"/>
          </w:tcPr>
          <w:p>
            <w:pPr>
              <w:spacing w:after="0"/>
              <w:rPr>
                <w:sz w:val="19"/>
                <w:szCs w:val="19"/>
                <w:color w:val="auto"/>
              </w:rPr>
            </w:pPr>
          </w:p>
        </w:tc>
        <w:tc>
          <w:tcPr>
            <w:tcW w:w="400" w:type="dxa"/>
            <w:vAlign w:val="bottom"/>
            <w:shd w:val="clear" w:color="auto" w:fill="E6EEFF"/>
          </w:tcPr>
          <w:p>
            <w:pPr>
              <w:spacing w:after="0"/>
              <w:rPr>
                <w:sz w:val="19"/>
                <w:szCs w:val="19"/>
                <w:color w:val="auto"/>
              </w:rPr>
            </w:pPr>
          </w:p>
        </w:tc>
        <w:tc>
          <w:tcPr>
            <w:tcW w:w="11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9,391</w:t>
            </w:r>
          </w:p>
        </w:tc>
        <w:tc>
          <w:tcPr>
            <w:tcW w:w="20" w:type="dxa"/>
            <w:vAlign w:val="bottom"/>
          </w:tcPr>
          <w:p>
            <w:pPr>
              <w:spacing w:after="0"/>
              <w:rPr>
                <w:sz w:val="19"/>
                <w:szCs w:val="19"/>
                <w:color w:val="auto"/>
              </w:rPr>
            </w:pPr>
          </w:p>
        </w:tc>
      </w:tr>
      <w:tr>
        <w:trPr>
          <w:trHeight w:val="212"/>
        </w:trPr>
        <w:tc>
          <w:tcPr>
            <w:tcW w:w="6520" w:type="dxa"/>
            <w:vAlign w:val="bottom"/>
          </w:tcPr>
          <w:p>
            <w:pPr>
              <w:ind w:left="140"/>
              <w:spacing w:after="0" w:line="205" w:lineRule="exact"/>
              <w:rPr>
                <w:sz w:val="20"/>
                <w:szCs w:val="20"/>
                <w:color w:val="auto"/>
              </w:rPr>
            </w:pPr>
            <w:r>
              <w:rPr>
                <w:rFonts w:ascii="Calibri" w:cs="Calibri" w:eastAsia="Calibri" w:hAnsi="Calibri"/>
                <w:sz w:val="17"/>
                <w:szCs w:val="17"/>
                <w:color w:val="auto"/>
              </w:rPr>
              <w:t>Stock based compensaton</w:t>
            </w: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3,201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3,696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4,768</w:t>
            </w:r>
          </w:p>
        </w:tc>
        <w:tc>
          <w:tcPr>
            <w:tcW w:w="20" w:type="dxa"/>
            <w:vAlign w:val="bottom"/>
          </w:tcPr>
          <w:p>
            <w:pPr>
              <w:spacing w:after="0"/>
              <w:rPr>
                <w:sz w:val="18"/>
                <w:szCs w:val="18"/>
                <w:color w:val="auto"/>
              </w:rPr>
            </w:pPr>
          </w:p>
        </w:tc>
      </w:tr>
      <w:tr>
        <w:trPr>
          <w:trHeight w:val="226"/>
        </w:trPr>
        <w:tc>
          <w:tcPr>
            <w:tcW w:w="652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Changes in operatng assets and liabilites:</w:t>
            </w: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400" w:type="dxa"/>
            <w:vAlign w:val="bottom"/>
            <w:shd w:val="clear" w:color="auto" w:fill="E6EEFF"/>
          </w:tcPr>
          <w:p>
            <w:pPr>
              <w:spacing w:after="0"/>
              <w:rPr>
                <w:sz w:val="19"/>
                <w:szCs w:val="19"/>
                <w:color w:val="auto"/>
              </w:rPr>
            </w:pPr>
          </w:p>
        </w:tc>
        <w:tc>
          <w:tcPr>
            <w:tcW w:w="1100" w:type="dxa"/>
            <w:vAlign w:val="bottom"/>
            <w:shd w:val="clear" w:color="auto" w:fill="E6EEFF"/>
          </w:tcPr>
          <w:p>
            <w:pPr>
              <w:spacing w:after="0"/>
              <w:rPr>
                <w:sz w:val="19"/>
                <w:szCs w:val="19"/>
                <w:color w:val="auto"/>
              </w:rPr>
            </w:pPr>
          </w:p>
        </w:tc>
        <w:tc>
          <w:tcPr>
            <w:tcW w:w="20" w:type="dxa"/>
            <w:vAlign w:val="bottom"/>
          </w:tcPr>
          <w:p>
            <w:pPr>
              <w:spacing w:after="0"/>
              <w:rPr>
                <w:sz w:val="19"/>
                <w:szCs w:val="19"/>
                <w:color w:val="auto"/>
              </w:rPr>
            </w:pPr>
          </w:p>
        </w:tc>
      </w:tr>
      <w:tr>
        <w:trPr>
          <w:trHeight w:val="212"/>
        </w:trPr>
        <w:tc>
          <w:tcPr>
            <w:tcW w:w="6520" w:type="dxa"/>
            <w:vAlign w:val="bottom"/>
          </w:tcPr>
          <w:p>
            <w:pPr>
              <w:ind w:left="140"/>
              <w:spacing w:after="0" w:line="205" w:lineRule="exact"/>
              <w:rPr>
                <w:sz w:val="20"/>
                <w:szCs w:val="20"/>
                <w:color w:val="auto"/>
              </w:rPr>
            </w:pPr>
            <w:r>
              <w:rPr>
                <w:rFonts w:ascii="Calibri" w:cs="Calibri" w:eastAsia="Calibri" w:hAnsi="Calibri"/>
                <w:sz w:val="17"/>
                <w:szCs w:val="17"/>
                <w:color w:val="auto"/>
              </w:rPr>
              <w:t>(Increase) decrease in accrued interest receivable</w:t>
            </w: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(18,474)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(17,734)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2,263</w:t>
            </w:r>
          </w:p>
        </w:tc>
        <w:tc>
          <w:tcPr>
            <w:tcW w:w="20" w:type="dxa"/>
            <w:vAlign w:val="bottom"/>
          </w:tcPr>
          <w:p>
            <w:pPr>
              <w:spacing w:after="0"/>
              <w:rPr>
                <w:sz w:val="18"/>
                <w:szCs w:val="18"/>
                <w:color w:val="auto"/>
              </w:rPr>
            </w:pPr>
          </w:p>
        </w:tc>
      </w:tr>
      <w:tr>
        <w:trPr>
          <w:trHeight w:val="226"/>
        </w:trPr>
        <w:tc>
          <w:tcPr>
            <w:tcW w:w="6520" w:type="dxa"/>
            <w:vAlign w:val="bottom"/>
            <w:shd w:val="clear" w:color="auto" w:fill="E6EEFF"/>
          </w:tcPr>
          <w:p>
            <w:pPr>
              <w:ind w:left="140"/>
              <w:spacing w:after="0"/>
              <w:rPr>
                <w:sz w:val="20"/>
                <w:szCs w:val="20"/>
                <w:color w:val="auto"/>
              </w:rPr>
            </w:pPr>
            <w:r>
              <w:rPr>
                <w:rFonts w:ascii="Calibri" w:cs="Calibri" w:eastAsia="Calibri" w:hAnsi="Calibri"/>
                <w:sz w:val="17"/>
                <w:szCs w:val="17"/>
                <w:color w:val="auto"/>
              </w:rPr>
              <w:t>(Increase) decrease in prepaid and other assets</w:t>
            </w: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841</w:t>
            </w:r>
          </w:p>
        </w:tc>
        <w:tc>
          <w:tcPr>
            <w:tcW w:w="120" w:type="dxa"/>
            <w:vAlign w:val="bottom"/>
            <w:shd w:val="clear" w:color="auto" w:fill="E6EEFF"/>
          </w:tcPr>
          <w:p>
            <w:pPr>
              <w:spacing w:after="0"/>
              <w:rPr>
                <w:sz w:val="19"/>
                <w:szCs w:val="19"/>
                <w:color w:val="auto"/>
              </w:rPr>
            </w:pP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(1,007)</w:t>
            </w:r>
          </w:p>
        </w:tc>
        <w:tc>
          <w:tcPr>
            <w:tcW w:w="100" w:type="dxa"/>
            <w:vAlign w:val="bottom"/>
            <w:shd w:val="clear" w:color="auto" w:fill="E6EEFF"/>
          </w:tcPr>
          <w:p>
            <w:pPr>
              <w:spacing w:after="0"/>
              <w:rPr>
                <w:sz w:val="19"/>
                <w:szCs w:val="19"/>
                <w:color w:val="auto"/>
              </w:rPr>
            </w:pPr>
          </w:p>
        </w:tc>
        <w:tc>
          <w:tcPr>
            <w:tcW w:w="400" w:type="dxa"/>
            <w:vAlign w:val="bottom"/>
            <w:shd w:val="clear" w:color="auto" w:fill="E6EEFF"/>
          </w:tcPr>
          <w:p>
            <w:pPr>
              <w:spacing w:after="0"/>
              <w:rPr>
                <w:sz w:val="19"/>
                <w:szCs w:val="19"/>
                <w:color w:val="auto"/>
              </w:rPr>
            </w:pPr>
          </w:p>
        </w:tc>
        <w:tc>
          <w:tcPr>
            <w:tcW w:w="11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883</w:t>
            </w:r>
          </w:p>
        </w:tc>
        <w:tc>
          <w:tcPr>
            <w:tcW w:w="20" w:type="dxa"/>
            <w:vAlign w:val="bottom"/>
          </w:tcPr>
          <w:p>
            <w:pPr>
              <w:spacing w:after="0"/>
              <w:rPr>
                <w:sz w:val="19"/>
                <w:szCs w:val="19"/>
                <w:color w:val="auto"/>
              </w:rPr>
            </w:pPr>
          </w:p>
        </w:tc>
      </w:tr>
      <w:tr>
        <w:trPr>
          <w:trHeight w:val="212"/>
        </w:trPr>
        <w:tc>
          <w:tcPr>
            <w:tcW w:w="6520" w:type="dxa"/>
            <w:vAlign w:val="bottom"/>
          </w:tcPr>
          <w:p>
            <w:pPr>
              <w:ind w:left="140"/>
              <w:spacing w:after="0" w:line="205" w:lineRule="exact"/>
              <w:rPr>
                <w:sz w:val="20"/>
                <w:szCs w:val="20"/>
                <w:color w:val="auto"/>
              </w:rPr>
            </w:pPr>
            <w:r>
              <w:rPr>
                <w:rFonts w:ascii="Calibri" w:cs="Calibri" w:eastAsia="Calibri" w:hAnsi="Calibri"/>
                <w:sz w:val="17"/>
                <w:szCs w:val="17"/>
                <w:color w:val="auto"/>
              </w:rPr>
              <w:t>Change in derivatves, at fair value</w:t>
            </w: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99,064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(783,267)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(134,704)</w:t>
            </w:r>
          </w:p>
        </w:tc>
        <w:tc>
          <w:tcPr>
            <w:tcW w:w="20" w:type="dxa"/>
            <w:vAlign w:val="bottom"/>
          </w:tcPr>
          <w:p>
            <w:pPr>
              <w:spacing w:after="0"/>
              <w:rPr>
                <w:sz w:val="18"/>
                <w:szCs w:val="18"/>
                <w:color w:val="auto"/>
              </w:rPr>
            </w:pPr>
          </w:p>
        </w:tc>
      </w:tr>
      <w:tr>
        <w:trPr>
          <w:trHeight w:val="226"/>
        </w:trPr>
        <w:tc>
          <w:tcPr>
            <w:tcW w:w="6520" w:type="dxa"/>
            <w:vAlign w:val="bottom"/>
            <w:shd w:val="clear" w:color="auto" w:fill="E6EEFF"/>
          </w:tcPr>
          <w:p>
            <w:pPr>
              <w:ind w:left="140"/>
              <w:spacing w:after="0"/>
              <w:rPr>
                <w:sz w:val="20"/>
                <w:szCs w:val="20"/>
                <w:color w:val="auto"/>
              </w:rPr>
            </w:pPr>
            <w:r>
              <w:rPr>
                <w:rFonts w:ascii="Calibri" w:cs="Calibri" w:eastAsia="Calibri" w:hAnsi="Calibri"/>
                <w:sz w:val="17"/>
                <w:szCs w:val="17"/>
                <w:color w:val="auto"/>
              </w:rPr>
              <w:t>Increase (decrease) in accrued interest payable- repurchase agreements</w:t>
            </w: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7,413</w:t>
            </w:r>
          </w:p>
        </w:tc>
        <w:tc>
          <w:tcPr>
            <w:tcW w:w="120" w:type="dxa"/>
            <w:vAlign w:val="bottom"/>
            <w:shd w:val="clear" w:color="auto" w:fill="E6EEFF"/>
          </w:tcPr>
          <w:p>
            <w:pPr>
              <w:spacing w:after="0"/>
              <w:rPr>
                <w:sz w:val="19"/>
                <w:szCs w:val="19"/>
                <w:color w:val="auto"/>
              </w:rPr>
            </w:pP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18,152</w:t>
            </w:r>
          </w:p>
        </w:tc>
        <w:tc>
          <w:tcPr>
            <w:tcW w:w="100" w:type="dxa"/>
            <w:vAlign w:val="bottom"/>
            <w:shd w:val="clear" w:color="auto" w:fill="E6EEFF"/>
          </w:tcPr>
          <w:p>
            <w:pPr>
              <w:spacing w:after="0"/>
              <w:rPr>
                <w:sz w:val="19"/>
                <w:szCs w:val="19"/>
                <w:color w:val="auto"/>
              </w:rPr>
            </w:pPr>
          </w:p>
        </w:tc>
        <w:tc>
          <w:tcPr>
            <w:tcW w:w="400" w:type="dxa"/>
            <w:vAlign w:val="bottom"/>
            <w:shd w:val="clear" w:color="auto" w:fill="E6EEFF"/>
          </w:tcPr>
          <w:p>
            <w:pPr>
              <w:spacing w:after="0"/>
              <w:rPr>
                <w:sz w:val="19"/>
                <w:szCs w:val="19"/>
                <w:color w:val="auto"/>
              </w:rPr>
            </w:pPr>
          </w:p>
        </w:tc>
        <w:tc>
          <w:tcPr>
            <w:tcW w:w="11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(681)</w:t>
            </w:r>
          </w:p>
        </w:tc>
        <w:tc>
          <w:tcPr>
            <w:tcW w:w="20" w:type="dxa"/>
            <w:vAlign w:val="bottom"/>
          </w:tcPr>
          <w:p>
            <w:pPr>
              <w:spacing w:after="0"/>
              <w:rPr>
                <w:sz w:val="19"/>
                <w:szCs w:val="19"/>
                <w:color w:val="auto"/>
              </w:rPr>
            </w:pPr>
          </w:p>
        </w:tc>
      </w:tr>
      <w:tr>
        <w:trPr>
          <w:trHeight w:val="212"/>
        </w:trPr>
        <w:tc>
          <w:tcPr>
            <w:tcW w:w="6520" w:type="dxa"/>
            <w:vAlign w:val="bottom"/>
          </w:tcPr>
          <w:p>
            <w:pPr>
              <w:ind w:left="140"/>
              <w:spacing w:after="0" w:line="205" w:lineRule="exact"/>
              <w:rPr>
                <w:sz w:val="20"/>
                <w:szCs w:val="20"/>
                <w:color w:val="auto"/>
              </w:rPr>
            </w:pPr>
            <w:r>
              <w:rPr>
                <w:rFonts w:ascii="Calibri" w:cs="Calibri" w:eastAsia="Calibri" w:hAnsi="Calibri"/>
                <w:sz w:val="17"/>
                <w:szCs w:val="17"/>
                <w:color w:val="auto"/>
              </w:rPr>
              <w:t>Increase in accrued interest payable- U.S. Treasury Securites sold short</w:t>
            </w: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1,631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3,418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20" w:type="dxa"/>
            <w:vAlign w:val="bottom"/>
          </w:tcPr>
          <w:p>
            <w:pPr>
              <w:spacing w:after="0"/>
              <w:rPr>
                <w:sz w:val="18"/>
                <w:szCs w:val="18"/>
                <w:color w:val="auto"/>
              </w:rPr>
            </w:pPr>
          </w:p>
        </w:tc>
      </w:tr>
      <w:tr>
        <w:trPr>
          <w:trHeight w:val="226"/>
        </w:trPr>
        <w:tc>
          <w:tcPr>
            <w:tcW w:w="6520" w:type="dxa"/>
            <w:vAlign w:val="bottom"/>
            <w:shd w:val="clear" w:color="auto" w:fill="E6EEFF"/>
          </w:tcPr>
          <w:p>
            <w:pPr>
              <w:ind w:left="140"/>
              <w:spacing w:after="0"/>
              <w:rPr>
                <w:sz w:val="20"/>
                <w:szCs w:val="20"/>
                <w:color w:val="auto"/>
              </w:rPr>
            </w:pPr>
            <w:r>
              <w:rPr>
                <w:rFonts w:ascii="Calibri" w:cs="Calibri" w:eastAsia="Calibri" w:hAnsi="Calibri"/>
                <w:sz w:val="17"/>
                <w:szCs w:val="17"/>
                <w:color w:val="auto"/>
              </w:rPr>
              <w:t>Increase in accounts payable and other accrued expenses</w:t>
            </w:r>
          </w:p>
        </w:tc>
        <w:tc>
          <w:tcPr>
            <w:tcW w:w="360" w:type="dxa"/>
            <w:vAlign w:val="bottom"/>
            <w:tcBorders>
              <w:bottom w:val="single" w:sz="8" w:color="auto"/>
            </w:tcBorders>
            <w:shd w:val="clear" w:color="auto" w:fill="E6EEFF"/>
          </w:tcPr>
          <w:p>
            <w:pPr>
              <w:spacing w:after="0"/>
              <w:rPr>
                <w:sz w:val="19"/>
                <w:szCs w:val="19"/>
                <w:color w:val="auto"/>
              </w:rPr>
            </w:pPr>
          </w:p>
        </w:tc>
        <w:tc>
          <w:tcPr>
            <w:tcW w:w="11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315</w:t>
            </w:r>
          </w:p>
        </w:tc>
        <w:tc>
          <w:tcPr>
            <w:tcW w:w="120" w:type="dxa"/>
            <w:vAlign w:val="bottom"/>
            <w:shd w:val="clear" w:color="auto" w:fill="E6EEFF"/>
          </w:tcPr>
          <w:p>
            <w:pPr>
              <w:spacing w:after="0"/>
              <w:rPr>
                <w:sz w:val="19"/>
                <w:szCs w:val="19"/>
                <w:color w:val="auto"/>
              </w:rPr>
            </w:pPr>
          </w:p>
        </w:tc>
        <w:tc>
          <w:tcPr>
            <w:tcW w:w="360" w:type="dxa"/>
            <w:vAlign w:val="bottom"/>
            <w:tcBorders>
              <w:bottom w:val="single" w:sz="8" w:color="auto"/>
            </w:tcBorders>
            <w:shd w:val="clear" w:color="auto" w:fill="E6EEFF"/>
          </w:tcPr>
          <w:p>
            <w:pPr>
              <w:spacing w:after="0"/>
              <w:rPr>
                <w:sz w:val="19"/>
                <w:szCs w:val="19"/>
                <w:color w:val="auto"/>
              </w:rPr>
            </w:pPr>
          </w:p>
        </w:tc>
        <w:tc>
          <w:tcPr>
            <w:tcW w:w="11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3,677</w:t>
            </w:r>
          </w:p>
        </w:tc>
        <w:tc>
          <w:tcPr>
            <w:tcW w:w="100" w:type="dxa"/>
            <w:vAlign w:val="bottom"/>
            <w:shd w:val="clear" w:color="auto" w:fill="E6EEFF"/>
          </w:tcPr>
          <w:p>
            <w:pPr>
              <w:spacing w:after="0"/>
              <w:rPr>
                <w:sz w:val="19"/>
                <w:szCs w:val="19"/>
                <w:color w:val="auto"/>
              </w:rPr>
            </w:pPr>
          </w:p>
        </w:tc>
        <w:tc>
          <w:tcPr>
            <w:tcW w:w="400" w:type="dxa"/>
            <w:vAlign w:val="bottom"/>
            <w:tcBorders>
              <w:bottom w:val="single" w:sz="8" w:color="auto"/>
            </w:tcBorders>
            <w:shd w:val="clear" w:color="auto" w:fill="E6EEFF"/>
          </w:tcPr>
          <w:p>
            <w:pPr>
              <w:spacing w:after="0"/>
              <w:rPr>
                <w:sz w:val="19"/>
                <w:szCs w:val="19"/>
                <w:color w:val="auto"/>
              </w:rPr>
            </w:pPr>
          </w:p>
        </w:tc>
        <w:tc>
          <w:tcPr>
            <w:tcW w:w="110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156</w:t>
            </w:r>
          </w:p>
        </w:tc>
        <w:tc>
          <w:tcPr>
            <w:tcW w:w="20" w:type="dxa"/>
            <w:vAlign w:val="bottom"/>
          </w:tcPr>
          <w:p>
            <w:pPr>
              <w:spacing w:after="0"/>
              <w:rPr>
                <w:sz w:val="19"/>
                <w:szCs w:val="19"/>
                <w:color w:val="auto"/>
              </w:rPr>
            </w:pPr>
          </w:p>
        </w:tc>
      </w:tr>
      <w:tr>
        <w:trPr>
          <w:trHeight w:val="152"/>
        </w:trPr>
        <w:tc>
          <w:tcPr>
            <w:tcW w:w="6520" w:type="dxa"/>
            <w:vAlign w:val="bottom"/>
          </w:tcPr>
          <w:p>
            <w:pPr>
              <w:ind w:left="20"/>
              <w:spacing w:after="0" w:line="153" w:lineRule="exact"/>
              <w:rPr>
                <w:sz w:val="20"/>
                <w:szCs w:val="20"/>
                <w:color w:val="auto"/>
              </w:rPr>
            </w:pPr>
            <w:r>
              <w:rPr>
                <w:rFonts w:ascii="Calibri" w:cs="Calibri" w:eastAsia="Calibri" w:hAnsi="Calibri"/>
                <w:sz w:val="16"/>
                <w:szCs w:val="16"/>
                <w:color w:val="auto"/>
              </w:rPr>
              <w:t>Net cash and cash equivalents and cash collateral posted to counterpartes provided by</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6520" w:type="dxa"/>
            <w:vAlign w:val="bottom"/>
          </w:tcPr>
          <w:p>
            <w:pPr>
              <w:ind w:left="20"/>
              <w:spacing w:after="0" w:line="205" w:lineRule="exact"/>
              <w:rPr>
                <w:sz w:val="20"/>
                <w:szCs w:val="20"/>
                <w:color w:val="auto"/>
              </w:rPr>
            </w:pPr>
            <w:r>
              <w:rPr>
                <w:rFonts w:ascii="Calibri" w:cs="Calibri" w:eastAsia="Calibri" w:hAnsi="Calibri"/>
                <w:sz w:val="17"/>
                <w:szCs w:val="17"/>
                <w:color w:val="auto"/>
              </w:rPr>
              <w:t>operatng actvites</w:t>
            </w:r>
          </w:p>
        </w:tc>
        <w:tc>
          <w:tcPr>
            <w:tcW w:w="360" w:type="dxa"/>
            <w:vAlign w:val="bottom"/>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132,816</w:t>
            </w:r>
          </w:p>
        </w:tc>
        <w:tc>
          <w:tcPr>
            <w:tcW w:w="120" w:type="dxa"/>
            <w:vAlign w:val="bottom"/>
          </w:tcPr>
          <w:p>
            <w:pPr>
              <w:spacing w:after="0"/>
              <w:rPr>
                <w:sz w:val="17"/>
                <w:szCs w:val="17"/>
                <w:color w:val="auto"/>
              </w:rPr>
            </w:pPr>
          </w:p>
        </w:tc>
        <w:tc>
          <w:tcPr>
            <w:tcW w:w="360" w:type="dxa"/>
            <w:vAlign w:val="bottom"/>
          </w:tcPr>
          <w:p>
            <w:pPr>
              <w:jc w:val="right"/>
              <w:ind w:right="174"/>
              <w:spacing w:after="0" w:line="205" w:lineRule="exact"/>
              <w:rPr>
                <w:sz w:val="20"/>
                <w:szCs w:val="20"/>
                <w:color w:val="auto"/>
              </w:rPr>
            </w:pPr>
            <w:r>
              <w:rPr>
                <w:rFonts w:ascii="Calibri" w:cs="Calibri" w:eastAsia="Calibri" w:hAnsi="Calibri"/>
                <w:sz w:val="17"/>
                <w:szCs w:val="17"/>
                <w:color w:val="auto"/>
                <w:w w:val="92"/>
              </w:rPr>
              <w:t>$</w:t>
            </w: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124,085</w:t>
            </w:r>
          </w:p>
        </w:tc>
        <w:tc>
          <w:tcPr>
            <w:tcW w:w="100" w:type="dxa"/>
            <w:vAlign w:val="bottom"/>
          </w:tcPr>
          <w:p>
            <w:pPr>
              <w:spacing w:after="0"/>
              <w:rPr>
                <w:sz w:val="17"/>
                <w:szCs w:val="17"/>
                <w:color w:val="auto"/>
              </w:rPr>
            </w:pPr>
          </w:p>
        </w:tc>
        <w:tc>
          <w:tcPr>
            <w:tcW w:w="400" w:type="dxa"/>
            <w:vAlign w:val="bottom"/>
          </w:tcPr>
          <w:p>
            <w:pPr>
              <w:jc w:val="right"/>
              <w:ind w:right="194"/>
              <w:spacing w:after="0" w:line="205" w:lineRule="exact"/>
              <w:rPr>
                <w:sz w:val="20"/>
                <w:szCs w:val="20"/>
                <w:color w:val="auto"/>
              </w:rPr>
            </w:pPr>
            <w:r>
              <w:rPr>
                <w:rFonts w:ascii="Calibri" w:cs="Calibri" w:eastAsia="Calibri" w:hAnsi="Calibri"/>
                <w:sz w:val="17"/>
                <w:szCs w:val="17"/>
                <w:color w:val="auto"/>
              </w:rPr>
              <w:t>$</w:t>
            </w: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11,738</w:t>
            </w:r>
          </w:p>
        </w:tc>
        <w:tc>
          <w:tcPr>
            <w:tcW w:w="20" w:type="dxa"/>
            <w:vAlign w:val="bottom"/>
          </w:tcPr>
          <w:p>
            <w:pPr>
              <w:spacing w:after="0"/>
              <w:rPr>
                <w:sz w:val="17"/>
                <w:szCs w:val="17"/>
                <w:color w:val="auto"/>
              </w:rPr>
            </w:pPr>
          </w:p>
        </w:tc>
      </w:tr>
      <w:tr>
        <w:trPr>
          <w:trHeight w:val="22"/>
        </w:trPr>
        <w:tc>
          <w:tcPr>
            <w:tcW w:w="6520" w:type="dxa"/>
            <w:vAlign w:val="bottom"/>
            <w:tcBorders>
              <w:bottom w:val="single" w:sz="8" w:color="E6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6520" w:type="dxa"/>
            <w:vAlign w:val="bottom"/>
            <w:tcBorders>
              <w:bottom w:val="single" w:sz="8" w:color="E6EEFF"/>
            </w:tcBorders>
            <w:shd w:val="clear" w:color="auto" w:fill="E6EEFF"/>
          </w:tcPr>
          <w:p>
            <w:pPr>
              <w:ind w:left="20"/>
              <w:spacing w:after="0" w:line="190" w:lineRule="exact"/>
              <w:rPr>
                <w:sz w:val="20"/>
                <w:szCs w:val="20"/>
                <w:color w:val="auto"/>
              </w:rPr>
            </w:pPr>
            <w:r>
              <w:rPr>
                <w:rFonts w:ascii="Calibri" w:cs="Calibri" w:eastAsia="Calibri" w:hAnsi="Calibri"/>
                <w:sz w:val="17"/>
                <w:szCs w:val="17"/>
                <w:b w:val="1"/>
                <w:bCs w:val="1"/>
                <w:color w:val="1C4787"/>
              </w:rPr>
              <w:t>Cash Flows From Investng Actvites:</w:t>
            </w:r>
          </w:p>
        </w:tc>
        <w:tc>
          <w:tcPr>
            <w:tcW w:w="360" w:type="dxa"/>
            <w:vAlign w:val="bottom"/>
            <w:tcBorders>
              <w:bottom w:val="single" w:sz="8" w:color="E6EEFF"/>
            </w:tcBorders>
            <w:shd w:val="clear" w:color="auto" w:fill="E6EEFF"/>
          </w:tcPr>
          <w:p>
            <w:pPr>
              <w:spacing w:after="0"/>
              <w:rPr>
                <w:sz w:val="16"/>
                <w:szCs w:val="16"/>
                <w:color w:val="auto"/>
              </w:rPr>
            </w:pPr>
          </w:p>
        </w:tc>
        <w:tc>
          <w:tcPr>
            <w:tcW w:w="1140" w:type="dxa"/>
            <w:vAlign w:val="bottom"/>
            <w:tcBorders>
              <w:bottom w:val="single" w:sz="8" w:color="E6EEFF"/>
            </w:tcBorders>
            <w:shd w:val="clear" w:color="auto" w:fill="E6EEFF"/>
          </w:tcPr>
          <w:p>
            <w:pPr>
              <w:spacing w:after="0"/>
              <w:rPr>
                <w:sz w:val="16"/>
                <w:szCs w:val="16"/>
                <w:color w:val="auto"/>
              </w:rPr>
            </w:pPr>
          </w:p>
        </w:tc>
        <w:tc>
          <w:tcPr>
            <w:tcW w:w="120" w:type="dxa"/>
            <w:vAlign w:val="bottom"/>
            <w:tcBorders>
              <w:bottom w:val="single" w:sz="8" w:color="E6EEFF"/>
            </w:tcBorders>
            <w:shd w:val="clear" w:color="auto" w:fill="E6EEFF"/>
          </w:tcPr>
          <w:p>
            <w:pPr>
              <w:spacing w:after="0"/>
              <w:rPr>
                <w:sz w:val="16"/>
                <w:szCs w:val="16"/>
                <w:color w:val="auto"/>
              </w:rPr>
            </w:pPr>
          </w:p>
        </w:tc>
        <w:tc>
          <w:tcPr>
            <w:tcW w:w="360" w:type="dxa"/>
            <w:vAlign w:val="bottom"/>
            <w:tcBorders>
              <w:bottom w:val="single" w:sz="8" w:color="E6EEFF"/>
            </w:tcBorders>
            <w:shd w:val="clear" w:color="auto" w:fill="E6EEFF"/>
          </w:tcPr>
          <w:p>
            <w:pPr>
              <w:spacing w:after="0"/>
              <w:rPr>
                <w:sz w:val="16"/>
                <w:szCs w:val="16"/>
                <w:color w:val="auto"/>
              </w:rPr>
            </w:pPr>
          </w:p>
        </w:tc>
        <w:tc>
          <w:tcPr>
            <w:tcW w:w="1140" w:type="dxa"/>
            <w:vAlign w:val="bottom"/>
            <w:tcBorders>
              <w:bottom w:val="single" w:sz="8" w:color="E6EEFF"/>
            </w:tcBorders>
            <w:shd w:val="clear" w:color="auto" w:fill="E6EEFF"/>
          </w:tcPr>
          <w:p>
            <w:pPr>
              <w:spacing w:after="0"/>
              <w:rPr>
                <w:sz w:val="16"/>
                <w:szCs w:val="16"/>
                <w:color w:val="auto"/>
              </w:rPr>
            </w:pPr>
          </w:p>
        </w:tc>
        <w:tc>
          <w:tcPr>
            <w:tcW w:w="100" w:type="dxa"/>
            <w:vAlign w:val="bottom"/>
            <w:tcBorders>
              <w:bottom w:val="single" w:sz="8" w:color="E6EEFF"/>
            </w:tcBorders>
            <w:shd w:val="clear" w:color="auto" w:fill="E6EEFF"/>
          </w:tcPr>
          <w:p>
            <w:pPr>
              <w:spacing w:after="0"/>
              <w:rPr>
                <w:sz w:val="16"/>
                <w:szCs w:val="16"/>
                <w:color w:val="auto"/>
              </w:rPr>
            </w:pPr>
          </w:p>
        </w:tc>
        <w:tc>
          <w:tcPr>
            <w:tcW w:w="400" w:type="dxa"/>
            <w:vAlign w:val="bottom"/>
            <w:tcBorders>
              <w:bottom w:val="single" w:sz="8" w:color="E6EEFF"/>
            </w:tcBorders>
            <w:shd w:val="clear" w:color="auto" w:fill="E6EEFF"/>
          </w:tcPr>
          <w:p>
            <w:pPr>
              <w:spacing w:after="0"/>
              <w:rPr>
                <w:sz w:val="16"/>
                <w:szCs w:val="16"/>
                <w:color w:val="auto"/>
              </w:rPr>
            </w:pPr>
          </w:p>
        </w:tc>
        <w:tc>
          <w:tcPr>
            <w:tcW w:w="1100" w:type="dxa"/>
            <w:vAlign w:val="bottom"/>
            <w:tcBorders>
              <w:bottom w:val="single" w:sz="8" w:color="E6EEFF"/>
            </w:tcBorders>
            <w:shd w:val="clear" w:color="auto" w:fill="E6EEFF"/>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6520" w:type="dxa"/>
            <w:vAlign w:val="bottom"/>
          </w:tcPr>
          <w:p>
            <w:pPr>
              <w:ind w:left="140"/>
              <w:spacing w:after="0" w:line="173" w:lineRule="exact"/>
              <w:rPr>
                <w:sz w:val="20"/>
                <w:szCs w:val="20"/>
                <w:color w:val="auto"/>
              </w:rPr>
            </w:pPr>
            <w:r>
              <w:rPr>
                <w:rFonts w:ascii="Calibri" w:cs="Calibri" w:eastAsia="Calibri" w:hAnsi="Calibri"/>
                <w:sz w:val="17"/>
                <w:szCs w:val="17"/>
                <w:color w:val="auto"/>
              </w:rPr>
              <w:t>Purchases of Agency Securites (including $240,573 and $203,147 with BUCKLER in 2023</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6520" w:type="dxa"/>
            <w:vAlign w:val="bottom"/>
          </w:tcPr>
          <w:p>
            <w:pPr>
              <w:ind w:left="140"/>
              <w:spacing w:after="0" w:line="205" w:lineRule="exact"/>
              <w:rPr>
                <w:sz w:val="20"/>
                <w:szCs w:val="20"/>
                <w:color w:val="auto"/>
              </w:rPr>
            </w:pPr>
            <w:r>
              <w:rPr>
                <w:rFonts w:ascii="Calibri" w:cs="Calibri" w:eastAsia="Calibri" w:hAnsi="Calibri"/>
                <w:sz w:val="17"/>
                <w:szCs w:val="17"/>
                <w:color w:val="auto"/>
              </w:rPr>
              <w:t>and 2022, respectvely)</w:t>
            </w:r>
          </w:p>
        </w:tc>
        <w:tc>
          <w:tcPr>
            <w:tcW w:w="36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(10,288,661)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(11,456,994)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(1,265,942)</w:t>
            </w:r>
          </w:p>
        </w:tc>
        <w:tc>
          <w:tcPr>
            <w:tcW w:w="20" w:type="dxa"/>
            <w:vAlign w:val="bottom"/>
          </w:tcPr>
          <w:p>
            <w:pPr>
              <w:spacing w:after="0"/>
              <w:rPr>
                <w:sz w:val="17"/>
                <w:szCs w:val="17"/>
                <w:color w:val="auto"/>
              </w:rPr>
            </w:pPr>
          </w:p>
        </w:tc>
      </w:tr>
      <w:tr>
        <w:trPr>
          <w:trHeight w:val="22"/>
        </w:trPr>
        <w:tc>
          <w:tcPr>
            <w:tcW w:w="6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2"/>
        </w:trPr>
        <w:tc>
          <w:tcPr>
            <w:tcW w:w="6520" w:type="dxa"/>
            <w:vAlign w:val="bottom"/>
            <w:shd w:val="clear" w:color="auto" w:fill="E6EEFF"/>
          </w:tcPr>
          <w:p>
            <w:pPr>
              <w:ind w:left="140"/>
              <w:spacing w:after="0" w:line="173" w:lineRule="exact"/>
              <w:rPr>
                <w:sz w:val="20"/>
                <w:szCs w:val="20"/>
                <w:color w:val="auto"/>
              </w:rPr>
            </w:pPr>
            <w:r>
              <w:rPr>
                <w:rFonts w:ascii="Calibri" w:cs="Calibri" w:eastAsia="Calibri" w:hAnsi="Calibri"/>
                <w:sz w:val="17"/>
                <w:szCs w:val="17"/>
                <w:color w:val="auto"/>
              </w:rPr>
              <w:t>Purchases of U.S. Treasury Securites (including $155,857,$593,162 and $99,053,</w:t>
            </w:r>
          </w:p>
        </w:tc>
        <w:tc>
          <w:tcPr>
            <w:tcW w:w="360" w:type="dxa"/>
            <w:vAlign w:val="bottom"/>
            <w:shd w:val="clear" w:color="auto" w:fill="E6EEFF"/>
          </w:tcPr>
          <w:p>
            <w:pPr>
              <w:spacing w:after="0"/>
              <w:rPr>
                <w:sz w:val="14"/>
                <w:szCs w:val="14"/>
                <w:color w:val="auto"/>
              </w:rPr>
            </w:pPr>
          </w:p>
        </w:tc>
        <w:tc>
          <w:tcPr>
            <w:tcW w:w="114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360" w:type="dxa"/>
            <w:vAlign w:val="bottom"/>
            <w:shd w:val="clear" w:color="auto" w:fill="E6EEFF"/>
          </w:tcPr>
          <w:p>
            <w:pPr>
              <w:spacing w:after="0"/>
              <w:rPr>
                <w:sz w:val="14"/>
                <w:szCs w:val="14"/>
                <w:color w:val="auto"/>
              </w:rPr>
            </w:pPr>
          </w:p>
        </w:tc>
        <w:tc>
          <w:tcPr>
            <w:tcW w:w="1140" w:type="dxa"/>
            <w:vAlign w:val="bottom"/>
            <w:shd w:val="clear" w:color="auto" w:fill="E6EEFF"/>
          </w:tcPr>
          <w:p>
            <w:pPr>
              <w:spacing w:after="0"/>
              <w:rPr>
                <w:sz w:val="14"/>
                <w:szCs w:val="14"/>
                <w:color w:val="auto"/>
              </w:rPr>
            </w:pPr>
          </w:p>
        </w:tc>
        <w:tc>
          <w:tcPr>
            <w:tcW w:w="100" w:type="dxa"/>
            <w:vAlign w:val="bottom"/>
            <w:shd w:val="clear" w:color="auto" w:fill="E6EEFF"/>
          </w:tcPr>
          <w:p>
            <w:pPr>
              <w:spacing w:after="0"/>
              <w:rPr>
                <w:sz w:val="14"/>
                <w:szCs w:val="14"/>
                <w:color w:val="auto"/>
              </w:rPr>
            </w:pPr>
          </w:p>
        </w:tc>
        <w:tc>
          <w:tcPr>
            <w:tcW w:w="400" w:type="dxa"/>
            <w:vAlign w:val="bottom"/>
            <w:shd w:val="clear" w:color="auto" w:fill="E6EEFF"/>
          </w:tcPr>
          <w:p>
            <w:pPr>
              <w:spacing w:after="0"/>
              <w:rPr>
                <w:sz w:val="14"/>
                <w:szCs w:val="14"/>
                <w:color w:val="auto"/>
              </w:rPr>
            </w:pPr>
          </w:p>
        </w:tc>
        <w:tc>
          <w:tcPr>
            <w:tcW w:w="1100" w:type="dxa"/>
            <w:vAlign w:val="bottom"/>
            <w:shd w:val="clear" w:color="auto" w:fill="E6EEFF"/>
          </w:tcPr>
          <w:p>
            <w:pPr>
              <w:spacing w:after="0"/>
              <w:rPr>
                <w:sz w:val="14"/>
                <w:szCs w:val="14"/>
                <w:color w:val="auto"/>
              </w:rPr>
            </w:pPr>
          </w:p>
        </w:tc>
        <w:tc>
          <w:tcPr>
            <w:tcW w:w="20" w:type="dxa"/>
            <w:vAlign w:val="bottom"/>
          </w:tcPr>
          <w:p>
            <w:pPr>
              <w:spacing w:after="0"/>
              <w:rPr>
                <w:sz w:val="14"/>
                <w:szCs w:val="14"/>
                <w:color w:val="auto"/>
              </w:rPr>
            </w:pPr>
          </w:p>
        </w:tc>
      </w:tr>
      <w:tr>
        <w:trPr>
          <w:trHeight w:val="207"/>
        </w:trPr>
        <w:tc>
          <w:tcPr>
            <w:tcW w:w="6520" w:type="dxa"/>
            <w:vAlign w:val="bottom"/>
            <w:tcBorders>
              <w:bottom w:val="single" w:sz="8" w:color="E6EEFF"/>
            </w:tcBorders>
            <w:shd w:val="clear" w:color="auto" w:fill="E6EEFF"/>
          </w:tcPr>
          <w:p>
            <w:pPr>
              <w:ind w:left="140"/>
              <w:spacing w:after="0" w:line="205" w:lineRule="exact"/>
              <w:rPr>
                <w:sz w:val="20"/>
                <w:szCs w:val="20"/>
                <w:color w:val="auto"/>
              </w:rPr>
            </w:pPr>
            <w:r>
              <w:rPr>
                <w:rFonts w:ascii="Calibri" w:cs="Calibri" w:eastAsia="Calibri" w:hAnsi="Calibri"/>
                <w:sz w:val="17"/>
                <w:szCs w:val="17"/>
                <w:color w:val="auto"/>
              </w:rPr>
              <w:t>respectvely with BUCKLER)</w:t>
            </w:r>
          </w:p>
        </w:tc>
        <w:tc>
          <w:tcPr>
            <w:tcW w:w="360" w:type="dxa"/>
            <w:vAlign w:val="bottom"/>
            <w:tcBorders>
              <w:bottom w:val="single" w:sz="8" w:color="E6EEFF"/>
            </w:tcBorders>
            <w:shd w:val="clear" w:color="auto" w:fill="E6EEFF"/>
          </w:tcPr>
          <w:p>
            <w:pPr>
              <w:spacing w:after="0"/>
              <w:rPr>
                <w:sz w:val="18"/>
                <w:szCs w:val="18"/>
                <w:color w:val="auto"/>
              </w:rPr>
            </w:pPr>
          </w:p>
        </w:tc>
        <w:tc>
          <w:tcPr>
            <w:tcW w:w="1140" w:type="dxa"/>
            <w:vAlign w:val="bottom"/>
            <w:tcBorders>
              <w:bottom w:val="single" w:sz="8" w:color="E6EEFF"/>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(1,465,748)</w:t>
            </w:r>
          </w:p>
        </w:tc>
        <w:tc>
          <w:tcPr>
            <w:tcW w:w="120" w:type="dxa"/>
            <w:vAlign w:val="bottom"/>
            <w:tcBorders>
              <w:bottom w:val="single" w:sz="8" w:color="E6EEFF"/>
            </w:tcBorders>
            <w:shd w:val="clear" w:color="auto" w:fill="E6EEFF"/>
          </w:tcPr>
          <w:p>
            <w:pPr>
              <w:spacing w:after="0"/>
              <w:rPr>
                <w:sz w:val="18"/>
                <w:szCs w:val="18"/>
                <w:color w:val="auto"/>
              </w:rPr>
            </w:pPr>
          </w:p>
        </w:tc>
        <w:tc>
          <w:tcPr>
            <w:tcW w:w="360" w:type="dxa"/>
            <w:vAlign w:val="bottom"/>
            <w:tcBorders>
              <w:bottom w:val="single" w:sz="8" w:color="E6EEFF"/>
            </w:tcBorders>
            <w:shd w:val="clear" w:color="auto" w:fill="E6EEFF"/>
          </w:tcPr>
          <w:p>
            <w:pPr>
              <w:spacing w:after="0"/>
              <w:rPr>
                <w:sz w:val="18"/>
                <w:szCs w:val="18"/>
                <w:color w:val="auto"/>
              </w:rPr>
            </w:pPr>
          </w:p>
        </w:tc>
        <w:tc>
          <w:tcPr>
            <w:tcW w:w="1140" w:type="dxa"/>
            <w:vAlign w:val="bottom"/>
            <w:tcBorders>
              <w:bottom w:val="single" w:sz="8" w:color="E6EEFF"/>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(4,820,464)</w:t>
            </w:r>
          </w:p>
        </w:tc>
        <w:tc>
          <w:tcPr>
            <w:tcW w:w="100" w:type="dxa"/>
            <w:vAlign w:val="bottom"/>
            <w:tcBorders>
              <w:bottom w:val="single" w:sz="8" w:color="E6EEFF"/>
            </w:tcBorders>
            <w:shd w:val="clear" w:color="auto" w:fill="E6EEFF"/>
          </w:tcPr>
          <w:p>
            <w:pPr>
              <w:spacing w:after="0"/>
              <w:rPr>
                <w:sz w:val="18"/>
                <w:szCs w:val="18"/>
                <w:color w:val="auto"/>
              </w:rPr>
            </w:pPr>
          </w:p>
        </w:tc>
        <w:tc>
          <w:tcPr>
            <w:tcW w:w="400" w:type="dxa"/>
            <w:vAlign w:val="bottom"/>
            <w:tcBorders>
              <w:bottom w:val="single" w:sz="8" w:color="E6EEFF"/>
            </w:tcBorders>
            <w:shd w:val="clear" w:color="auto" w:fill="E6EEFF"/>
          </w:tcPr>
          <w:p>
            <w:pPr>
              <w:spacing w:after="0"/>
              <w:rPr>
                <w:sz w:val="18"/>
                <w:szCs w:val="18"/>
                <w:color w:val="auto"/>
              </w:rPr>
            </w:pPr>
          </w:p>
        </w:tc>
        <w:tc>
          <w:tcPr>
            <w:tcW w:w="1100" w:type="dxa"/>
            <w:vAlign w:val="bottom"/>
            <w:tcBorders>
              <w:bottom w:val="single" w:sz="8" w:color="E6EEFF"/>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(987,887)</w:t>
            </w:r>
          </w:p>
        </w:tc>
        <w:tc>
          <w:tcPr>
            <w:tcW w:w="20" w:type="dxa"/>
            <w:vAlign w:val="bottom"/>
          </w:tcPr>
          <w:p>
            <w:pPr>
              <w:spacing w:after="0"/>
              <w:rPr>
                <w:sz w:val="18"/>
                <w:szCs w:val="18"/>
                <w:color w:val="auto"/>
              </w:rPr>
            </w:pPr>
          </w:p>
        </w:tc>
      </w:tr>
      <w:tr>
        <w:trPr>
          <w:trHeight w:val="212"/>
        </w:trPr>
        <w:tc>
          <w:tcPr>
            <w:tcW w:w="6520" w:type="dxa"/>
            <w:vAlign w:val="bottom"/>
          </w:tcPr>
          <w:p>
            <w:pPr>
              <w:ind w:left="140"/>
              <w:spacing w:after="0" w:line="205" w:lineRule="exact"/>
              <w:rPr>
                <w:sz w:val="20"/>
                <w:szCs w:val="20"/>
                <w:color w:val="auto"/>
              </w:rPr>
            </w:pPr>
            <w:r>
              <w:rPr>
                <w:rFonts w:ascii="Calibri" w:cs="Calibri" w:eastAsia="Calibri" w:hAnsi="Calibri"/>
                <w:sz w:val="17"/>
                <w:szCs w:val="17"/>
                <w:color w:val="auto"/>
              </w:rPr>
              <w:t>Principal repayments of Agency Securites</w:t>
            </w: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803,158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573,609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870,985</w:t>
            </w:r>
          </w:p>
        </w:tc>
        <w:tc>
          <w:tcPr>
            <w:tcW w:w="20" w:type="dxa"/>
            <w:vAlign w:val="bottom"/>
          </w:tcPr>
          <w:p>
            <w:pPr>
              <w:spacing w:after="0"/>
              <w:rPr>
                <w:sz w:val="18"/>
                <w:szCs w:val="18"/>
                <w:color w:val="auto"/>
              </w:rPr>
            </w:pPr>
          </w:p>
        </w:tc>
      </w:tr>
      <w:tr>
        <w:trPr>
          <w:trHeight w:val="226"/>
        </w:trPr>
        <w:tc>
          <w:tcPr>
            <w:tcW w:w="6520" w:type="dxa"/>
            <w:vAlign w:val="bottom"/>
            <w:shd w:val="clear" w:color="auto" w:fill="E6EEFF"/>
          </w:tcPr>
          <w:p>
            <w:pPr>
              <w:ind w:left="140"/>
              <w:spacing w:after="0"/>
              <w:rPr>
                <w:sz w:val="20"/>
                <w:szCs w:val="20"/>
                <w:color w:val="auto"/>
              </w:rPr>
            </w:pPr>
            <w:r>
              <w:rPr>
                <w:rFonts w:ascii="Calibri" w:cs="Calibri" w:eastAsia="Calibri" w:hAnsi="Calibri"/>
                <w:sz w:val="17"/>
                <w:szCs w:val="17"/>
                <w:color w:val="auto"/>
              </w:rPr>
              <w:t>Proceeds from sales of Agency Securites</w:t>
            </w: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6,290,592</w:t>
            </w:r>
          </w:p>
        </w:tc>
        <w:tc>
          <w:tcPr>
            <w:tcW w:w="120" w:type="dxa"/>
            <w:vAlign w:val="bottom"/>
            <w:shd w:val="clear" w:color="auto" w:fill="E6EEFF"/>
          </w:tcPr>
          <w:p>
            <w:pPr>
              <w:spacing w:after="0"/>
              <w:rPr>
                <w:sz w:val="19"/>
                <w:szCs w:val="19"/>
                <w:color w:val="auto"/>
              </w:rPr>
            </w:pP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6,349,056</w:t>
            </w:r>
          </w:p>
        </w:tc>
        <w:tc>
          <w:tcPr>
            <w:tcW w:w="100" w:type="dxa"/>
            <w:vAlign w:val="bottom"/>
            <w:shd w:val="clear" w:color="auto" w:fill="E6EEFF"/>
          </w:tcPr>
          <w:p>
            <w:pPr>
              <w:spacing w:after="0"/>
              <w:rPr>
                <w:sz w:val="19"/>
                <w:szCs w:val="19"/>
                <w:color w:val="auto"/>
              </w:rPr>
            </w:pPr>
          </w:p>
        </w:tc>
        <w:tc>
          <w:tcPr>
            <w:tcW w:w="400" w:type="dxa"/>
            <w:vAlign w:val="bottom"/>
            <w:shd w:val="clear" w:color="auto" w:fill="E6EEFF"/>
          </w:tcPr>
          <w:p>
            <w:pPr>
              <w:spacing w:after="0"/>
              <w:rPr>
                <w:sz w:val="19"/>
                <w:szCs w:val="19"/>
                <w:color w:val="auto"/>
              </w:rPr>
            </w:pPr>
          </w:p>
        </w:tc>
        <w:tc>
          <w:tcPr>
            <w:tcW w:w="11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980,380</w:t>
            </w:r>
          </w:p>
        </w:tc>
        <w:tc>
          <w:tcPr>
            <w:tcW w:w="20" w:type="dxa"/>
            <w:vAlign w:val="bottom"/>
          </w:tcPr>
          <w:p>
            <w:pPr>
              <w:spacing w:after="0"/>
              <w:rPr>
                <w:sz w:val="19"/>
                <w:szCs w:val="19"/>
                <w:color w:val="auto"/>
              </w:rPr>
            </w:pPr>
          </w:p>
        </w:tc>
      </w:tr>
      <w:tr>
        <w:trPr>
          <w:trHeight w:val="172"/>
        </w:trPr>
        <w:tc>
          <w:tcPr>
            <w:tcW w:w="6520" w:type="dxa"/>
            <w:vAlign w:val="bottom"/>
          </w:tcPr>
          <w:p>
            <w:pPr>
              <w:ind w:left="140"/>
              <w:spacing w:after="0" w:line="173" w:lineRule="exact"/>
              <w:rPr>
                <w:sz w:val="20"/>
                <w:szCs w:val="20"/>
                <w:color w:val="auto"/>
              </w:rPr>
            </w:pPr>
            <w:r>
              <w:rPr>
                <w:rFonts w:ascii="Calibri" w:cs="Calibri" w:eastAsia="Calibri" w:hAnsi="Calibri"/>
                <w:sz w:val="17"/>
                <w:szCs w:val="17"/>
                <w:color w:val="auto"/>
              </w:rPr>
              <w:t>Proceeds from sales of U.S. Treasury Securites (including $154,875 and $814,265 with</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6520" w:type="dxa"/>
            <w:vAlign w:val="bottom"/>
          </w:tcPr>
          <w:p>
            <w:pPr>
              <w:ind w:left="140"/>
              <w:spacing w:after="0" w:line="205" w:lineRule="exact"/>
              <w:rPr>
                <w:sz w:val="20"/>
                <w:szCs w:val="20"/>
                <w:color w:val="auto"/>
              </w:rPr>
            </w:pPr>
            <w:r>
              <w:rPr>
                <w:rFonts w:ascii="Calibri" w:cs="Calibri" w:eastAsia="Calibri" w:hAnsi="Calibri"/>
                <w:sz w:val="17"/>
                <w:szCs w:val="17"/>
                <w:color w:val="auto"/>
              </w:rPr>
              <w:t>BUCKLER in 2023 and 2022, respectvely)</w:t>
            </w:r>
          </w:p>
        </w:tc>
        <w:tc>
          <w:tcPr>
            <w:tcW w:w="36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1,270,141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5,371,563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779,684</w:t>
            </w:r>
          </w:p>
        </w:tc>
        <w:tc>
          <w:tcPr>
            <w:tcW w:w="20" w:type="dxa"/>
            <w:vAlign w:val="bottom"/>
          </w:tcPr>
          <w:p>
            <w:pPr>
              <w:spacing w:after="0"/>
              <w:rPr>
                <w:sz w:val="17"/>
                <w:szCs w:val="17"/>
                <w:color w:val="auto"/>
              </w:rPr>
            </w:pPr>
          </w:p>
        </w:tc>
      </w:tr>
      <w:tr>
        <w:trPr>
          <w:trHeight w:val="22"/>
        </w:trPr>
        <w:tc>
          <w:tcPr>
            <w:tcW w:w="6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2"/>
        </w:trPr>
        <w:tc>
          <w:tcPr>
            <w:tcW w:w="6520" w:type="dxa"/>
            <w:vAlign w:val="bottom"/>
            <w:shd w:val="clear" w:color="auto" w:fill="E6EEFF"/>
          </w:tcPr>
          <w:p>
            <w:pPr>
              <w:ind w:left="140"/>
              <w:spacing w:after="0" w:line="173" w:lineRule="exact"/>
              <w:rPr>
                <w:sz w:val="20"/>
                <w:szCs w:val="20"/>
                <w:color w:val="auto"/>
              </w:rPr>
            </w:pPr>
            <w:r>
              <w:rPr>
                <w:rFonts w:ascii="Calibri" w:cs="Calibri" w:eastAsia="Calibri" w:hAnsi="Calibri"/>
                <w:sz w:val="17"/>
                <w:szCs w:val="17"/>
                <w:color w:val="auto"/>
                <w:w w:val="99"/>
              </w:rPr>
              <w:t>Disbursements on reverse repurchase agreements (including $(2,774,490), $(1,958,460) and</w:t>
            </w:r>
          </w:p>
        </w:tc>
        <w:tc>
          <w:tcPr>
            <w:tcW w:w="360" w:type="dxa"/>
            <w:vAlign w:val="bottom"/>
            <w:shd w:val="clear" w:color="auto" w:fill="E6EEFF"/>
          </w:tcPr>
          <w:p>
            <w:pPr>
              <w:spacing w:after="0"/>
              <w:rPr>
                <w:sz w:val="14"/>
                <w:szCs w:val="14"/>
                <w:color w:val="auto"/>
              </w:rPr>
            </w:pPr>
          </w:p>
        </w:tc>
        <w:tc>
          <w:tcPr>
            <w:tcW w:w="114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360" w:type="dxa"/>
            <w:vAlign w:val="bottom"/>
            <w:shd w:val="clear" w:color="auto" w:fill="E6EEFF"/>
          </w:tcPr>
          <w:p>
            <w:pPr>
              <w:spacing w:after="0"/>
              <w:rPr>
                <w:sz w:val="14"/>
                <w:szCs w:val="14"/>
                <w:color w:val="auto"/>
              </w:rPr>
            </w:pPr>
          </w:p>
        </w:tc>
        <w:tc>
          <w:tcPr>
            <w:tcW w:w="1140" w:type="dxa"/>
            <w:vAlign w:val="bottom"/>
            <w:shd w:val="clear" w:color="auto" w:fill="E6EEFF"/>
          </w:tcPr>
          <w:p>
            <w:pPr>
              <w:spacing w:after="0"/>
              <w:rPr>
                <w:sz w:val="14"/>
                <w:szCs w:val="14"/>
                <w:color w:val="auto"/>
              </w:rPr>
            </w:pPr>
          </w:p>
        </w:tc>
        <w:tc>
          <w:tcPr>
            <w:tcW w:w="100" w:type="dxa"/>
            <w:vAlign w:val="bottom"/>
            <w:shd w:val="clear" w:color="auto" w:fill="E6EEFF"/>
          </w:tcPr>
          <w:p>
            <w:pPr>
              <w:spacing w:after="0"/>
              <w:rPr>
                <w:sz w:val="14"/>
                <w:szCs w:val="14"/>
                <w:color w:val="auto"/>
              </w:rPr>
            </w:pPr>
          </w:p>
        </w:tc>
        <w:tc>
          <w:tcPr>
            <w:tcW w:w="400" w:type="dxa"/>
            <w:vAlign w:val="bottom"/>
            <w:shd w:val="clear" w:color="auto" w:fill="E6EEFF"/>
          </w:tcPr>
          <w:p>
            <w:pPr>
              <w:spacing w:after="0"/>
              <w:rPr>
                <w:sz w:val="14"/>
                <w:szCs w:val="14"/>
                <w:color w:val="auto"/>
              </w:rPr>
            </w:pPr>
          </w:p>
        </w:tc>
        <w:tc>
          <w:tcPr>
            <w:tcW w:w="1100" w:type="dxa"/>
            <w:vAlign w:val="bottom"/>
            <w:shd w:val="clear" w:color="auto" w:fill="E6EEFF"/>
          </w:tcPr>
          <w:p>
            <w:pPr>
              <w:spacing w:after="0"/>
              <w:rPr>
                <w:sz w:val="14"/>
                <w:szCs w:val="14"/>
                <w:color w:val="auto"/>
              </w:rPr>
            </w:pPr>
          </w:p>
        </w:tc>
        <w:tc>
          <w:tcPr>
            <w:tcW w:w="20" w:type="dxa"/>
            <w:vAlign w:val="bottom"/>
          </w:tcPr>
          <w:p>
            <w:pPr>
              <w:spacing w:after="0"/>
              <w:rPr>
                <w:sz w:val="14"/>
                <w:szCs w:val="14"/>
                <w:color w:val="auto"/>
              </w:rPr>
            </w:pPr>
          </w:p>
        </w:tc>
      </w:tr>
      <w:tr>
        <w:trPr>
          <w:trHeight w:val="207"/>
        </w:trPr>
        <w:tc>
          <w:tcPr>
            <w:tcW w:w="6520" w:type="dxa"/>
            <w:vAlign w:val="bottom"/>
            <w:tcBorders>
              <w:bottom w:val="single" w:sz="8" w:color="E6EEFF"/>
            </w:tcBorders>
            <w:shd w:val="clear" w:color="auto" w:fill="E6EEFF"/>
          </w:tcPr>
          <w:p>
            <w:pPr>
              <w:ind w:left="140"/>
              <w:spacing w:after="0" w:line="205" w:lineRule="exact"/>
              <w:rPr>
                <w:sz w:val="20"/>
                <w:szCs w:val="20"/>
                <w:color w:val="auto"/>
              </w:rPr>
            </w:pPr>
            <w:r>
              <w:rPr>
                <w:rFonts w:ascii="Calibri" w:cs="Calibri" w:eastAsia="Calibri" w:hAnsi="Calibri"/>
                <w:sz w:val="17"/>
                <w:szCs w:val="17"/>
                <w:color w:val="auto"/>
              </w:rPr>
              <w:t>$(197,750), respectvely with BUCKLER)</w:t>
            </w:r>
          </w:p>
        </w:tc>
        <w:tc>
          <w:tcPr>
            <w:tcW w:w="360" w:type="dxa"/>
            <w:vAlign w:val="bottom"/>
            <w:tcBorders>
              <w:bottom w:val="single" w:sz="8" w:color="E6EEFF"/>
            </w:tcBorders>
            <w:shd w:val="clear" w:color="auto" w:fill="E6EEFF"/>
          </w:tcPr>
          <w:p>
            <w:pPr>
              <w:spacing w:after="0"/>
              <w:rPr>
                <w:sz w:val="18"/>
                <w:szCs w:val="18"/>
                <w:color w:val="auto"/>
              </w:rPr>
            </w:pPr>
          </w:p>
        </w:tc>
        <w:tc>
          <w:tcPr>
            <w:tcW w:w="1140" w:type="dxa"/>
            <w:vAlign w:val="bottom"/>
            <w:tcBorders>
              <w:bottom w:val="single" w:sz="8" w:color="E6EEFF"/>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(2,774,490)</w:t>
            </w:r>
          </w:p>
        </w:tc>
        <w:tc>
          <w:tcPr>
            <w:tcW w:w="120" w:type="dxa"/>
            <w:vAlign w:val="bottom"/>
            <w:tcBorders>
              <w:bottom w:val="single" w:sz="8" w:color="E6EEFF"/>
            </w:tcBorders>
            <w:shd w:val="clear" w:color="auto" w:fill="E6EEFF"/>
          </w:tcPr>
          <w:p>
            <w:pPr>
              <w:spacing w:after="0"/>
              <w:rPr>
                <w:sz w:val="18"/>
                <w:szCs w:val="18"/>
                <w:color w:val="auto"/>
              </w:rPr>
            </w:pPr>
          </w:p>
        </w:tc>
        <w:tc>
          <w:tcPr>
            <w:tcW w:w="360" w:type="dxa"/>
            <w:vAlign w:val="bottom"/>
            <w:tcBorders>
              <w:bottom w:val="single" w:sz="8" w:color="E6EEFF"/>
            </w:tcBorders>
            <w:shd w:val="clear" w:color="auto" w:fill="E6EEFF"/>
          </w:tcPr>
          <w:p>
            <w:pPr>
              <w:spacing w:after="0"/>
              <w:rPr>
                <w:sz w:val="18"/>
                <w:szCs w:val="18"/>
                <w:color w:val="auto"/>
              </w:rPr>
            </w:pPr>
          </w:p>
        </w:tc>
        <w:tc>
          <w:tcPr>
            <w:tcW w:w="1140" w:type="dxa"/>
            <w:vAlign w:val="bottom"/>
            <w:tcBorders>
              <w:bottom w:val="single" w:sz="8" w:color="E6EEFF"/>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(1,958,460)</w:t>
            </w:r>
          </w:p>
        </w:tc>
        <w:tc>
          <w:tcPr>
            <w:tcW w:w="100" w:type="dxa"/>
            <w:vAlign w:val="bottom"/>
            <w:tcBorders>
              <w:bottom w:val="single" w:sz="8" w:color="E6EEFF"/>
            </w:tcBorders>
            <w:shd w:val="clear" w:color="auto" w:fill="E6EEFF"/>
          </w:tcPr>
          <w:p>
            <w:pPr>
              <w:spacing w:after="0"/>
              <w:rPr>
                <w:sz w:val="18"/>
                <w:szCs w:val="18"/>
                <w:color w:val="auto"/>
              </w:rPr>
            </w:pPr>
          </w:p>
        </w:tc>
        <w:tc>
          <w:tcPr>
            <w:tcW w:w="400" w:type="dxa"/>
            <w:vAlign w:val="bottom"/>
            <w:tcBorders>
              <w:bottom w:val="single" w:sz="8" w:color="E6EEFF"/>
            </w:tcBorders>
            <w:shd w:val="clear" w:color="auto" w:fill="E6EEFF"/>
          </w:tcPr>
          <w:p>
            <w:pPr>
              <w:spacing w:after="0"/>
              <w:rPr>
                <w:sz w:val="18"/>
                <w:szCs w:val="18"/>
                <w:color w:val="auto"/>
              </w:rPr>
            </w:pPr>
          </w:p>
        </w:tc>
        <w:tc>
          <w:tcPr>
            <w:tcW w:w="1100" w:type="dxa"/>
            <w:vAlign w:val="bottom"/>
            <w:tcBorders>
              <w:bottom w:val="single" w:sz="8" w:color="E6EEFF"/>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(391,125)</w:t>
            </w:r>
          </w:p>
        </w:tc>
        <w:tc>
          <w:tcPr>
            <w:tcW w:w="20" w:type="dxa"/>
            <w:vAlign w:val="bottom"/>
          </w:tcPr>
          <w:p>
            <w:pPr>
              <w:spacing w:after="0"/>
              <w:rPr>
                <w:sz w:val="18"/>
                <w:szCs w:val="18"/>
                <w:color w:val="auto"/>
              </w:rPr>
            </w:pPr>
          </w:p>
        </w:tc>
      </w:tr>
      <w:tr>
        <w:trPr>
          <w:trHeight w:val="172"/>
        </w:trPr>
        <w:tc>
          <w:tcPr>
            <w:tcW w:w="6520" w:type="dxa"/>
            <w:vAlign w:val="bottom"/>
          </w:tcPr>
          <w:p>
            <w:pPr>
              <w:ind w:left="140"/>
              <w:spacing w:after="0" w:line="173" w:lineRule="exact"/>
              <w:rPr>
                <w:sz w:val="20"/>
                <w:szCs w:val="20"/>
                <w:color w:val="auto"/>
              </w:rPr>
            </w:pPr>
            <w:r>
              <w:rPr>
                <w:rFonts w:ascii="Calibri" w:cs="Calibri" w:eastAsia="Calibri" w:hAnsi="Calibri"/>
                <w:sz w:val="17"/>
                <w:szCs w:val="17"/>
                <w:color w:val="auto"/>
              </w:rPr>
              <w:t>Receipts from reverse repurchase agreements (including $3,124,829, $1,254,184 and</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6520" w:type="dxa"/>
            <w:vAlign w:val="bottom"/>
          </w:tcPr>
          <w:p>
            <w:pPr>
              <w:ind w:left="140"/>
              <w:spacing w:after="0" w:line="205" w:lineRule="exact"/>
              <w:rPr>
                <w:sz w:val="20"/>
                <w:szCs w:val="20"/>
                <w:color w:val="auto"/>
              </w:rPr>
            </w:pPr>
            <w:r>
              <w:rPr>
                <w:rFonts w:ascii="Calibri" w:cs="Calibri" w:eastAsia="Calibri" w:hAnsi="Calibri"/>
                <w:sz w:val="17"/>
                <w:szCs w:val="17"/>
                <w:color w:val="auto"/>
              </w:rPr>
              <w:t>$197,750, respectvely with BUCKLER)</w:t>
            </w:r>
          </w:p>
        </w:tc>
        <w:tc>
          <w:tcPr>
            <w:tcW w:w="36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3,124,829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1,254,184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spacing w:after="0" w:line="205" w:lineRule="exact"/>
              <w:rPr>
                <w:sz w:val="20"/>
                <w:szCs w:val="20"/>
                <w:color w:val="auto"/>
              </w:rPr>
            </w:pPr>
            <w:r>
              <w:rPr>
                <w:rFonts w:ascii="Calibri" w:cs="Calibri" w:eastAsia="Calibri" w:hAnsi="Calibri"/>
                <w:sz w:val="17"/>
                <w:szCs w:val="17"/>
                <w:color w:val="auto"/>
              </w:rPr>
              <w:t>391,125</w:t>
            </w:r>
          </w:p>
        </w:tc>
        <w:tc>
          <w:tcPr>
            <w:tcW w:w="20" w:type="dxa"/>
            <w:vAlign w:val="bottom"/>
          </w:tcPr>
          <w:p>
            <w:pPr>
              <w:spacing w:after="0"/>
              <w:rPr>
                <w:sz w:val="17"/>
                <w:szCs w:val="17"/>
                <w:color w:val="auto"/>
              </w:rPr>
            </w:pPr>
          </w:p>
        </w:tc>
      </w:tr>
      <w:tr>
        <w:trPr>
          <w:trHeight w:val="1936"/>
        </w:trPr>
        <w:tc>
          <w:tcPr>
            <w:tcW w:w="6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-752475</wp:posOffset>
            </wp:positionV>
            <wp:extent cx="458470" cy="5073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83" w:name="page84"/>
    <w:bookmarkEnd w:id="83"/>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center"/>
        <w:spacing w:after="0"/>
        <w:rPr>
          <w:sz w:val="20"/>
          <w:szCs w:val="20"/>
          <w:color w:val="auto"/>
        </w:rPr>
      </w:pPr>
      <w:r>
        <w:rPr>
          <w:rFonts w:ascii="Calibri" w:cs="Calibri" w:eastAsia="Calibri" w:hAnsi="Calibri"/>
          <w:sz w:val="19"/>
          <w:szCs w:val="19"/>
          <w:b w:val="1"/>
          <w:bCs w:val="1"/>
          <w:color w:val="1C4787"/>
        </w:rPr>
        <w:t>CONSOLIDATED STATEMENTS OF CASH FLOWS</w:t>
      </w:r>
    </w:p>
    <w:p>
      <w:pPr>
        <w:spacing w:after="0" w:line="8" w:lineRule="exact"/>
        <w:rPr>
          <w:sz w:val="20"/>
          <w:szCs w:val="20"/>
          <w:color w:val="auto"/>
        </w:rPr>
      </w:pPr>
    </w:p>
    <w:p>
      <w:pPr>
        <w:ind w:left="4760"/>
        <w:spacing w:after="0"/>
        <w:rPr>
          <w:sz w:val="20"/>
          <w:szCs w:val="20"/>
          <w:color w:val="auto"/>
        </w:rPr>
      </w:pPr>
      <w:r>
        <w:rPr>
          <w:rFonts w:ascii="Calibri" w:cs="Calibri" w:eastAsia="Calibri" w:hAnsi="Calibri"/>
          <w:sz w:val="17"/>
          <w:szCs w:val="17"/>
          <w:color w:val="1C4787"/>
        </w:rPr>
        <w:t>(U.S. dollar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Calibri" w:cs="Calibri" w:eastAsia="Calibri" w:hAnsi="Calibri"/>
                <w:sz w:val="17"/>
                <w:szCs w:val="17"/>
                <w:color w:val="1C4787"/>
              </w:rPr>
              <w:t>82</w:t>
            </w:r>
          </w:p>
        </w:tc>
      </w:tr>
      <w:tr>
        <w:trPr>
          <w:trHeight w:val="628"/>
        </w:trPr>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9"/>
        </w:trPr>
        <w:tc>
          <w:tcPr>
            <w:tcW w:w="6520" w:type="dxa"/>
            <w:vAlign w:val="bottom"/>
            <w:shd w:val="clear" w:color="auto" w:fill="E6EEFF"/>
          </w:tcPr>
          <w:p>
            <w:pPr>
              <w:ind w:left="5220"/>
              <w:spacing w:after="0" w:line="205" w:lineRule="exact"/>
              <w:rPr>
                <w:sz w:val="20"/>
                <w:szCs w:val="20"/>
                <w:color w:val="auto"/>
              </w:rPr>
            </w:pPr>
            <w:r>
              <w:rPr>
                <w:rFonts w:ascii="Calibri" w:cs="Calibri" w:eastAsia="Calibri" w:hAnsi="Calibri"/>
                <w:sz w:val="17"/>
                <w:szCs w:val="17"/>
                <w:color w:val="1C4787"/>
              </w:rPr>
              <w:t>(Contnued)</w:t>
            </w:r>
          </w:p>
        </w:tc>
        <w:tc>
          <w:tcPr>
            <w:tcW w:w="320" w:type="dxa"/>
            <w:vAlign w:val="bottom"/>
            <w:shd w:val="clear" w:color="auto" w:fill="E6EEFF"/>
          </w:tcPr>
          <w:p>
            <w:pPr>
              <w:spacing w:after="0"/>
              <w:rPr>
                <w:sz w:val="19"/>
                <w:szCs w:val="19"/>
                <w:color w:val="auto"/>
              </w:rPr>
            </w:pPr>
          </w:p>
        </w:tc>
        <w:tc>
          <w:tcPr>
            <w:tcW w:w="118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spacing w:after="0"/>
              <w:rPr>
                <w:sz w:val="19"/>
                <w:szCs w:val="19"/>
                <w:color w:val="auto"/>
              </w:rPr>
            </w:pPr>
          </w:p>
        </w:tc>
      </w:tr>
      <w:tr>
        <w:trPr>
          <w:trHeight w:val="205"/>
        </w:trPr>
        <w:tc>
          <w:tcPr>
            <w:tcW w:w="6520" w:type="dxa"/>
            <w:vAlign w:val="bottom"/>
          </w:tcPr>
          <w:p>
            <w:pPr>
              <w:ind w:left="140"/>
              <w:spacing w:after="0" w:line="205" w:lineRule="exact"/>
              <w:rPr>
                <w:sz w:val="20"/>
                <w:szCs w:val="20"/>
                <w:color w:val="auto"/>
              </w:rPr>
            </w:pPr>
            <w:r>
              <w:rPr>
                <w:rFonts w:ascii="Calibri" w:cs="Calibri" w:eastAsia="Calibri" w:hAnsi="Calibri"/>
                <w:sz w:val="17"/>
                <w:szCs w:val="17"/>
                <w:color w:val="auto"/>
              </w:rPr>
              <w:t>Increase (decrease) in cash collateral posted by counterpartes</w:t>
            </w:r>
          </w:p>
        </w:tc>
        <w:tc>
          <w:tcPr>
            <w:tcW w:w="320" w:type="dxa"/>
            <w:vAlign w:val="bottom"/>
          </w:tcPr>
          <w:p>
            <w:pPr>
              <w:spacing w:after="0"/>
              <w:rPr>
                <w:sz w:val="17"/>
                <w:szCs w:val="17"/>
                <w:color w:val="auto"/>
              </w:rPr>
            </w:pPr>
          </w:p>
        </w:tc>
        <w:tc>
          <w:tcPr>
            <w:tcW w:w="1180" w:type="dxa"/>
            <w:vAlign w:val="bottom"/>
          </w:tcPr>
          <w:p>
            <w:pPr>
              <w:jc w:val="right"/>
              <w:spacing w:after="0" w:line="205" w:lineRule="exact"/>
              <w:rPr>
                <w:sz w:val="20"/>
                <w:szCs w:val="20"/>
                <w:color w:val="auto"/>
              </w:rPr>
            </w:pPr>
            <w:r>
              <w:rPr>
                <w:rFonts w:ascii="Calibri" w:cs="Calibri" w:eastAsia="Calibri" w:hAnsi="Calibri"/>
                <w:sz w:val="17"/>
                <w:szCs w:val="17"/>
                <w:color w:val="auto"/>
              </w:rPr>
              <w:t>(103,461)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792,531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126,356</w:t>
            </w:r>
          </w:p>
        </w:tc>
      </w:tr>
      <w:tr>
        <w:trPr>
          <w:trHeight w:val="233"/>
        </w:trPr>
        <w:tc>
          <w:tcPr>
            <w:tcW w:w="6520" w:type="dxa"/>
            <w:vAlign w:val="bottom"/>
            <w:shd w:val="clear" w:color="auto" w:fill="E6EEFF"/>
          </w:tcPr>
          <w:p>
            <w:pPr>
              <w:ind w:left="140"/>
              <w:spacing w:after="0"/>
              <w:rPr>
                <w:sz w:val="20"/>
                <w:szCs w:val="20"/>
                <w:color w:val="auto"/>
              </w:rPr>
            </w:pPr>
            <w:r>
              <w:rPr>
                <w:rFonts w:ascii="Calibri" w:cs="Calibri" w:eastAsia="Calibri" w:hAnsi="Calibri"/>
                <w:sz w:val="17"/>
                <w:szCs w:val="17"/>
                <w:color w:val="auto"/>
              </w:rPr>
              <w:t>Proceeds from subordinated loan due to BUCKLER</w:t>
            </w:r>
          </w:p>
        </w:tc>
        <w:tc>
          <w:tcPr>
            <w:tcW w:w="320" w:type="dxa"/>
            <w:vAlign w:val="bottom"/>
            <w:shd w:val="clear" w:color="auto" w:fill="E6EEFF"/>
          </w:tcPr>
          <w:p>
            <w:pPr>
              <w:spacing w:after="0"/>
              <w:rPr>
                <w:sz w:val="20"/>
                <w:szCs w:val="20"/>
                <w:color w:val="auto"/>
              </w:rPr>
            </w:pPr>
          </w:p>
        </w:tc>
        <w:tc>
          <w:tcPr>
            <w:tcW w:w="11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105,000</w:t>
            </w:r>
          </w:p>
        </w:tc>
        <w:tc>
          <w:tcPr>
            <w:tcW w:w="120" w:type="dxa"/>
            <w:vAlign w:val="bottom"/>
            <w:shd w:val="clear" w:color="auto" w:fill="E6EEFF"/>
          </w:tcPr>
          <w:p>
            <w:pPr>
              <w:spacing w:after="0"/>
              <w:rPr>
                <w:sz w:val="20"/>
                <w:szCs w:val="20"/>
                <w:color w:val="auto"/>
              </w:rPr>
            </w:pPr>
          </w:p>
        </w:tc>
        <w:tc>
          <w:tcPr>
            <w:tcW w:w="360" w:type="dxa"/>
            <w:vAlign w:val="bottom"/>
            <w:shd w:val="clear" w:color="auto" w:fill="E6EEFF"/>
          </w:tcPr>
          <w:p>
            <w:pPr>
              <w:spacing w:after="0"/>
              <w:rPr>
                <w:sz w:val="20"/>
                <w:szCs w:val="20"/>
                <w:color w:val="auto"/>
              </w:rPr>
            </w:pPr>
          </w:p>
        </w:tc>
        <w:tc>
          <w:tcPr>
            <w:tcW w:w="1240" w:type="dxa"/>
            <w:vAlign w:val="bottom"/>
            <w:gridSpan w:val="2"/>
            <w:shd w:val="clear" w:color="auto" w:fill="E6EEFF"/>
          </w:tcPr>
          <w:p>
            <w:pPr>
              <w:jc w:val="right"/>
              <w:ind w:right="160"/>
              <w:spacing w:after="0"/>
              <w:rPr>
                <w:sz w:val="20"/>
                <w:szCs w:val="20"/>
                <w:color w:val="auto"/>
              </w:rPr>
            </w:pPr>
            <w:r>
              <w:rPr>
                <w:rFonts w:ascii="Calibri" w:cs="Calibri" w:eastAsia="Calibri" w:hAnsi="Calibri"/>
                <w:sz w:val="17"/>
                <w:szCs w:val="17"/>
                <w:color w:val="auto"/>
              </w:rPr>
              <w:t>—</w:t>
            </w:r>
          </w:p>
        </w:tc>
        <w:tc>
          <w:tcPr>
            <w:tcW w:w="360" w:type="dxa"/>
            <w:vAlign w:val="bottom"/>
            <w:shd w:val="clear" w:color="auto" w:fill="E6EEFF"/>
          </w:tcPr>
          <w:p>
            <w:pPr>
              <w:spacing w:after="0"/>
              <w:rPr>
                <w:sz w:val="20"/>
                <w:szCs w:val="20"/>
                <w:color w:val="auto"/>
              </w:rPr>
            </w:pP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w:t>
            </w:r>
          </w:p>
        </w:tc>
      </w:tr>
      <w:tr>
        <w:trPr>
          <w:trHeight w:val="152"/>
        </w:trPr>
        <w:tc>
          <w:tcPr>
            <w:tcW w:w="6520" w:type="dxa"/>
            <w:vAlign w:val="bottom"/>
          </w:tcPr>
          <w:p>
            <w:pPr>
              <w:ind w:left="20"/>
              <w:spacing w:after="0" w:line="153" w:lineRule="exact"/>
              <w:rPr>
                <w:sz w:val="20"/>
                <w:szCs w:val="20"/>
                <w:color w:val="auto"/>
              </w:rPr>
            </w:pPr>
            <w:r>
              <w:rPr>
                <w:rFonts w:ascii="Calibri" w:cs="Calibri" w:eastAsia="Calibri" w:hAnsi="Calibri"/>
                <w:sz w:val="16"/>
                <w:szCs w:val="16"/>
                <w:color w:val="auto"/>
              </w:rPr>
              <w:t>Net cash and cash equivalents and cash collateral posted to counterpartes provided by (used</w:t>
            </w: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205"/>
        </w:trPr>
        <w:tc>
          <w:tcPr>
            <w:tcW w:w="6520" w:type="dxa"/>
            <w:vAlign w:val="bottom"/>
          </w:tcPr>
          <w:p>
            <w:pPr>
              <w:ind w:left="20"/>
              <w:spacing w:after="0" w:line="205" w:lineRule="exact"/>
              <w:rPr>
                <w:sz w:val="20"/>
                <w:szCs w:val="20"/>
                <w:color w:val="auto"/>
              </w:rPr>
            </w:pPr>
            <w:r>
              <w:rPr>
                <w:rFonts w:ascii="Calibri" w:cs="Calibri" w:eastAsia="Calibri" w:hAnsi="Calibri"/>
                <w:sz w:val="17"/>
                <w:szCs w:val="17"/>
                <w:color w:val="auto"/>
              </w:rPr>
              <w:t>in) investng actvites</w:t>
            </w:r>
          </w:p>
        </w:tc>
        <w:tc>
          <w:tcPr>
            <w:tcW w:w="320" w:type="dxa"/>
            <w:vAlign w:val="bottom"/>
          </w:tcPr>
          <w:p>
            <w:pPr>
              <w:jc w:val="right"/>
              <w:ind w:right="114"/>
              <w:spacing w:after="0" w:line="205" w:lineRule="exact"/>
              <w:rPr>
                <w:sz w:val="20"/>
                <w:szCs w:val="20"/>
                <w:color w:val="auto"/>
              </w:rPr>
            </w:pPr>
            <w:r>
              <w:rPr>
                <w:rFonts w:ascii="Calibri" w:cs="Calibri" w:eastAsia="Calibri" w:hAnsi="Calibri"/>
                <w:sz w:val="17"/>
                <w:szCs w:val="17"/>
                <w:color w:val="auto"/>
              </w:rPr>
              <w:t>$</w:t>
            </w:r>
          </w:p>
        </w:tc>
        <w:tc>
          <w:tcPr>
            <w:tcW w:w="1180" w:type="dxa"/>
            <w:vAlign w:val="bottom"/>
          </w:tcPr>
          <w:p>
            <w:pPr>
              <w:jc w:val="right"/>
              <w:spacing w:after="0" w:line="205" w:lineRule="exact"/>
              <w:rPr>
                <w:sz w:val="20"/>
                <w:szCs w:val="20"/>
                <w:color w:val="auto"/>
              </w:rPr>
            </w:pPr>
            <w:r>
              <w:rPr>
                <w:rFonts w:ascii="Calibri" w:cs="Calibri" w:eastAsia="Calibri" w:hAnsi="Calibri"/>
                <w:sz w:val="17"/>
                <w:szCs w:val="17"/>
                <w:color w:val="auto"/>
              </w:rPr>
              <w:t>(3,038,640)</w:t>
            </w:r>
          </w:p>
        </w:tc>
        <w:tc>
          <w:tcPr>
            <w:tcW w:w="120" w:type="dxa"/>
            <w:vAlign w:val="bottom"/>
          </w:tcPr>
          <w:p>
            <w:pPr>
              <w:spacing w:after="0"/>
              <w:rPr>
                <w:sz w:val="17"/>
                <w:szCs w:val="17"/>
                <w:color w:val="auto"/>
              </w:rPr>
            </w:pPr>
          </w:p>
        </w:tc>
        <w:tc>
          <w:tcPr>
            <w:tcW w:w="360" w:type="dxa"/>
            <w:vAlign w:val="bottom"/>
          </w:tcPr>
          <w:p>
            <w:pPr>
              <w:jc w:val="right"/>
              <w:ind w:right="174"/>
              <w:spacing w:after="0" w:line="205" w:lineRule="exact"/>
              <w:rPr>
                <w:sz w:val="20"/>
                <w:szCs w:val="20"/>
                <w:color w:val="auto"/>
              </w:rPr>
            </w:pPr>
            <w:r>
              <w:rPr>
                <w:rFonts w:ascii="Calibri" w:cs="Calibri" w:eastAsia="Calibri" w:hAnsi="Calibri"/>
                <w:sz w:val="17"/>
                <w:szCs w:val="17"/>
                <w:color w:val="auto"/>
                <w:w w:val="92"/>
              </w:rPr>
              <w:t>$</w:t>
            </w: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(3,894,975)</w:t>
            </w:r>
          </w:p>
        </w:tc>
        <w:tc>
          <w:tcPr>
            <w:tcW w:w="100" w:type="dxa"/>
            <w:vAlign w:val="bottom"/>
          </w:tcPr>
          <w:p>
            <w:pPr>
              <w:spacing w:after="0"/>
              <w:rPr>
                <w:sz w:val="17"/>
                <w:szCs w:val="17"/>
                <w:color w:val="auto"/>
              </w:rPr>
            </w:pPr>
          </w:p>
        </w:tc>
        <w:tc>
          <w:tcPr>
            <w:tcW w:w="360" w:type="dxa"/>
            <w:vAlign w:val="bottom"/>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503,576</w:t>
            </w:r>
          </w:p>
        </w:tc>
      </w:tr>
      <w:tr>
        <w:trPr>
          <w:trHeight w:val="22"/>
        </w:trPr>
        <w:tc>
          <w:tcPr>
            <w:tcW w:w="6520" w:type="dxa"/>
            <w:vAlign w:val="bottom"/>
            <w:tcBorders>
              <w:bottom w:val="single" w:sz="8" w:color="E6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2"/>
        </w:trPr>
        <w:tc>
          <w:tcPr>
            <w:tcW w:w="6520" w:type="dxa"/>
            <w:vAlign w:val="bottom"/>
            <w:shd w:val="clear" w:color="auto" w:fill="E6EEFF"/>
          </w:tcPr>
          <w:p>
            <w:pPr>
              <w:spacing w:after="0"/>
              <w:rPr>
                <w:sz w:val="10"/>
                <w:szCs w:val="10"/>
                <w:color w:val="auto"/>
              </w:rPr>
            </w:pPr>
          </w:p>
        </w:tc>
        <w:tc>
          <w:tcPr>
            <w:tcW w:w="320" w:type="dxa"/>
            <w:vAlign w:val="bottom"/>
            <w:shd w:val="clear" w:color="auto" w:fill="E6EEFF"/>
          </w:tcPr>
          <w:p>
            <w:pPr>
              <w:spacing w:after="0"/>
              <w:rPr>
                <w:sz w:val="10"/>
                <w:szCs w:val="10"/>
                <w:color w:val="auto"/>
              </w:rPr>
            </w:pPr>
          </w:p>
        </w:tc>
        <w:tc>
          <w:tcPr>
            <w:tcW w:w="1180" w:type="dxa"/>
            <w:vAlign w:val="bottom"/>
            <w:shd w:val="clear" w:color="auto" w:fill="E6EEFF"/>
          </w:tcPr>
          <w:p>
            <w:pPr>
              <w:spacing w:after="0"/>
              <w:rPr>
                <w:sz w:val="10"/>
                <w:szCs w:val="10"/>
                <w:color w:val="auto"/>
              </w:rPr>
            </w:pPr>
          </w:p>
        </w:tc>
        <w:tc>
          <w:tcPr>
            <w:tcW w:w="120" w:type="dxa"/>
            <w:vAlign w:val="bottom"/>
            <w:shd w:val="clear" w:color="auto" w:fill="E6EEFF"/>
          </w:tcPr>
          <w:p>
            <w:pPr>
              <w:spacing w:after="0"/>
              <w:rPr>
                <w:sz w:val="10"/>
                <w:szCs w:val="10"/>
                <w:color w:val="auto"/>
              </w:rPr>
            </w:pPr>
          </w:p>
        </w:tc>
        <w:tc>
          <w:tcPr>
            <w:tcW w:w="360" w:type="dxa"/>
            <w:vAlign w:val="bottom"/>
            <w:shd w:val="clear" w:color="auto" w:fill="E6EEFF"/>
          </w:tcPr>
          <w:p>
            <w:pPr>
              <w:spacing w:after="0"/>
              <w:rPr>
                <w:sz w:val="10"/>
                <w:szCs w:val="10"/>
                <w:color w:val="auto"/>
              </w:rPr>
            </w:pPr>
          </w:p>
        </w:tc>
        <w:tc>
          <w:tcPr>
            <w:tcW w:w="1140" w:type="dxa"/>
            <w:vAlign w:val="bottom"/>
            <w:shd w:val="clear" w:color="auto" w:fill="E6EEFF"/>
          </w:tcPr>
          <w:p>
            <w:pPr>
              <w:spacing w:after="0"/>
              <w:rPr>
                <w:sz w:val="10"/>
                <w:szCs w:val="10"/>
                <w:color w:val="auto"/>
              </w:rPr>
            </w:pPr>
          </w:p>
        </w:tc>
        <w:tc>
          <w:tcPr>
            <w:tcW w:w="100" w:type="dxa"/>
            <w:vAlign w:val="bottom"/>
            <w:shd w:val="clear" w:color="auto" w:fill="E6EEFF"/>
          </w:tcPr>
          <w:p>
            <w:pPr>
              <w:spacing w:after="0"/>
              <w:rPr>
                <w:sz w:val="10"/>
                <w:szCs w:val="10"/>
                <w:color w:val="auto"/>
              </w:rPr>
            </w:pPr>
          </w:p>
        </w:tc>
        <w:tc>
          <w:tcPr>
            <w:tcW w:w="360" w:type="dxa"/>
            <w:vAlign w:val="bottom"/>
            <w:shd w:val="clear" w:color="auto" w:fill="E6EEFF"/>
          </w:tcPr>
          <w:p>
            <w:pPr>
              <w:spacing w:after="0"/>
              <w:rPr>
                <w:sz w:val="10"/>
                <w:szCs w:val="10"/>
                <w:color w:val="auto"/>
              </w:rPr>
            </w:pPr>
          </w:p>
        </w:tc>
        <w:tc>
          <w:tcPr>
            <w:tcW w:w="1140" w:type="dxa"/>
            <w:vAlign w:val="bottom"/>
            <w:shd w:val="clear" w:color="auto" w:fill="E6EEFF"/>
          </w:tcPr>
          <w:p>
            <w:pPr>
              <w:spacing w:after="0"/>
              <w:rPr>
                <w:sz w:val="10"/>
                <w:szCs w:val="10"/>
                <w:color w:val="auto"/>
              </w:rPr>
            </w:pPr>
          </w:p>
        </w:tc>
      </w:tr>
      <w:tr>
        <w:trPr>
          <w:trHeight w:val="212"/>
        </w:trPr>
        <w:tc>
          <w:tcPr>
            <w:tcW w:w="65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1C4787"/>
              </w:rPr>
              <w:t>Cash Flows From Financing Actvites: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6"/>
        </w:trPr>
        <w:tc>
          <w:tcPr>
            <w:tcW w:w="6520" w:type="dxa"/>
            <w:vAlign w:val="bottom"/>
            <w:shd w:val="clear" w:color="auto" w:fill="E6EEFF"/>
          </w:tcPr>
          <w:p>
            <w:pPr>
              <w:ind w:left="140"/>
              <w:spacing w:after="0"/>
              <w:rPr>
                <w:sz w:val="20"/>
                <w:szCs w:val="20"/>
                <w:color w:val="auto"/>
              </w:rPr>
            </w:pPr>
            <w:r>
              <w:rPr>
                <w:rFonts w:ascii="Calibri" w:cs="Calibri" w:eastAsia="Calibri" w:hAnsi="Calibri"/>
                <w:sz w:val="17"/>
                <w:szCs w:val="17"/>
                <w:color w:val="auto"/>
              </w:rPr>
              <w:t>Issuance of Series C Preferred stock, net of expenses</w:t>
            </w:r>
          </w:p>
        </w:tc>
        <w:tc>
          <w:tcPr>
            <w:tcW w:w="320" w:type="dxa"/>
            <w:vAlign w:val="bottom"/>
            <w:shd w:val="clear" w:color="auto" w:fill="E6EEFF"/>
          </w:tcPr>
          <w:p>
            <w:pPr>
              <w:spacing w:after="0"/>
              <w:rPr>
                <w:sz w:val="19"/>
                <w:szCs w:val="19"/>
                <w:color w:val="auto"/>
              </w:rPr>
            </w:pPr>
          </w:p>
        </w:tc>
        <w:tc>
          <w:tcPr>
            <w:tcW w:w="1300" w:type="dxa"/>
            <w:vAlign w:val="bottom"/>
            <w:gridSpan w:val="2"/>
            <w:shd w:val="clear" w:color="auto" w:fill="E6EEFF"/>
          </w:tcPr>
          <w:p>
            <w:pPr>
              <w:jc w:val="right"/>
              <w:ind w:right="180"/>
              <w:spacing w:after="0"/>
              <w:rPr>
                <w:sz w:val="20"/>
                <w:szCs w:val="20"/>
                <w:color w:val="auto"/>
              </w:rPr>
            </w:pPr>
            <w:r>
              <w:rPr>
                <w:rFonts w:ascii="Calibri" w:cs="Calibri" w:eastAsia="Calibri" w:hAnsi="Calibri"/>
                <w:sz w:val="17"/>
                <w:szCs w:val="17"/>
                <w:color w:val="auto"/>
              </w:rPr>
              <w:t>—</w:t>
            </w:r>
          </w:p>
        </w:tc>
        <w:tc>
          <w:tcPr>
            <w:tcW w:w="360" w:type="dxa"/>
            <w:vAlign w:val="bottom"/>
            <w:shd w:val="clear" w:color="auto" w:fill="E6EEFF"/>
          </w:tcPr>
          <w:p>
            <w:pPr>
              <w:spacing w:after="0"/>
              <w:rPr>
                <w:sz w:val="19"/>
                <w:szCs w:val="19"/>
                <w:color w:val="auto"/>
              </w:rPr>
            </w:pPr>
          </w:p>
        </w:tc>
        <w:tc>
          <w:tcPr>
            <w:tcW w:w="1240" w:type="dxa"/>
            <w:vAlign w:val="bottom"/>
            <w:gridSpan w:val="2"/>
            <w:shd w:val="clear" w:color="auto" w:fill="E6EEFF"/>
          </w:tcPr>
          <w:p>
            <w:pPr>
              <w:jc w:val="right"/>
              <w:ind w:right="160"/>
              <w:spacing w:after="0"/>
              <w:rPr>
                <w:sz w:val="20"/>
                <w:szCs w:val="20"/>
                <w:color w:val="auto"/>
              </w:rPr>
            </w:pPr>
            <w:r>
              <w:rPr>
                <w:rFonts w:ascii="Calibri" w:cs="Calibri" w:eastAsia="Calibri" w:hAnsi="Calibri"/>
                <w:sz w:val="17"/>
                <w:szCs w:val="17"/>
                <w:color w:val="auto"/>
              </w:rPr>
              <w:t>—</w:t>
            </w: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36,585</w:t>
            </w:r>
          </w:p>
        </w:tc>
      </w:tr>
      <w:tr>
        <w:trPr>
          <w:trHeight w:val="212"/>
        </w:trPr>
        <w:tc>
          <w:tcPr>
            <w:tcW w:w="6520" w:type="dxa"/>
            <w:vAlign w:val="bottom"/>
          </w:tcPr>
          <w:p>
            <w:pPr>
              <w:ind w:left="140"/>
              <w:spacing w:after="0" w:line="205" w:lineRule="exact"/>
              <w:rPr>
                <w:sz w:val="20"/>
                <w:szCs w:val="20"/>
                <w:color w:val="auto"/>
              </w:rPr>
            </w:pPr>
            <w:r>
              <w:rPr>
                <w:rFonts w:ascii="Calibri" w:cs="Calibri" w:eastAsia="Calibri" w:hAnsi="Calibri"/>
                <w:sz w:val="17"/>
                <w:szCs w:val="17"/>
                <w:color w:val="auto"/>
              </w:rPr>
              <w:t>Issuance of common stock, net of expenses</w:t>
            </w:r>
          </w:p>
        </w:tc>
        <w:tc>
          <w:tcPr>
            <w:tcW w:w="320" w:type="dxa"/>
            <w:vAlign w:val="bottom"/>
          </w:tcPr>
          <w:p>
            <w:pPr>
              <w:spacing w:after="0"/>
              <w:rPr>
                <w:sz w:val="18"/>
                <w:szCs w:val="18"/>
                <w:color w:val="auto"/>
              </w:rPr>
            </w:pPr>
          </w:p>
        </w:tc>
        <w:tc>
          <w:tcPr>
            <w:tcW w:w="1180" w:type="dxa"/>
            <w:vAlign w:val="bottom"/>
          </w:tcPr>
          <w:p>
            <w:pPr>
              <w:jc w:val="right"/>
              <w:spacing w:after="0" w:line="205" w:lineRule="exact"/>
              <w:rPr>
                <w:sz w:val="20"/>
                <w:szCs w:val="20"/>
                <w:color w:val="auto"/>
              </w:rPr>
            </w:pPr>
            <w:r>
              <w:rPr>
                <w:rFonts w:ascii="Calibri" w:cs="Calibri" w:eastAsia="Calibri" w:hAnsi="Calibri"/>
                <w:sz w:val="17"/>
                <w:szCs w:val="17"/>
                <w:color w:val="auto"/>
              </w:rPr>
              <w:t>450,117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475,537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328,780</w:t>
            </w:r>
          </w:p>
        </w:tc>
      </w:tr>
      <w:tr>
        <w:trPr>
          <w:trHeight w:val="179"/>
        </w:trPr>
        <w:tc>
          <w:tcPr>
            <w:tcW w:w="6520" w:type="dxa"/>
            <w:vAlign w:val="bottom"/>
            <w:shd w:val="clear" w:color="auto" w:fill="E6EEFF"/>
          </w:tcPr>
          <w:p>
            <w:pPr>
              <w:ind w:left="140"/>
              <w:spacing w:after="0" w:line="179" w:lineRule="exact"/>
              <w:rPr>
                <w:sz w:val="20"/>
                <w:szCs w:val="20"/>
                <w:color w:val="auto"/>
              </w:rPr>
            </w:pPr>
            <w:r>
              <w:rPr>
                <w:rFonts w:ascii="Calibri" w:cs="Calibri" w:eastAsia="Calibri" w:hAnsi="Calibri"/>
                <w:sz w:val="17"/>
                <w:szCs w:val="17"/>
                <w:color w:val="auto"/>
              </w:rPr>
              <w:t>Proceeds from repurchase agreements (including $69,806,936, $47,627,748 and</w:t>
            </w:r>
          </w:p>
        </w:tc>
        <w:tc>
          <w:tcPr>
            <w:tcW w:w="320" w:type="dxa"/>
            <w:vAlign w:val="bottom"/>
            <w:shd w:val="clear" w:color="auto" w:fill="E6EEFF"/>
          </w:tcPr>
          <w:p>
            <w:pPr>
              <w:spacing w:after="0"/>
              <w:rPr>
                <w:sz w:val="15"/>
                <w:szCs w:val="15"/>
                <w:color w:val="auto"/>
              </w:rPr>
            </w:pPr>
          </w:p>
        </w:tc>
        <w:tc>
          <w:tcPr>
            <w:tcW w:w="1180" w:type="dxa"/>
            <w:vAlign w:val="bottom"/>
            <w:shd w:val="clear" w:color="auto" w:fill="E6EEFF"/>
          </w:tcPr>
          <w:p>
            <w:pPr>
              <w:spacing w:after="0"/>
              <w:rPr>
                <w:sz w:val="15"/>
                <w:szCs w:val="15"/>
                <w:color w:val="auto"/>
              </w:rPr>
            </w:pPr>
          </w:p>
        </w:tc>
        <w:tc>
          <w:tcPr>
            <w:tcW w:w="120" w:type="dxa"/>
            <w:vAlign w:val="bottom"/>
            <w:shd w:val="clear" w:color="auto" w:fill="E6EEFF"/>
          </w:tcPr>
          <w:p>
            <w:pPr>
              <w:spacing w:after="0"/>
              <w:rPr>
                <w:sz w:val="15"/>
                <w:szCs w:val="15"/>
                <w:color w:val="auto"/>
              </w:rPr>
            </w:pPr>
          </w:p>
        </w:tc>
        <w:tc>
          <w:tcPr>
            <w:tcW w:w="360" w:type="dxa"/>
            <w:vAlign w:val="bottom"/>
            <w:shd w:val="clear" w:color="auto" w:fill="E6EEFF"/>
          </w:tcPr>
          <w:p>
            <w:pPr>
              <w:spacing w:after="0"/>
              <w:rPr>
                <w:sz w:val="15"/>
                <w:szCs w:val="15"/>
                <w:color w:val="auto"/>
              </w:rPr>
            </w:pPr>
          </w:p>
        </w:tc>
        <w:tc>
          <w:tcPr>
            <w:tcW w:w="1140" w:type="dxa"/>
            <w:vAlign w:val="bottom"/>
            <w:shd w:val="clear" w:color="auto" w:fill="E6EEFF"/>
          </w:tcPr>
          <w:p>
            <w:pPr>
              <w:spacing w:after="0"/>
              <w:rPr>
                <w:sz w:val="15"/>
                <w:szCs w:val="15"/>
                <w:color w:val="auto"/>
              </w:rPr>
            </w:pPr>
          </w:p>
        </w:tc>
        <w:tc>
          <w:tcPr>
            <w:tcW w:w="100" w:type="dxa"/>
            <w:vAlign w:val="bottom"/>
            <w:shd w:val="clear" w:color="auto" w:fill="E6EEFF"/>
          </w:tcPr>
          <w:p>
            <w:pPr>
              <w:spacing w:after="0"/>
              <w:rPr>
                <w:sz w:val="15"/>
                <w:szCs w:val="15"/>
                <w:color w:val="auto"/>
              </w:rPr>
            </w:pPr>
          </w:p>
        </w:tc>
        <w:tc>
          <w:tcPr>
            <w:tcW w:w="360" w:type="dxa"/>
            <w:vAlign w:val="bottom"/>
            <w:shd w:val="clear" w:color="auto" w:fill="E6EEFF"/>
          </w:tcPr>
          <w:p>
            <w:pPr>
              <w:spacing w:after="0"/>
              <w:rPr>
                <w:sz w:val="15"/>
                <w:szCs w:val="15"/>
                <w:color w:val="auto"/>
              </w:rPr>
            </w:pPr>
          </w:p>
        </w:tc>
        <w:tc>
          <w:tcPr>
            <w:tcW w:w="1140" w:type="dxa"/>
            <w:vAlign w:val="bottom"/>
            <w:shd w:val="clear" w:color="auto" w:fill="E6EEFF"/>
          </w:tcPr>
          <w:p>
            <w:pPr>
              <w:spacing w:after="0"/>
              <w:rPr>
                <w:sz w:val="15"/>
                <w:szCs w:val="15"/>
                <w:color w:val="auto"/>
              </w:rPr>
            </w:pPr>
          </w:p>
        </w:tc>
      </w:tr>
      <w:tr>
        <w:trPr>
          <w:trHeight w:val="207"/>
        </w:trPr>
        <w:tc>
          <w:tcPr>
            <w:tcW w:w="6520" w:type="dxa"/>
            <w:vAlign w:val="bottom"/>
            <w:tcBorders>
              <w:bottom w:val="single" w:sz="8" w:color="E6EEFF"/>
            </w:tcBorders>
            <w:shd w:val="clear" w:color="auto" w:fill="E6EEFF"/>
          </w:tcPr>
          <w:p>
            <w:pPr>
              <w:ind w:left="140"/>
              <w:spacing w:after="0" w:line="205" w:lineRule="exact"/>
              <w:rPr>
                <w:sz w:val="20"/>
                <w:szCs w:val="20"/>
                <w:color w:val="auto"/>
              </w:rPr>
            </w:pPr>
            <w:r>
              <w:rPr>
                <w:rFonts w:ascii="Calibri" w:cs="Calibri" w:eastAsia="Calibri" w:hAnsi="Calibri"/>
                <w:sz w:val="17"/>
                <w:szCs w:val="17"/>
                <w:color w:val="auto"/>
              </w:rPr>
              <w:t>$18,442,875, respectvely with BUCKLER)</w:t>
            </w:r>
          </w:p>
        </w:tc>
        <w:tc>
          <w:tcPr>
            <w:tcW w:w="320" w:type="dxa"/>
            <w:vAlign w:val="bottom"/>
            <w:tcBorders>
              <w:bottom w:val="single" w:sz="8" w:color="E6EEFF"/>
            </w:tcBorders>
            <w:shd w:val="clear" w:color="auto" w:fill="E6EEFF"/>
          </w:tcPr>
          <w:p>
            <w:pPr>
              <w:spacing w:after="0"/>
              <w:rPr>
                <w:sz w:val="18"/>
                <w:szCs w:val="18"/>
                <w:color w:val="auto"/>
              </w:rPr>
            </w:pPr>
          </w:p>
        </w:tc>
        <w:tc>
          <w:tcPr>
            <w:tcW w:w="1180" w:type="dxa"/>
            <w:vAlign w:val="bottom"/>
            <w:tcBorders>
              <w:bottom w:val="single" w:sz="8" w:color="E6EEFF"/>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119,704,734</w:t>
            </w:r>
          </w:p>
        </w:tc>
        <w:tc>
          <w:tcPr>
            <w:tcW w:w="120" w:type="dxa"/>
            <w:vAlign w:val="bottom"/>
            <w:tcBorders>
              <w:bottom w:val="single" w:sz="8" w:color="E6EEFF"/>
            </w:tcBorders>
            <w:shd w:val="clear" w:color="auto" w:fill="E6EEFF"/>
          </w:tcPr>
          <w:p>
            <w:pPr>
              <w:spacing w:after="0"/>
              <w:rPr>
                <w:sz w:val="18"/>
                <w:szCs w:val="18"/>
                <w:color w:val="auto"/>
              </w:rPr>
            </w:pPr>
          </w:p>
        </w:tc>
        <w:tc>
          <w:tcPr>
            <w:tcW w:w="360" w:type="dxa"/>
            <w:vAlign w:val="bottom"/>
            <w:tcBorders>
              <w:bottom w:val="single" w:sz="8" w:color="E6EEFF"/>
            </w:tcBorders>
            <w:shd w:val="clear" w:color="auto" w:fill="E6EEFF"/>
          </w:tcPr>
          <w:p>
            <w:pPr>
              <w:spacing w:after="0"/>
              <w:rPr>
                <w:sz w:val="18"/>
                <w:szCs w:val="18"/>
                <w:color w:val="auto"/>
              </w:rPr>
            </w:pPr>
          </w:p>
        </w:tc>
        <w:tc>
          <w:tcPr>
            <w:tcW w:w="1140" w:type="dxa"/>
            <w:vAlign w:val="bottom"/>
            <w:tcBorders>
              <w:bottom w:val="single" w:sz="8" w:color="E6EEFF"/>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80,087,456</w:t>
            </w:r>
          </w:p>
        </w:tc>
        <w:tc>
          <w:tcPr>
            <w:tcW w:w="100" w:type="dxa"/>
            <w:vAlign w:val="bottom"/>
            <w:tcBorders>
              <w:bottom w:val="single" w:sz="8" w:color="E6EEFF"/>
            </w:tcBorders>
            <w:shd w:val="clear" w:color="auto" w:fill="E6EEFF"/>
          </w:tcPr>
          <w:p>
            <w:pPr>
              <w:spacing w:after="0"/>
              <w:rPr>
                <w:sz w:val="18"/>
                <w:szCs w:val="18"/>
                <w:color w:val="auto"/>
              </w:rPr>
            </w:pPr>
          </w:p>
        </w:tc>
        <w:tc>
          <w:tcPr>
            <w:tcW w:w="360" w:type="dxa"/>
            <w:vAlign w:val="bottom"/>
            <w:tcBorders>
              <w:bottom w:val="single" w:sz="8" w:color="E6EEFF"/>
            </w:tcBorders>
            <w:shd w:val="clear" w:color="auto" w:fill="E6EEFF"/>
          </w:tcPr>
          <w:p>
            <w:pPr>
              <w:spacing w:after="0"/>
              <w:rPr>
                <w:sz w:val="18"/>
                <w:szCs w:val="18"/>
                <w:color w:val="auto"/>
              </w:rPr>
            </w:pPr>
          </w:p>
        </w:tc>
        <w:tc>
          <w:tcPr>
            <w:tcW w:w="1140" w:type="dxa"/>
            <w:vAlign w:val="bottom"/>
            <w:tcBorders>
              <w:bottom w:val="single" w:sz="8" w:color="E6EEFF"/>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27,238,071</w:t>
            </w:r>
          </w:p>
        </w:tc>
      </w:tr>
      <w:tr>
        <w:trPr>
          <w:trHeight w:val="172"/>
        </w:trPr>
        <w:tc>
          <w:tcPr>
            <w:tcW w:w="6520" w:type="dxa"/>
            <w:vAlign w:val="bottom"/>
          </w:tcPr>
          <w:p>
            <w:pPr>
              <w:ind w:left="140"/>
              <w:spacing w:after="0" w:line="173" w:lineRule="exact"/>
              <w:rPr>
                <w:sz w:val="20"/>
                <w:szCs w:val="20"/>
                <w:color w:val="auto"/>
              </w:rPr>
            </w:pPr>
            <w:r>
              <w:rPr>
                <w:rFonts w:ascii="Calibri" w:cs="Calibri" w:eastAsia="Calibri" w:hAnsi="Calibri"/>
                <w:sz w:val="17"/>
                <w:szCs w:val="17"/>
                <w:color w:val="auto"/>
              </w:rPr>
              <w:t>Principal repayments on repurchase agreements (including $(68,737,266), $(45,639,677)</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5"/>
        </w:trPr>
        <w:tc>
          <w:tcPr>
            <w:tcW w:w="6520" w:type="dxa"/>
            <w:vAlign w:val="bottom"/>
          </w:tcPr>
          <w:p>
            <w:pPr>
              <w:ind w:left="140"/>
              <w:spacing w:after="0" w:line="205" w:lineRule="exact"/>
              <w:rPr>
                <w:sz w:val="20"/>
                <w:szCs w:val="20"/>
                <w:color w:val="auto"/>
              </w:rPr>
            </w:pPr>
            <w:r>
              <w:rPr>
                <w:rFonts w:ascii="Calibri" w:cs="Calibri" w:eastAsia="Calibri" w:hAnsi="Calibri"/>
                <w:sz w:val="17"/>
                <w:szCs w:val="17"/>
                <w:color w:val="auto"/>
              </w:rPr>
              <w:t>and $(19,477,307), respectvely with BUCKLER)</w:t>
            </w:r>
          </w:p>
        </w:tc>
        <w:tc>
          <w:tcPr>
            <w:tcW w:w="320" w:type="dxa"/>
            <w:vAlign w:val="bottom"/>
          </w:tcPr>
          <w:p>
            <w:pPr>
              <w:spacing w:after="0"/>
              <w:rPr>
                <w:sz w:val="17"/>
                <w:szCs w:val="17"/>
                <w:color w:val="auto"/>
              </w:rPr>
            </w:pPr>
          </w:p>
        </w:tc>
        <w:tc>
          <w:tcPr>
            <w:tcW w:w="1180" w:type="dxa"/>
            <w:vAlign w:val="bottom"/>
          </w:tcPr>
          <w:p>
            <w:pPr>
              <w:jc w:val="right"/>
              <w:spacing w:after="0" w:line="205" w:lineRule="exact"/>
              <w:rPr>
                <w:sz w:val="20"/>
                <w:szCs w:val="20"/>
                <w:color w:val="auto"/>
              </w:rPr>
            </w:pPr>
            <w:r>
              <w:rPr>
                <w:rFonts w:ascii="Calibri" w:cs="Calibri" w:eastAsia="Calibri" w:hAnsi="Calibri"/>
                <w:sz w:val="17"/>
                <w:szCs w:val="17"/>
                <w:color w:val="auto"/>
              </w:rPr>
              <w:t>(116,870,149)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(76,868,159)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(27,826,099)</w:t>
            </w:r>
          </w:p>
        </w:tc>
      </w:tr>
      <w:tr>
        <w:trPr>
          <w:trHeight w:val="22"/>
        </w:trPr>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9"/>
        </w:trPr>
        <w:tc>
          <w:tcPr>
            <w:tcW w:w="6520" w:type="dxa"/>
            <w:vAlign w:val="bottom"/>
            <w:shd w:val="clear" w:color="auto" w:fill="E6EEFF"/>
          </w:tcPr>
          <w:p>
            <w:pPr>
              <w:ind w:left="140"/>
              <w:spacing w:after="0" w:line="205" w:lineRule="exact"/>
              <w:rPr>
                <w:sz w:val="20"/>
                <w:szCs w:val="20"/>
                <w:color w:val="auto"/>
              </w:rPr>
            </w:pPr>
            <w:r>
              <w:rPr>
                <w:rFonts w:ascii="Calibri" w:cs="Calibri" w:eastAsia="Calibri" w:hAnsi="Calibri"/>
                <w:sz w:val="17"/>
                <w:szCs w:val="17"/>
                <w:color w:val="auto"/>
              </w:rPr>
              <w:t>Series C Preferred stock dividends paid</w:t>
            </w:r>
          </w:p>
        </w:tc>
        <w:tc>
          <w:tcPr>
            <w:tcW w:w="320" w:type="dxa"/>
            <w:vAlign w:val="bottom"/>
            <w:shd w:val="clear" w:color="auto" w:fill="E6EEFF"/>
          </w:tcPr>
          <w:p>
            <w:pPr>
              <w:spacing w:after="0"/>
              <w:rPr>
                <w:sz w:val="19"/>
                <w:szCs w:val="19"/>
                <w:color w:val="auto"/>
              </w:rPr>
            </w:pPr>
          </w:p>
        </w:tc>
        <w:tc>
          <w:tcPr>
            <w:tcW w:w="118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(11,982)</w:t>
            </w:r>
          </w:p>
        </w:tc>
        <w:tc>
          <w:tcPr>
            <w:tcW w:w="120" w:type="dxa"/>
            <w:vAlign w:val="bottom"/>
            <w:shd w:val="clear" w:color="auto" w:fill="E6EEFF"/>
          </w:tcPr>
          <w:p>
            <w:pPr>
              <w:spacing w:after="0"/>
              <w:rPr>
                <w:sz w:val="19"/>
                <w:szCs w:val="19"/>
                <w:color w:val="auto"/>
              </w:rPr>
            </w:pP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(11,982)</w:t>
            </w:r>
          </w:p>
        </w:tc>
        <w:tc>
          <w:tcPr>
            <w:tcW w:w="100" w:type="dxa"/>
            <w:vAlign w:val="bottom"/>
            <w:shd w:val="clear" w:color="auto" w:fill="E6EEFF"/>
          </w:tcPr>
          <w:p>
            <w:pPr>
              <w:spacing w:after="0"/>
              <w:rPr>
                <w:sz w:val="19"/>
                <w:szCs w:val="19"/>
                <w:color w:val="auto"/>
              </w:rPr>
            </w:pPr>
          </w:p>
        </w:tc>
        <w:tc>
          <w:tcPr>
            <w:tcW w:w="360" w:type="dxa"/>
            <w:vAlign w:val="bottom"/>
            <w:shd w:val="clear" w:color="auto" w:fill="E6EEFF"/>
          </w:tcPr>
          <w:p>
            <w:pPr>
              <w:spacing w:after="0"/>
              <w:rPr>
                <w:sz w:val="19"/>
                <w:szCs w:val="19"/>
                <w:color w:val="auto"/>
              </w:rPr>
            </w:pPr>
          </w:p>
        </w:tc>
        <w:tc>
          <w:tcPr>
            <w:tcW w:w="114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(11,473)</w:t>
            </w:r>
          </w:p>
        </w:tc>
      </w:tr>
      <w:tr>
        <w:trPr>
          <w:trHeight w:val="205"/>
        </w:trPr>
        <w:tc>
          <w:tcPr>
            <w:tcW w:w="6520" w:type="dxa"/>
            <w:vAlign w:val="bottom"/>
          </w:tcPr>
          <w:p>
            <w:pPr>
              <w:ind w:left="140"/>
              <w:spacing w:after="0" w:line="205" w:lineRule="exact"/>
              <w:rPr>
                <w:sz w:val="20"/>
                <w:szCs w:val="20"/>
                <w:color w:val="auto"/>
              </w:rPr>
            </w:pPr>
            <w:r>
              <w:rPr>
                <w:rFonts w:ascii="Calibri" w:cs="Calibri" w:eastAsia="Calibri" w:hAnsi="Calibri"/>
                <w:sz w:val="17"/>
                <w:szCs w:val="17"/>
                <w:color w:val="auto"/>
              </w:rPr>
              <w:t>Common stock dividends paid</w:t>
            </w:r>
          </w:p>
        </w:tc>
        <w:tc>
          <w:tcPr>
            <w:tcW w:w="320" w:type="dxa"/>
            <w:vAlign w:val="bottom"/>
          </w:tcPr>
          <w:p>
            <w:pPr>
              <w:spacing w:after="0"/>
              <w:rPr>
                <w:sz w:val="17"/>
                <w:szCs w:val="17"/>
                <w:color w:val="auto"/>
              </w:rPr>
            </w:pPr>
          </w:p>
        </w:tc>
        <w:tc>
          <w:tcPr>
            <w:tcW w:w="1180" w:type="dxa"/>
            <w:vAlign w:val="bottom"/>
          </w:tcPr>
          <w:p>
            <w:pPr>
              <w:jc w:val="right"/>
              <w:spacing w:after="0" w:line="205" w:lineRule="exact"/>
              <w:rPr>
                <w:sz w:val="20"/>
                <w:szCs w:val="20"/>
                <w:color w:val="auto"/>
              </w:rPr>
            </w:pPr>
            <w:r>
              <w:rPr>
                <w:rFonts w:ascii="Calibri" w:cs="Calibri" w:eastAsia="Calibri" w:hAnsi="Calibri"/>
                <w:sz w:val="17"/>
                <w:szCs w:val="17"/>
                <w:color w:val="auto"/>
              </w:rPr>
              <w:t>(216,193)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(142,424)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(96,630)</w:t>
            </w:r>
          </w:p>
        </w:tc>
      </w:tr>
      <w:tr>
        <w:trPr>
          <w:trHeight w:val="233"/>
        </w:trPr>
        <w:tc>
          <w:tcPr>
            <w:tcW w:w="6520" w:type="dxa"/>
            <w:vAlign w:val="bottom"/>
            <w:shd w:val="clear" w:color="auto" w:fill="E6EEFF"/>
          </w:tcPr>
          <w:p>
            <w:pPr>
              <w:ind w:left="140"/>
              <w:spacing w:after="0"/>
              <w:rPr>
                <w:sz w:val="20"/>
                <w:szCs w:val="20"/>
                <w:color w:val="auto"/>
              </w:rPr>
            </w:pPr>
            <w:r>
              <w:rPr>
                <w:rFonts w:ascii="Calibri" w:cs="Calibri" w:eastAsia="Calibri" w:hAnsi="Calibri"/>
                <w:sz w:val="17"/>
                <w:szCs w:val="17"/>
                <w:color w:val="auto"/>
              </w:rPr>
              <w:t>Common stock repurchased, net</w:t>
            </w:r>
          </w:p>
        </w:tc>
        <w:tc>
          <w:tcPr>
            <w:tcW w:w="320" w:type="dxa"/>
            <w:vAlign w:val="bottom"/>
            <w:tcBorders>
              <w:bottom w:val="single" w:sz="8" w:color="auto"/>
            </w:tcBorders>
            <w:shd w:val="clear" w:color="auto" w:fill="E6EEFF"/>
          </w:tcPr>
          <w:p>
            <w:pPr>
              <w:spacing w:after="0"/>
              <w:rPr>
                <w:sz w:val="20"/>
                <w:szCs w:val="20"/>
                <w:color w:val="auto"/>
              </w:rPr>
            </w:pPr>
          </w:p>
        </w:tc>
        <w:tc>
          <w:tcPr>
            <w:tcW w:w="118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(9,935)</w:t>
            </w:r>
          </w:p>
        </w:tc>
        <w:tc>
          <w:tcPr>
            <w:tcW w:w="120" w:type="dxa"/>
            <w:vAlign w:val="bottom"/>
            <w:shd w:val="clear" w:color="auto" w:fill="E6EEFF"/>
          </w:tcPr>
          <w:p>
            <w:pPr>
              <w:spacing w:after="0"/>
              <w:rPr>
                <w:sz w:val="20"/>
                <w:szCs w:val="20"/>
                <w:color w:val="auto"/>
              </w:rPr>
            </w:pPr>
          </w:p>
        </w:tc>
        <w:tc>
          <w:tcPr>
            <w:tcW w:w="360" w:type="dxa"/>
            <w:vAlign w:val="bottom"/>
            <w:tcBorders>
              <w:bottom w:val="single" w:sz="8" w:color="auto"/>
            </w:tcBorders>
            <w:shd w:val="clear" w:color="auto" w:fill="E6EEFF"/>
          </w:tcPr>
          <w:p>
            <w:pPr>
              <w:spacing w:after="0"/>
              <w:rPr>
                <w:sz w:val="20"/>
                <w:szCs w:val="20"/>
                <w:color w:val="auto"/>
              </w:rPr>
            </w:pPr>
          </w:p>
        </w:tc>
        <w:tc>
          <w:tcPr>
            <w:tcW w:w="11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(7,664)</w:t>
            </w:r>
          </w:p>
        </w:tc>
        <w:tc>
          <w:tcPr>
            <w:tcW w:w="100" w:type="dxa"/>
            <w:vAlign w:val="bottom"/>
            <w:shd w:val="clear" w:color="auto" w:fill="E6EEFF"/>
          </w:tcPr>
          <w:p>
            <w:pPr>
              <w:spacing w:after="0"/>
              <w:rPr>
                <w:sz w:val="20"/>
                <w:szCs w:val="20"/>
                <w:color w:val="auto"/>
              </w:rPr>
            </w:pPr>
          </w:p>
        </w:tc>
        <w:tc>
          <w:tcPr>
            <w:tcW w:w="360" w:type="dxa"/>
            <w:vAlign w:val="bottom"/>
            <w:tcBorders>
              <w:bottom w:val="single" w:sz="8" w:color="auto"/>
            </w:tcBorders>
            <w:shd w:val="clear" w:color="auto" w:fill="E6EEFF"/>
          </w:tcPr>
          <w:p>
            <w:pPr>
              <w:spacing w:after="0"/>
              <w:rPr>
                <w:sz w:val="20"/>
                <w:szCs w:val="20"/>
                <w:color w:val="auto"/>
              </w:rPr>
            </w:pPr>
          </w:p>
        </w:tc>
        <w:tc>
          <w:tcPr>
            <w:tcW w:w="11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w:t>
            </w:r>
          </w:p>
        </w:tc>
      </w:tr>
      <w:tr>
        <w:trPr>
          <w:trHeight w:val="152"/>
        </w:trPr>
        <w:tc>
          <w:tcPr>
            <w:tcW w:w="6520" w:type="dxa"/>
            <w:vAlign w:val="bottom"/>
          </w:tcPr>
          <w:p>
            <w:pPr>
              <w:ind w:left="20"/>
              <w:spacing w:after="0" w:line="153" w:lineRule="exact"/>
              <w:rPr>
                <w:sz w:val="20"/>
                <w:szCs w:val="20"/>
                <w:color w:val="auto"/>
              </w:rPr>
            </w:pPr>
            <w:r>
              <w:rPr>
                <w:rFonts w:ascii="Calibri" w:cs="Calibri" w:eastAsia="Calibri" w:hAnsi="Calibri"/>
                <w:sz w:val="16"/>
                <w:szCs w:val="16"/>
                <w:color w:val="auto"/>
              </w:rPr>
              <w:t>Net cash and cash equivalents and cash collateral posted to counterpartes provided by (used</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5"/>
        </w:trPr>
        <w:tc>
          <w:tcPr>
            <w:tcW w:w="6520" w:type="dxa"/>
            <w:vAlign w:val="bottom"/>
          </w:tcPr>
          <w:p>
            <w:pPr>
              <w:ind w:left="20"/>
              <w:spacing w:after="0" w:line="205" w:lineRule="exact"/>
              <w:rPr>
                <w:sz w:val="20"/>
                <w:szCs w:val="20"/>
                <w:color w:val="auto"/>
              </w:rPr>
            </w:pPr>
            <w:r>
              <w:rPr>
                <w:rFonts w:ascii="Calibri" w:cs="Calibri" w:eastAsia="Calibri" w:hAnsi="Calibri"/>
                <w:sz w:val="17"/>
                <w:szCs w:val="17"/>
                <w:color w:val="auto"/>
              </w:rPr>
              <w:t>in) fnancing actvites</w:t>
            </w:r>
          </w:p>
        </w:tc>
        <w:tc>
          <w:tcPr>
            <w:tcW w:w="320" w:type="dxa"/>
            <w:vAlign w:val="bottom"/>
          </w:tcPr>
          <w:p>
            <w:pPr>
              <w:jc w:val="right"/>
              <w:ind w:right="114"/>
              <w:spacing w:after="0" w:line="205" w:lineRule="exact"/>
              <w:rPr>
                <w:sz w:val="20"/>
                <w:szCs w:val="20"/>
                <w:color w:val="auto"/>
              </w:rPr>
            </w:pPr>
            <w:r>
              <w:rPr>
                <w:rFonts w:ascii="Calibri" w:cs="Calibri" w:eastAsia="Calibri" w:hAnsi="Calibri"/>
                <w:sz w:val="17"/>
                <w:szCs w:val="17"/>
                <w:color w:val="auto"/>
              </w:rPr>
              <w:t>$</w:t>
            </w:r>
          </w:p>
        </w:tc>
        <w:tc>
          <w:tcPr>
            <w:tcW w:w="1180" w:type="dxa"/>
            <w:vAlign w:val="bottom"/>
          </w:tcPr>
          <w:p>
            <w:pPr>
              <w:jc w:val="right"/>
              <w:spacing w:after="0" w:line="205" w:lineRule="exact"/>
              <w:rPr>
                <w:sz w:val="20"/>
                <w:szCs w:val="20"/>
                <w:color w:val="auto"/>
              </w:rPr>
            </w:pPr>
            <w:r>
              <w:rPr>
                <w:rFonts w:ascii="Calibri" w:cs="Calibri" w:eastAsia="Calibri" w:hAnsi="Calibri"/>
                <w:sz w:val="17"/>
                <w:szCs w:val="17"/>
                <w:color w:val="auto"/>
              </w:rPr>
              <w:t>3,046,592</w:t>
            </w:r>
          </w:p>
        </w:tc>
        <w:tc>
          <w:tcPr>
            <w:tcW w:w="120" w:type="dxa"/>
            <w:vAlign w:val="bottom"/>
          </w:tcPr>
          <w:p>
            <w:pPr>
              <w:spacing w:after="0"/>
              <w:rPr>
                <w:sz w:val="17"/>
                <w:szCs w:val="17"/>
                <w:color w:val="auto"/>
              </w:rPr>
            </w:pPr>
          </w:p>
        </w:tc>
        <w:tc>
          <w:tcPr>
            <w:tcW w:w="360" w:type="dxa"/>
            <w:vAlign w:val="bottom"/>
          </w:tcPr>
          <w:p>
            <w:pPr>
              <w:jc w:val="right"/>
              <w:ind w:right="174"/>
              <w:spacing w:after="0" w:line="205" w:lineRule="exact"/>
              <w:rPr>
                <w:sz w:val="20"/>
                <w:szCs w:val="20"/>
                <w:color w:val="auto"/>
              </w:rPr>
            </w:pPr>
            <w:r>
              <w:rPr>
                <w:rFonts w:ascii="Calibri" w:cs="Calibri" w:eastAsia="Calibri" w:hAnsi="Calibri"/>
                <w:sz w:val="17"/>
                <w:szCs w:val="17"/>
                <w:color w:val="auto"/>
                <w:w w:val="92"/>
              </w:rPr>
              <w:t>$</w:t>
            </w: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3,532,764</w:t>
            </w:r>
          </w:p>
        </w:tc>
        <w:tc>
          <w:tcPr>
            <w:tcW w:w="100" w:type="dxa"/>
            <w:vAlign w:val="bottom"/>
          </w:tcPr>
          <w:p>
            <w:pPr>
              <w:spacing w:after="0"/>
              <w:rPr>
                <w:sz w:val="17"/>
                <w:szCs w:val="17"/>
                <w:color w:val="auto"/>
              </w:rPr>
            </w:pPr>
          </w:p>
        </w:tc>
        <w:tc>
          <w:tcPr>
            <w:tcW w:w="360" w:type="dxa"/>
            <w:vAlign w:val="bottom"/>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(330,766)</w:t>
            </w:r>
          </w:p>
        </w:tc>
      </w:tr>
      <w:tr>
        <w:trPr>
          <w:trHeight w:val="22"/>
        </w:trPr>
        <w:tc>
          <w:tcPr>
            <w:tcW w:w="6520" w:type="dxa"/>
            <w:vAlign w:val="bottom"/>
            <w:tcBorders>
              <w:bottom w:val="single" w:sz="8" w:color="E6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2"/>
        </w:trPr>
        <w:tc>
          <w:tcPr>
            <w:tcW w:w="6520" w:type="dxa"/>
            <w:vAlign w:val="bottom"/>
            <w:shd w:val="clear" w:color="auto" w:fill="E6EEFF"/>
          </w:tcPr>
          <w:p>
            <w:pPr>
              <w:ind w:left="20"/>
              <w:spacing w:after="0" w:line="153" w:lineRule="exact"/>
              <w:rPr>
                <w:sz w:val="20"/>
                <w:szCs w:val="20"/>
                <w:color w:val="auto"/>
              </w:rPr>
            </w:pPr>
            <w:r>
              <w:rPr>
                <w:rFonts w:ascii="Calibri" w:cs="Calibri" w:eastAsia="Calibri" w:hAnsi="Calibri"/>
                <w:sz w:val="16"/>
                <w:szCs w:val="16"/>
                <w:b w:val="1"/>
                <w:bCs w:val="1"/>
                <w:color w:val="1C4787"/>
              </w:rPr>
              <w:t>Net increase (decrease) in cash and cash equivalents and cash collateral posted to</w:t>
            </w:r>
          </w:p>
        </w:tc>
        <w:tc>
          <w:tcPr>
            <w:tcW w:w="320" w:type="dxa"/>
            <w:vAlign w:val="bottom"/>
            <w:shd w:val="clear" w:color="auto" w:fill="E6EEFF"/>
          </w:tcPr>
          <w:p>
            <w:pPr>
              <w:spacing w:after="0"/>
              <w:rPr>
                <w:sz w:val="13"/>
                <w:szCs w:val="13"/>
                <w:color w:val="auto"/>
              </w:rPr>
            </w:pPr>
          </w:p>
        </w:tc>
        <w:tc>
          <w:tcPr>
            <w:tcW w:w="1180" w:type="dxa"/>
            <w:vAlign w:val="bottom"/>
            <w:shd w:val="clear" w:color="auto" w:fill="E6EEFF"/>
          </w:tcPr>
          <w:p>
            <w:pPr>
              <w:spacing w:after="0"/>
              <w:rPr>
                <w:sz w:val="13"/>
                <w:szCs w:val="13"/>
                <w:color w:val="auto"/>
              </w:rPr>
            </w:pPr>
          </w:p>
        </w:tc>
        <w:tc>
          <w:tcPr>
            <w:tcW w:w="120" w:type="dxa"/>
            <w:vAlign w:val="bottom"/>
            <w:shd w:val="clear" w:color="auto" w:fill="E6EEFF"/>
          </w:tcPr>
          <w:p>
            <w:pPr>
              <w:spacing w:after="0"/>
              <w:rPr>
                <w:sz w:val="13"/>
                <w:szCs w:val="13"/>
                <w:color w:val="auto"/>
              </w:rPr>
            </w:pPr>
          </w:p>
        </w:tc>
        <w:tc>
          <w:tcPr>
            <w:tcW w:w="360" w:type="dxa"/>
            <w:vAlign w:val="bottom"/>
            <w:shd w:val="clear" w:color="auto" w:fill="E6EEFF"/>
          </w:tcPr>
          <w:p>
            <w:pPr>
              <w:spacing w:after="0"/>
              <w:rPr>
                <w:sz w:val="13"/>
                <w:szCs w:val="13"/>
                <w:color w:val="auto"/>
              </w:rPr>
            </w:pPr>
          </w:p>
        </w:tc>
        <w:tc>
          <w:tcPr>
            <w:tcW w:w="1140" w:type="dxa"/>
            <w:vAlign w:val="bottom"/>
            <w:shd w:val="clear" w:color="auto" w:fill="E6EEFF"/>
          </w:tcPr>
          <w:p>
            <w:pPr>
              <w:spacing w:after="0"/>
              <w:rPr>
                <w:sz w:val="13"/>
                <w:szCs w:val="13"/>
                <w:color w:val="auto"/>
              </w:rPr>
            </w:pPr>
          </w:p>
        </w:tc>
        <w:tc>
          <w:tcPr>
            <w:tcW w:w="100" w:type="dxa"/>
            <w:vAlign w:val="bottom"/>
            <w:shd w:val="clear" w:color="auto" w:fill="E6EEFF"/>
          </w:tcPr>
          <w:p>
            <w:pPr>
              <w:spacing w:after="0"/>
              <w:rPr>
                <w:sz w:val="13"/>
                <w:szCs w:val="13"/>
                <w:color w:val="auto"/>
              </w:rPr>
            </w:pPr>
          </w:p>
        </w:tc>
        <w:tc>
          <w:tcPr>
            <w:tcW w:w="360" w:type="dxa"/>
            <w:vAlign w:val="bottom"/>
            <w:shd w:val="clear" w:color="auto" w:fill="E6EEFF"/>
          </w:tcPr>
          <w:p>
            <w:pPr>
              <w:spacing w:after="0"/>
              <w:rPr>
                <w:sz w:val="13"/>
                <w:szCs w:val="13"/>
                <w:color w:val="auto"/>
              </w:rPr>
            </w:pPr>
          </w:p>
        </w:tc>
        <w:tc>
          <w:tcPr>
            <w:tcW w:w="1140" w:type="dxa"/>
            <w:vAlign w:val="bottom"/>
            <w:shd w:val="clear" w:color="auto" w:fill="E6EEFF"/>
          </w:tcPr>
          <w:p>
            <w:pPr>
              <w:spacing w:after="0"/>
              <w:rPr>
                <w:sz w:val="13"/>
                <w:szCs w:val="13"/>
                <w:color w:val="auto"/>
              </w:rPr>
            </w:pPr>
          </w:p>
        </w:tc>
      </w:tr>
      <w:tr>
        <w:trPr>
          <w:trHeight w:val="207"/>
        </w:trPr>
        <w:tc>
          <w:tcPr>
            <w:tcW w:w="6520" w:type="dxa"/>
            <w:vAlign w:val="bottom"/>
            <w:tcBorders>
              <w:bottom w:val="single" w:sz="8" w:color="E6EEFF"/>
            </w:tcBorders>
            <w:shd w:val="clear" w:color="auto" w:fill="E6EEFF"/>
          </w:tcPr>
          <w:p>
            <w:pPr>
              <w:ind w:left="20"/>
              <w:spacing w:after="0" w:line="205" w:lineRule="exact"/>
              <w:rPr>
                <w:sz w:val="20"/>
                <w:szCs w:val="20"/>
                <w:color w:val="auto"/>
              </w:rPr>
            </w:pPr>
            <w:r>
              <w:rPr>
                <w:rFonts w:ascii="Calibri" w:cs="Calibri" w:eastAsia="Calibri" w:hAnsi="Calibri"/>
                <w:sz w:val="17"/>
                <w:szCs w:val="17"/>
                <w:b w:val="1"/>
                <w:bCs w:val="1"/>
                <w:color w:val="1C4787"/>
              </w:rPr>
              <w:t>counterpartes</w:t>
            </w:r>
          </w:p>
        </w:tc>
        <w:tc>
          <w:tcPr>
            <w:tcW w:w="320" w:type="dxa"/>
            <w:vAlign w:val="bottom"/>
            <w:tcBorders>
              <w:bottom w:val="single" w:sz="8" w:color="E6EEFF"/>
            </w:tcBorders>
            <w:shd w:val="clear" w:color="auto" w:fill="E6EEFF"/>
          </w:tcPr>
          <w:p>
            <w:pPr>
              <w:spacing w:after="0"/>
              <w:rPr>
                <w:sz w:val="18"/>
                <w:szCs w:val="18"/>
                <w:color w:val="auto"/>
              </w:rPr>
            </w:pPr>
          </w:p>
        </w:tc>
        <w:tc>
          <w:tcPr>
            <w:tcW w:w="1180" w:type="dxa"/>
            <w:vAlign w:val="bottom"/>
            <w:tcBorders>
              <w:bottom w:val="single" w:sz="8" w:color="E6EEFF"/>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140,768</w:t>
            </w:r>
          </w:p>
        </w:tc>
        <w:tc>
          <w:tcPr>
            <w:tcW w:w="120" w:type="dxa"/>
            <w:vAlign w:val="bottom"/>
            <w:tcBorders>
              <w:bottom w:val="single" w:sz="8" w:color="E6EEFF"/>
            </w:tcBorders>
            <w:shd w:val="clear" w:color="auto" w:fill="E6EEFF"/>
          </w:tcPr>
          <w:p>
            <w:pPr>
              <w:spacing w:after="0"/>
              <w:rPr>
                <w:sz w:val="18"/>
                <w:szCs w:val="18"/>
                <w:color w:val="auto"/>
              </w:rPr>
            </w:pPr>
          </w:p>
        </w:tc>
        <w:tc>
          <w:tcPr>
            <w:tcW w:w="360" w:type="dxa"/>
            <w:vAlign w:val="bottom"/>
            <w:tcBorders>
              <w:bottom w:val="single" w:sz="8" w:color="E6EEFF"/>
            </w:tcBorders>
            <w:shd w:val="clear" w:color="auto" w:fill="E6EEFF"/>
          </w:tcPr>
          <w:p>
            <w:pPr>
              <w:spacing w:after="0"/>
              <w:rPr>
                <w:sz w:val="18"/>
                <w:szCs w:val="18"/>
                <w:color w:val="auto"/>
              </w:rPr>
            </w:pPr>
          </w:p>
        </w:tc>
        <w:tc>
          <w:tcPr>
            <w:tcW w:w="1140" w:type="dxa"/>
            <w:vAlign w:val="bottom"/>
            <w:tcBorders>
              <w:bottom w:val="single" w:sz="8" w:color="E6EEFF"/>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(238,126)</w:t>
            </w:r>
          </w:p>
        </w:tc>
        <w:tc>
          <w:tcPr>
            <w:tcW w:w="100" w:type="dxa"/>
            <w:vAlign w:val="bottom"/>
            <w:tcBorders>
              <w:bottom w:val="single" w:sz="8" w:color="E6EEFF"/>
            </w:tcBorders>
            <w:shd w:val="clear" w:color="auto" w:fill="E6EEFF"/>
          </w:tcPr>
          <w:p>
            <w:pPr>
              <w:spacing w:after="0"/>
              <w:rPr>
                <w:sz w:val="18"/>
                <w:szCs w:val="18"/>
                <w:color w:val="auto"/>
              </w:rPr>
            </w:pPr>
          </w:p>
        </w:tc>
        <w:tc>
          <w:tcPr>
            <w:tcW w:w="360" w:type="dxa"/>
            <w:vAlign w:val="bottom"/>
            <w:tcBorders>
              <w:bottom w:val="single" w:sz="8" w:color="E6EEFF"/>
            </w:tcBorders>
            <w:shd w:val="clear" w:color="auto" w:fill="E6EEFF"/>
          </w:tcPr>
          <w:p>
            <w:pPr>
              <w:spacing w:after="0"/>
              <w:rPr>
                <w:sz w:val="18"/>
                <w:szCs w:val="18"/>
                <w:color w:val="auto"/>
              </w:rPr>
            </w:pPr>
          </w:p>
        </w:tc>
        <w:tc>
          <w:tcPr>
            <w:tcW w:w="1140" w:type="dxa"/>
            <w:vAlign w:val="bottom"/>
            <w:tcBorders>
              <w:bottom w:val="single" w:sz="8" w:color="E6EEFF"/>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184,548</w:t>
            </w:r>
          </w:p>
        </w:tc>
      </w:tr>
      <w:tr>
        <w:trPr>
          <w:trHeight w:val="212"/>
        </w:trPr>
        <w:tc>
          <w:tcPr>
            <w:tcW w:w="6520" w:type="dxa"/>
            <w:vAlign w:val="bottom"/>
            <w:tcBorders>
              <w:bottom w:val="single" w:sz="8" w:color="E6EEFF"/>
            </w:tcBorders>
          </w:tcPr>
          <w:p>
            <w:pPr>
              <w:ind w:left="20"/>
              <w:spacing w:after="0" w:line="205" w:lineRule="exact"/>
              <w:rPr>
                <w:sz w:val="20"/>
                <w:szCs w:val="20"/>
                <w:color w:val="auto"/>
              </w:rPr>
            </w:pPr>
            <w:r>
              <w:rPr>
                <w:rFonts w:ascii="Calibri" w:cs="Calibri" w:eastAsia="Calibri" w:hAnsi="Calibri"/>
                <w:sz w:val="17"/>
                <w:szCs w:val="17"/>
                <w:color w:val="auto"/>
              </w:rPr>
              <w:t>Cash and cash equivalents and cash collateral posted to counterpartes - beginning of year</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118,090</w:t>
            </w:r>
          </w:p>
        </w:tc>
        <w:tc>
          <w:tcPr>
            <w:tcW w:w="120" w:type="dxa"/>
            <w:vAlign w:val="bottom"/>
            <w:tcBorders>
              <w:bottom w:val="single" w:sz="8" w:color="E6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356,216</w:t>
            </w:r>
          </w:p>
        </w:tc>
        <w:tc>
          <w:tcPr>
            <w:tcW w:w="100" w:type="dxa"/>
            <w:vAlign w:val="bottom"/>
            <w:tcBorders>
              <w:bottom w:val="single" w:sz="8" w:color="E6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171,668</w:t>
            </w:r>
          </w:p>
        </w:tc>
      </w:tr>
      <w:tr>
        <w:trPr>
          <w:trHeight w:val="219"/>
        </w:trPr>
        <w:tc>
          <w:tcPr>
            <w:tcW w:w="6520" w:type="dxa"/>
            <w:vAlign w:val="bottom"/>
            <w:shd w:val="clear" w:color="auto" w:fill="E6EEFF"/>
          </w:tcPr>
          <w:p>
            <w:pPr>
              <w:ind w:left="20"/>
              <w:spacing w:after="0" w:line="197" w:lineRule="exact"/>
              <w:rPr>
                <w:sz w:val="20"/>
                <w:szCs w:val="20"/>
                <w:color w:val="auto"/>
              </w:rPr>
            </w:pPr>
            <w:r>
              <w:rPr>
                <w:rFonts w:ascii="Calibri" w:cs="Calibri" w:eastAsia="Calibri" w:hAnsi="Calibri"/>
                <w:sz w:val="17"/>
                <w:szCs w:val="17"/>
                <w:color w:val="auto"/>
              </w:rPr>
              <w:t>Cash and cash equivalents and cash collateral posted to counterpartes - end of year</w:t>
            </w:r>
          </w:p>
        </w:tc>
        <w:tc>
          <w:tcPr>
            <w:tcW w:w="320" w:type="dxa"/>
            <w:vAlign w:val="bottom"/>
            <w:tcBorders>
              <w:bottom w:val="single" w:sz="8" w:color="auto"/>
            </w:tcBorders>
            <w:shd w:val="clear" w:color="auto" w:fill="E6EEFF"/>
          </w:tcPr>
          <w:p>
            <w:pPr>
              <w:jc w:val="right"/>
              <w:ind w:right="114"/>
              <w:spacing w:after="0" w:line="205" w:lineRule="exact"/>
              <w:rPr>
                <w:sz w:val="20"/>
                <w:szCs w:val="20"/>
                <w:color w:val="auto"/>
              </w:rPr>
            </w:pPr>
            <w:r>
              <w:rPr>
                <w:rFonts w:ascii="Calibri" w:cs="Calibri" w:eastAsia="Calibri" w:hAnsi="Calibri"/>
                <w:sz w:val="17"/>
                <w:szCs w:val="17"/>
                <w:color w:val="auto"/>
              </w:rPr>
              <w:t>$</w:t>
            </w:r>
          </w:p>
        </w:tc>
        <w:tc>
          <w:tcPr>
            <w:tcW w:w="118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258,858</w:t>
            </w:r>
          </w:p>
        </w:tc>
        <w:tc>
          <w:tcPr>
            <w:tcW w:w="120" w:type="dxa"/>
            <w:vAlign w:val="bottom"/>
            <w:shd w:val="clear" w:color="auto" w:fill="E6EEFF"/>
          </w:tcPr>
          <w:p>
            <w:pPr>
              <w:spacing w:after="0"/>
              <w:rPr>
                <w:sz w:val="19"/>
                <w:szCs w:val="19"/>
                <w:color w:val="auto"/>
              </w:rPr>
            </w:pPr>
          </w:p>
        </w:tc>
        <w:tc>
          <w:tcPr>
            <w:tcW w:w="360" w:type="dxa"/>
            <w:vAlign w:val="bottom"/>
            <w:tcBorders>
              <w:bottom w:val="single" w:sz="8" w:color="auto"/>
            </w:tcBorders>
            <w:shd w:val="clear" w:color="auto" w:fill="E6EEFF"/>
          </w:tcPr>
          <w:p>
            <w:pPr>
              <w:jc w:val="right"/>
              <w:ind w:right="174"/>
              <w:spacing w:after="0" w:line="205" w:lineRule="exact"/>
              <w:rPr>
                <w:sz w:val="20"/>
                <w:szCs w:val="20"/>
                <w:color w:val="auto"/>
              </w:rPr>
            </w:pPr>
            <w:r>
              <w:rPr>
                <w:rFonts w:ascii="Calibri" w:cs="Calibri" w:eastAsia="Calibri" w:hAnsi="Calibri"/>
                <w:sz w:val="17"/>
                <w:szCs w:val="17"/>
                <w:color w:val="auto"/>
                <w:w w:val="92"/>
              </w:rPr>
              <w:t>$</w:t>
            </w:r>
          </w:p>
        </w:tc>
        <w:tc>
          <w:tcPr>
            <w:tcW w:w="11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118,090</w:t>
            </w:r>
          </w:p>
        </w:tc>
        <w:tc>
          <w:tcPr>
            <w:tcW w:w="100" w:type="dxa"/>
            <w:vAlign w:val="bottom"/>
            <w:shd w:val="clear" w:color="auto" w:fill="E6EEFF"/>
          </w:tcPr>
          <w:p>
            <w:pPr>
              <w:spacing w:after="0"/>
              <w:rPr>
                <w:sz w:val="19"/>
                <w:szCs w:val="19"/>
                <w:color w:val="auto"/>
              </w:rPr>
            </w:pPr>
          </w:p>
        </w:tc>
        <w:tc>
          <w:tcPr>
            <w:tcW w:w="360" w:type="dxa"/>
            <w:vAlign w:val="bottom"/>
            <w:tcBorders>
              <w:bottom w:val="single" w:sz="8" w:color="auto"/>
            </w:tcBorders>
            <w:shd w:val="clear" w:color="auto" w:fill="E6EEFF"/>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356,216</w:t>
            </w:r>
          </w:p>
        </w:tc>
      </w:tr>
      <w:tr>
        <w:trPr>
          <w:trHeight w:val="190"/>
        </w:trPr>
        <w:tc>
          <w:tcPr>
            <w:tcW w:w="6520" w:type="dxa"/>
            <w:vAlign w:val="bottom"/>
          </w:tcPr>
          <w:p>
            <w:pPr>
              <w:ind w:left="20"/>
              <w:spacing w:after="0" w:line="190" w:lineRule="exact"/>
              <w:rPr>
                <w:sz w:val="20"/>
                <w:szCs w:val="20"/>
                <w:color w:val="auto"/>
              </w:rPr>
            </w:pPr>
            <w:r>
              <w:rPr>
                <w:rFonts w:ascii="Calibri" w:cs="Calibri" w:eastAsia="Calibri" w:hAnsi="Calibri"/>
                <w:sz w:val="17"/>
                <w:szCs w:val="17"/>
                <w:b w:val="1"/>
                <w:bCs w:val="1"/>
                <w:color w:val="1C4787"/>
              </w:rPr>
              <w:t>Supplemental Disclosure:</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
        </w:trPr>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9"/>
        </w:trPr>
        <w:tc>
          <w:tcPr>
            <w:tcW w:w="6520" w:type="dxa"/>
            <w:vAlign w:val="bottom"/>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Cash paid during the year for interest</w:t>
            </w:r>
          </w:p>
        </w:tc>
        <w:tc>
          <w:tcPr>
            <w:tcW w:w="320" w:type="dxa"/>
            <w:vAlign w:val="bottom"/>
            <w:shd w:val="clear" w:color="auto" w:fill="E6EEFF"/>
          </w:tcPr>
          <w:p>
            <w:pPr>
              <w:jc w:val="right"/>
              <w:ind w:right="114"/>
              <w:spacing w:after="0" w:line="205" w:lineRule="exact"/>
              <w:rPr>
                <w:sz w:val="20"/>
                <w:szCs w:val="20"/>
                <w:color w:val="auto"/>
              </w:rPr>
            </w:pPr>
            <w:r>
              <w:rPr>
                <w:rFonts w:ascii="Calibri" w:cs="Calibri" w:eastAsia="Calibri" w:hAnsi="Calibri"/>
                <w:sz w:val="17"/>
                <w:szCs w:val="17"/>
                <w:color w:val="auto"/>
              </w:rPr>
              <w:t>$</w:t>
            </w:r>
          </w:p>
        </w:tc>
        <w:tc>
          <w:tcPr>
            <w:tcW w:w="118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607,030</w:t>
            </w:r>
          </w:p>
        </w:tc>
        <w:tc>
          <w:tcPr>
            <w:tcW w:w="120" w:type="dxa"/>
            <w:vAlign w:val="bottom"/>
            <w:shd w:val="clear" w:color="auto" w:fill="E6EEFF"/>
          </w:tcPr>
          <w:p>
            <w:pPr>
              <w:spacing w:after="0"/>
              <w:rPr>
                <w:sz w:val="19"/>
                <w:szCs w:val="19"/>
                <w:color w:val="auto"/>
              </w:rPr>
            </w:pPr>
          </w:p>
        </w:tc>
        <w:tc>
          <w:tcPr>
            <w:tcW w:w="360" w:type="dxa"/>
            <w:vAlign w:val="bottom"/>
            <w:shd w:val="clear" w:color="auto" w:fill="E6EEFF"/>
          </w:tcPr>
          <w:p>
            <w:pPr>
              <w:jc w:val="right"/>
              <w:ind w:right="174"/>
              <w:spacing w:after="0" w:line="205" w:lineRule="exact"/>
              <w:rPr>
                <w:sz w:val="20"/>
                <w:szCs w:val="20"/>
                <w:color w:val="auto"/>
              </w:rPr>
            </w:pPr>
            <w:r>
              <w:rPr>
                <w:rFonts w:ascii="Calibri" w:cs="Calibri" w:eastAsia="Calibri" w:hAnsi="Calibri"/>
                <w:sz w:val="17"/>
                <w:szCs w:val="17"/>
                <w:color w:val="auto"/>
                <w:w w:val="92"/>
              </w:rPr>
              <w:t>$</w:t>
            </w:r>
          </w:p>
        </w:tc>
        <w:tc>
          <w:tcPr>
            <w:tcW w:w="114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136,966</w:t>
            </w:r>
          </w:p>
        </w:tc>
        <w:tc>
          <w:tcPr>
            <w:tcW w:w="100" w:type="dxa"/>
            <w:vAlign w:val="bottom"/>
            <w:shd w:val="clear" w:color="auto" w:fill="E6EEFF"/>
          </w:tcPr>
          <w:p>
            <w:pPr>
              <w:spacing w:after="0"/>
              <w:rPr>
                <w:sz w:val="19"/>
                <w:szCs w:val="19"/>
                <w:color w:val="auto"/>
              </w:rPr>
            </w:pPr>
          </w:p>
        </w:tc>
        <w:tc>
          <w:tcPr>
            <w:tcW w:w="360" w:type="dxa"/>
            <w:vAlign w:val="bottom"/>
            <w:shd w:val="clear" w:color="auto" w:fill="E6EEFF"/>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21,316</w:t>
            </w:r>
          </w:p>
        </w:tc>
      </w:tr>
      <w:tr>
        <w:trPr>
          <w:trHeight w:val="205"/>
        </w:trPr>
        <w:tc>
          <w:tcPr>
            <w:tcW w:w="65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1C4787"/>
              </w:rPr>
              <w:t>Non-Cash Investng Actvites: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3"/>
        </w:trPr>
        <w:tc>
          <w:tcPr>
            <w:tcW w:w="652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Payable for unsetled purchases</w:t>
            </w:r>
          </w:p>
        </w:tc>
        <w:tc>
          <w:tcPr>
            <w:tcW w:w="320" w:type="dxa"/>
            <w:vAlign w:val="bottom"/>
            <w:shd w:val="clear" w:color="auto" w:fill="E6EEFF"/>
          </w:tcPr>
          <w:p>
            <w:pPr>
              <w:jc w:val="right"/>
              <w:ind w:right="114"/>
              <w:spacing w:after="0"/>
              <w:rPr>
                <w:sz w:val="20"/>
                <w:szCs w:val="20"/>
                <w:color w:val="auto"/>
              </w:rPr>
            </w:pPr>
            <w:r>
              <w:rPr>
                <w:rFonts w:ascii="Calibri" w:cs="Calibri" w:eastAsia="Calibri" w:hAnsi="Calibri"/>
                <w:sz w:val="17"/>
                <w:szCs w:val="17"/>
                <w:color w:val="auto"/>
              </w:rPr>
              <w:t>$</w:t>
            </w:r>
          </w:p>
        </w:tc>
        <w:tc>
          <w:tcPr>
            <w:tcW w:w="11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(171,513)</w:t>
            </w:r>
          </w:p>
        </w:tc>
        <w:tc>
          <w:tcPr>
            <w:tcW w:w="120" w:type="dxa"/>
            <w:vAlign w:val="bottom"/>
            <w:shd w:val="clear" w:color="auto" w:fill="E6EEFF"/>
          </w:tcPr>
          <w:p>
            <w:pPr>
              <w:spacing w:after="0"/>
              <w:rPr>
                <w:sz w:val="20"/>
                <w:szCs w:val="20"/>
                <w:color w:val="auto"/>
              </w:rPr>
            </w:pPr>
          </w:p>
        </w:tc>
        <w:tc>
          <w:tcPr>
            <w:tcW w:w="360" w:type="dxa"/>
            <w:vAlign w:val="bottom"/>
            <w:shd w:val="clear" w:color="auto" w:fill="E6EEFF"/>
          </w:tcPr>
          <w:p>
            <w:pPr>
              <w:jc w:val="right"/>
              <w:ind w:right="174"/>
              <w:spacing w:after="0"/>
              <w:rPr>
                <w:sz w:val="20"/>
                <w:szCs w:val="20"/>
                <w:color w:val="auto"/>
              </w:rPr>
            </w:pPr>
            <w:r>
              <w:rPr>
                <w:rFonts w:ascii="Calibri" w:cs="Calibri" w:eastAsia="Calibri" w:hAnsi="Calibri"/>
                <w:sz w:val="17"/>
                <w:szCs w:val="17"/>
                <w:color w:val="auto"/>
                <w:w w:val="92"/>
              </w:rPr>
              <w:t>$</w:t>
            </w: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(353,436)</w:t>
            </w:r>
          </w:p>
        </w:tc>
        <w:tc>
          <w:tcPr>
            <w:tcW w:w="100" w:type="dxa"/>
            <w:vAlign w:val="bottom"/>
            <w:shd w:val="clear" w:color="auto" w:fill="E6EEFF"/>
          </w:tcPr>
          <w:p>
            <w:pPr>
              <w:spacing w:after="0"/>
              <w:rPr>
                <w:sz w:val="20"/>
                <w:szCs w:val="20"/>
                <w:color w:val="auto"/>
              </w:rPr>
            </w:pPr>
          </w:p>
        </w:tc>
        <w:tc>
          <w:tcPr>
            <w:tcW w:w="360" w:type="dxa"/>
            <w:vAlign w:val="bottom"/>
            <w:shd w:val="clear" w:color="auto" w:fill="E6EEFF"/>
          </w:tcPr>
          <w:p>
            <w:pPr>
              <w:jc w:val="right"/>
              <w:ind w:right="154"/>
              <w:spacing w:after="0"/>
              <w:rPr>
                <w:sz w:val="20"/>
                <w:szCs w:val="20"/>
                <w:color w:val="auto"/>
              </w:rPr>
            </w:pPr>
            <w:r>
              <w:rPr>
                <w:rFonts w:ascii="Calibri" w:cs="Calibri" w:eastAsia="Calibri" w:hAnsi="Calibri"/>
                <w:sz w:val="17"/>
                <w:szCs w:val="17"/>
                <w:color w:val="auto"/>
              </w:rPr>
              <w:t>$</w:t>
            </w: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w:t>
            </w:r>
          </w:p>
        </w:tc>
      </w:tr>
      <w:tr>
        <w:trPr>
          <w:trHeight w:val="205"/>
        </w:trPr>
        <w:tc>
          <w:tcPr>
            <w:tcW w:w="6520" w:type="dxa"/>
            <w:vAlign w:val="bottom"/>
          </w:tcPr>
          <w:p>
            <w:pPr>
              <w:ind w:left="20"/>
              <w:spacing w:after="0" w:line="205" w:lineRule="exact"/>
              <w:rPr>
                <w:sz w:val="20"/>
                <w:szCs w:val="20"/>
                <w:color w:val="auto"/>
              </w:rPr>
            </w:pPr>
            <w:r>
              <w:rPr>
                <w:rFonts w:ascii="Calibri" w:cs="Calibri" w:eastAsia="Calibri" w:hAnsi="Calibri"/>
                <w:sz w:val="17"/>
                <w:szCs w:val="17"/>
                <w:color w:val="auto"/>
              </w:rPr>
              <w:t>Net unrealized gain (loss) on available for sale Agency Securites</w:t>
            </w:r>
          </w:p>
        </w:tc>
        <w:tc>
          <w:tcPr>
            <w:tcW w:w="320" w:type="dxa"/>
            <w:vAlign w:val="bottom"/>
          </w:tcPr>
          <w:p>
            <w:pPr>
              <w:jc w:val="right"/>
              <w:ind w:right="114"/>
              <w:spacing w:after="0" w:line="205" w:lineRule="exact"/>
              <w:rPr>
                <w:sz w:val="20"/>
                <w:szCs w:val="20"/>
                <w:color w:val="auto"/>
              </w:rPr>
            </w:pPr>
            <w:r>
              <w:rPr>
                <w:rFonts w:ascii="Calibri" w:cs="Calibri" w:eastAsia="Calibri" w:hAnsi="Calibri"/>
                <w:sz w:val="17"/>
                <w:szCs w:val="17"/>
                <w:color w:val="auto"/>
              </w:rPr>
              <w:t>$</w:t>
            </w:r>
          </w:p>
        </w:tc>
        <w:tc>
          <w:tcPr>
            <w:tcW w:w="1180" w:type="dxa"/>
            <w:vAlign w:val="bottom"/>
          </w:tcPr>
          <w:p>
            <w:pPr>
              <w:jc w:val="right"/>
              <w:spacing w:after="0" w:line="205" w:lineRule="exact"/>
              <w:rPr>
                <w:sz w:val="20"/>
                <w:szCs w:val="20"/>
                <w:color w:val="auto"/>
              </w:rPr>
            </w:pPr>
            <w:r>
              <w:rPr>
                <w:rFonts w:ascii="Calibri" w:cs="Calibri" w:eastAsia="Calibri" w:hAnsi="Calibri"/>
                <w:sz w:val="17"/>
                <w:szCs w:val="17"/>
                <w:color w:val="auto"/>
              </w:rPr>
              <w:t>4,056</w:t>
            </w:r>
          </w:p>
        </w:tc>
        <w:tc>
          <w:tcPr>
            <w:tcW w:w="120" w:type="dxa"/>
            <w:vAlign w:val="bottom"/>
          </w:tcPr>
          <w:p>
            <w:pPr>
              <w:spacing w:after="0"/>
              <w:rPr>
                <w:sz w:val="17"/>
                <w:szCs w:val="17"/>
                <w:color w:val="auto"/>
              </w:rPr>
            </w:pPr>
          </w:p>
        </w:tc>
        <w:tc>
          <w:tcPr>
            <w:tcW w:w="360" w:type="dxa"/>
            <w:vAlign w:val="bottom"/>
          </w:tcPr>
          <w:p>
            <w:pPr>
              <w:jc w:val="right"/>
              <w:ind w:right="174"/>
              <w:spacing w:after="0" w:line="205" w:lineRule="exact"/>
              <w:rPr>
                <w:sz w:val="20"/>
                <w:szCs w:val="20"/>
                <w:color w:val="auto"/>
              </w:rPr>
            </w:pPr>
            <w:r>
              <w:rPr>
                <w:rFonts w:ascii="Calibri" w:cs="Calibri" w:eastAsia="Calibri" w:hAnsi="Calibri"/>
                <w:sz w:val="17"/>
                <w:szCs w:val="17"/>
                <w:color w:val="auto"/>
                <w:w w:val="92"/>
              </w:rPr>
              <w:t>$</w:t>
            </w: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(130,135)</w:t>
            </w:r>
          </w:p>
        </w:tc>
        <w:tc>
          <w:tcPr>
            <w:tcW w:w="100" w:type="dxa"/>
            <w:vAlign w:val="bottom"/>
          </w:tcPr>
          <w:p>
            <w:pPr>
              <w:spacing w:after="0"/>
              <w:rPr>
                <w:sz w:val="17"/>
                <w:szCs w:val="17"/>
                <w:color w:val="auto"/>
              </w:rPr>
            </w:pPr>
          </w:p>
        </w:tc>
        <w:tc>
          <w:tcPr>
            <w:tcW w:w="360" w:type="dxa"/>
            <w:vAlign w:val="bottom"/>
          </w:tcPr>
          <w:p>
            <w:pPr>
              <w:jc w:val="right"/>
              <w:ind w:right="154"/>
              <w:spacing w:after="0" w:line="205" w:lineRule="exact"/>
              <w:rPr>
                <w:sz w:val="20"/>
                <w:szCs w:val="20"/>
                <w:color w:val="auto"/>
              </w:rPr>
            </w:pPr>
            <w:r>
              <w:rPr>
                <w:rFonts w:ascii="Calibri" w:cs="Calibri" w:eastAsia="Calibri" w:hAnsi="Calibri"/>
                <w:sz w:val="17"/>
                <w:szCs w:val="17"/>
                <w:color w:val="auto"/>
              </w:rPr>
              <w:t>$</w:t>
            </w: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(61,106)</w:t>
            </w:r>
          </w:p>
        </w:tc>
      </w:tr>
    </w:tbl>
    <w:p>
      <w:pPr>
        <w:spacing w:after="0" w:line="248" w:lineRule="exact"/>
        <w:rPr>
          <w:sz w:val="20"/>
          <w:szCs w:val="20"/>
          <w:color w:val="auto"/>
        </w:rPr>
      </w:pPr>
    </w:p>
    <w:p>
      <w:pPr>
        <w:ind w:left="4920"/>
        <w:spacing w:after="0"/>
        <w:rPr>
          <w:sz w:val="20"/>
          <w:szCs w:val="20"/>
          <w:color w:val="auto"/>
        </w:rPr>
      </w:pPr>
      <w:r>
        <w:rPr>
          <w:rFonts w:ascii="Calibri" w:cs="Calibri" w:eastAsia="Calibri" w:hAnsi="Calibri"/>
          <w:sz w:val="17"/>
          <w:szCs w:val="17"/>
          <w:color w:val="auto"/>
        </w:rPr>
        <w:t>See fnancial statement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1163955</wp:posOffset>
            </wp:positionV>
            <wp:extent cx="716407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440055</wp:posOffset>
            </wp:positionV>
            <wp:extent cx="458470" cy="5073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84" w:name="page85"/>
    <w:bookmarkEnd w:id="84"/>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Note 1 - Organizaton and Nature of Business Operatons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References to “we,” “us,” “our,” or the “Company” are to ARMOUR Residental REIT, Inc. (“ARMOUR”) and its subsidiaries. References to “ACM” are to ARMOUR Capital Management LP, a Delaware limited partnership. ARMOUR owns a 10.8% equity interest in BUCKLER Securites LLC ("BUCKLER"). BUCKLER is a Delaware limited liability company and a FINRA-regulated broker-dealer, controlled by ACM and certain executve ofcers of ARMOUR. Refer to the Glossary of Terms for defnitons of capitalized terms and abbreviatons used in this report. U.S. dollar amounts are presented in thousands, except per share amounts or as otherwise noted.</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ARMOUR is an externally managed Maryland corporaton incorporated in 2008. The Company is managed by ACM, an investment advisor registered with the SEC (see Note 8 - Commitments and Contngencies and Note 14 - Related Party Transactons). We have elected to be taxed as a real estate investment trust ("REIT") under the Internal Revenue Code of 1986, as amended (the "Code"). Our qualifcaton as a REIT depends on our ability to meet, on a contnuing basis, various complex requirements under the Code relatng to, among other things, the sources of our gross income, the compositon and values of our assets, our distributon levels and the concentraton of ownership of our capital stock. We believe that we are organized in conformity with the requirements for qualifcaton as a REIT under the Code and our manner of operatons enables us to meet the requirements for taxaton as a REIT for federal income tax purposes. As a REIT, we will generally not be subject to federal income tax on the REIT taxable income that we currently distribute to our stockholders. If we fail to qualify as a REIT in any taxable year and do not qualify for certain statutory relief provisions, we will be subject to federal income tax at regular corporate rates. Even if we qualify as a REIT for U.S. federal income tax purposes, we may stll be subject to some federal, state and local taxes on our income.</w:t>
      </w:r>
    </w:p>
    <w:p>
      <w:pPr>
        <w:spacing w:after="0" w:line="17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At December 31, 2023 and December 31, 2022, we invested in mortgage backed securites ("MBS"), issued or guaranteed by a United States ("U.S.") Government-sponsored entty ("GSE"), such as the Federal Natonal Mortgage Associaton ("Fannie Mae"), the Federal Home Loan Mortgage Corporaton ("Freddie Mac"), or a government agency such as Government Natonal Mortgage Administraton ("Ginnie Mae") (collectvely, "Agency Securites"). Our Agency Securites consist of fxed rate loans. From tme to tme we also invest in U.S. Treasury Securites and money market instruments subject to certain income tests we must satsfy for our qualifcaton as a REIT.</w:t>
      </w:r>
    </w:p>
    <w:p>
      <w:pPr>
        <w:spacing w:after="0" w:line="18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Note 2 - Basis of Presentaton and Consolidaton</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accompanying consolidated fnancial statements have been prepared in accordance with generally accepted accountng principles in the U.S. (“GAAP”). The consolidated fnancial statements include the accounts of ARMOUR Residental REIT, Inc. and its subsidiaries. All intercompany accounts and transactons have been eliminated. The preparaton of fnancial statements in conformity with GAAP requires management to make estmates and assumptons that afect the reported amounts of assets and liabilites and disclosure of contngent assets and liabilites at the date of the fnancial statements and the reported amounts of revenues and expenses during the reportng period. Actual results could difer from those estmates. Signifcant estmates afectng the accompanying consolidated fnancial statements include the valuaton of MBS, including an assessment of the allowance for credit losses, and derivatve instruments. Certain prior year amounts have been reclassifed to conform to the current year's presentaton.</w:t>
      </w:r>
    </w:p>
    <w:p>
      <w:pPr>
        <w:spacing w:after="0" w:line="171"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All per share amounts, common shares outstanding and stock-based compensaton amounts for all periods presented refect our one-for-fve reverse stock split (the “Reverse Stock Split”), which was efectve September 29, 2023. Interest earned/paid on cash collateral posted/held on interest rate swap contracts was reclassifed from Interest Income to Gain (loss) on derivatves, net, in the consolidated fnancial statements to conform to current presentaton. No other reclassifcatons have been made to previously reported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1156335</wp:posOffset>
            </wp:positionV>
            <wp:extent cx="716407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85" w:name="page86"/>
    <w:bookmarkEnd w:id="85"/>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84</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Note 3 - Summary of Signifcant Accountng Policies</w:t>
      </w:r>
    </w:p>
    <w:p>
      <w:pPr>
        <w:spacing w:after="0" w:line="102"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Cash and Cash Equivalents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Cash and cash equivalents includes cash on deposit with fnancial insttutons. We may maintain deposits in federally insured fnancial insttutons in excess of federally insured limits. However, management believes we are not exposed to signifcant credit risk due to the fnancial positon and creditworthiness of the depository insttutons in which those deposits are held.</w:t>
      </w:r>
    </w:p>
    <w:p>
      <w:pPr>
        <w:spacing w:after="0" w:line="179"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Cash Collateral Posted To/By Counterpartes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Cash collateral posted to/by counterpartes represents cash posted by us to counterpartes or posted by counterpartes to us as collateral. Cash collateral posted to/by counterpartes may include collateral for interest rate swap contracts, interest rate swaptons, basis swap contracts, futures contracts, repurchase agreements on our MBS and our Agency Securites purchased or sold on a to-be-announced basis ("TBA Agency Securites").</w:t>
      </w:r>
    </w:p>
    <w:p>
      <w:pPr>
        <w:spacing w:after="0" w:line="13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interest earned or paid on cash collateral posted to/by counterpartes is recorded in gain on derivatves, net in the consolidated statements of operatons and comprehensive income.</w:t>
      </w:r>
    </w:p>
    <w:p>
      <w:pPr>
        <w:spacing w:after="0" w:line="142"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Investments in Securites, at Fair Value</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Our investments in securites are generally classifed as either available for sale or trading securites. Management determines the appropriate classifcatons of the securites at the tme they are acquired and evaluates the appropriateness of such classifcatons at each balance sheet date.</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Trading Securites are reported at their estmated fair values with gains and losses included in Other Income (Loss) as a component of the consolidated statements of operatons and comprehensive income.</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Available for Sale Securites represent investments that we intend to hold for extended periods of tme and are reported at their estmated fair values with unrealized gains and losses excluded from earnings and reported as part of comprehensive income (loss). During the frst quarter of 2023, we sold the remaining balance of our Available for Sale Securites which resulted in a realized loss of $(7,471).</w:t>
      </w:r>
    </w:p>
    <w:p>
      <w:pPr>
        <w:spacing w:after="0" w:line="166"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Receivables and Payables for Unsetled Sales and Purchases</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We account for purchases and sales of securites on the trade date, including purchases and sales for forward setlement. Receivables and payables for unsetled trades represent the agreed trade price multplied by the outstanding balance of the securites at the balance sheet date.</w:t>
      </w:r>
    </w:p>
    <w:p>
      <w:pPr>
        <w:spacing w:after="0" w:line="168"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Accrued Interest Receivable and Payable</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Accrued interest receivable includes interest accrued between payment dates on securites and interest on unsetled sales of securites. Accrued interest payable includes interest on unsetled purchases of securites and interest on repurchase agreements, net. At certain tmes, we may have interest payable on U.S. Treasury Securites sold short.</w:t>
      </w:r>
    </w:p>
    <w:p>
      <w:pPr>
        <w:spacing w:after="0" w:line="179"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Repurchase Agreements, net</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fnance the acquisiton of the majority of our MBS through the use of repurchase agreements. Our repurchase agreements are secured by our MBS and bear interest rates that have moved in close relatonship to the Federal Funds Efectve Rate ("Federal Funds Rate") and the Secured Overnight Funding Rate ("SOFR"). Under these repurchase agreements, we sell MBS to a lender and agree to repurchase the same MBS in the future for a price that is higher than the original sales price. The diference between the sales price that we receive and the repurchase price that we pay represents interest paid to the lender, which accrues over the life of the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1156335</wp:posOffset>
            </wp:positionV>
            <wp:extent cx="716407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86" w:name="page87"/>
    <w:bookmarkEnd w:id="86"/>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85</w:t>
      </w:r>
    </w:p>
    <w:p>
      <w:pPr>
        <w:spacing w:after="0" w:line="200" w:lineRule="exact"/>
        <w:rPr>
          <w:sz w:val="20"/>
          <w:szCs w:val="20"/>
          <w:color w:val="auto"/>
        </w:rPr>
      </w:pPr>
    </w:p>
    <w:p>
      <w:pPr>
        <w:spacing w:after="0" w:line="318"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agreement. A repurchase agreement operates as a fnancing arrangement under which we pledge our MBS as collateral to secure a loan which is equal in value to a specifed percentage of the estmated fair value of the pledged collateral. We retain benefcial ownership of the pledged collateral. At the maturity of a repurchase agreement, we are required to repay the loan and concurrently receive back our pledged collateral from the lender or, with the consent of the lender, we may renew such agreement at the then prevailing interest rate. The repurchase agreements may require us to pledge additonal assets to the lender in the event the estmated fair value of the existng pledged collateral declines or take back certain pledged collateral if values increase.</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 additon to the repurchase agreement fnancing discussed above, at certain tmes, we have entered into reverse repurchase agreements with certain of our repurchase agreement counterpartes. Under a typical reverse repurchase agreement, we purchase U.S. Treasury Securites from a borrower in exchange for cash and agree to sell the same securites in the future in exchange for a price that is higher than the original purchase price. The diference between the purchase price originally paid and the sale price represents interest received from the borrower. Reverse repurchase agreement receivables and repurchase agreement liabilites are presented net when they meet certain criteria, including being with the same counterparty, being governed by the same master repurchase agreement ("MRA"), setlement through the same brokerage or clearing account and maturing on the same day. At December 31, 2023 and December 31, 2022, we had $353,937 and $704,276 in reverse repurchase agreements which are neted in repurchase agreements, net on our consolidated balance sheet.</w:t>
      </w:r>
    </w:p>
    <w:p>
      <w:pPr>
        <w:spacing w:after="0" w:line="168"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Obligatons to Return Securites Received as Collateral, at Fair Value</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also sell to third partes the U.S. Treasury Securites received as collateral for reverse repurchase agreements and recognize the resultng obligaton to return said U.S. Treasury Securites as a liability on our consolidated balance sheet. Interest is recorded on the repurchase agreements, reverse repurchase agreements and U.S. Treasury Securites on an accrual basis and presented as net interest expense. Both partes to the transacton have the right to make daily margin calls based on changes in the fair value of the collateral received and/or pledged. We had obligatons to return securites received as collateral associated with our reverse repurchase agreements at December 31, 2023 and December 31, 2022 of $350,273 ($0 of which were with BUCKLER) and $502,656 ($100,531 of which were with BUCKLER), respectvely.</w:t>
      </w:r>
    </w:p>
    <w:p>
      <w:pPr>
        <w:spacing w:after="0" w:line="168"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Derivatves, at Fair Value</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recognize all derivatves individually as either assets or liabilites at fair value on our consolidated balance sheets. All changes in the fair values of our derivatves are refected in our consolidated statements of operatons and comprehensive income (loss). We designate derivatves as hedges for tax purposes and any unrealized derivatve gains or losses would not afect our distributable net taxable income. These transactons may include interest rate swap contracts, interest rate swaptons, basis swap contracts and futures contracts.</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also may utlize forward contracts for the purchase or sale of TBA Agency Securites. We account for TBA Agency Securites as derivatve instruments if it is reasonably possible that we will not take or make physical delivery of the Agency Security upon setlement of the contract. We account for TBA dollar roll transactons as a series of derivatve transactons. We may also purchase and sell TBA Agency Securites as a means of investng in and fnancing Agency Securites (thereby increasing our “at risk” leverage) or as a means of disposing of or reducing our exposure to Agency Securites (thereby reducing our “at risk” leverage). We agree to purchase or sell, for future delivery, Agency Securites with certain principal and interest terms and certain types of collateral, but the partcular Agency Securites to be delivered are not identfed untl shortly before the TBA setlement date. We may also choose, prior to setlement, to move the setlement of these securites out to a later date by entering into an ofsetng short or long positon (referred to as a “pair of”), net setling the paired of positons for cash, and simultaneously purchasing or selling a similar TBA Agency Security for a later setlement date. This transacton is commonly referred to as a “dollar roll.” When it is reasonably possible that we will pair of a TBA Agency Security, we account for that contract as a derivatve.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1157605</wp:posOffset>
            </wp:positionV>
            <wp:extent cx="716407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433705</wp:posOffset>
            </wp:positionV>
            <wp:extent cx="458470" cy="5073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87" w:name="page88"/>
    <w:bookmarkEnd w:id="87"/>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86</w:t>
      </w:r>
    </w:p>
    <w:p>
      <w:pPr>
        <w:spacing w:after="0" w:line="200" w:lineRule="exact"/>
        <w:rPr>
          <w:sz w:val="20"/>
          <w:szCs w:val="20"/>
          <w:color w:val="auto"/>
        </w:rPr>
      </w:pPr>
    </w:p>
    <w:p>
      <w:pPr>
        <w:spacing w:after="0" w:line="315"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Revenue Recogniton</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Interest income is earned and recognized on Agency Securites based on their unpaid principal amounts and their contractual terms. Recogniton of interest income commences on the setlement date of the purchase transacton and contnues through the setlement date of the sale transacton or maturity. Premiums and discounts associated with the purchase of Mult-Family MBS, which are generally not subject to prepayment, are amortzed or accreted into interest income over the contractual lives of the securites using a level yield method. Premiums and discounts associated with the purchase of other Agency Securites are amortzed or accreted into interest income over the actual lives of the securites, refectng actual prepayments as they occur. Purchase and sale transactons (including TBA Agency Securites) are recorded on the trade date to the extent it is probable that we will take or make tmely physical delivery of the related securites. Gains or losses realized from sales of available for sale securites are reclassifed into income from Comprehensive Income (Loss) and are determined using the specifc identfcaton method.</w:t>
      </w:r>
    </w:p>
    <w:p>
      <w:pPr>
        <w:spacing w:after="0" w:line="184"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Interest income on U.S. Treasury Securites is recognized based on their unpaid principal amounts and their contractual terms. Recogniton of interest income commences on the setlement date of the purchase transacton and contnues through the setlement date of the sale transacton.</w:t>
      </w:r>
    </w:p>
    <w:p>
      <w:pPr>
        <w:spacing w:after="0" w:line="168"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Comprehensive Income (Loss)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Comprehensive income (loss) refers to the sum of net income and other comprehensive income (loss). It represents all changes in equity during a period from transactons and other events from non-owner sources. It excludes all changes in equity during a period resultng from investments by owners and distributons to owners.</w:t>
      </w:r>
    </w:p>
    <w:p>
      <w:pPr>
        <w:spacing w:after="0" w:line="1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Note 4 - Fair Value of Financial Instruments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valuaton techniques for fnancial instruments use observable and unobservable inputs. Observable inputs refect readily obtainable data from third-party sources, while unobservable inputs refect management’s market assumptons. The Accountng Standards Codifcaton Topic No. 820, "Fair Value Measurement," classifes these inputs into the following hierarchy:</w:t>
      </w:r>
    </w:p>
    <w:p>
      <w:pPr>
        <w:spacing w:after="0" w:line="179"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Level 1 Inputs</w:t>
      </w:r>
      <w:r>
        <w:rPr>
          <w:rFonts w:ascii="Calibri" w:cs="Calibri" w:eastAsia="Calibri" w:hAnsi="Calibri"/>
          <w:sz w:val="17"/>
          <w:szCs w:val="17"/>
          <w:i w:val="1"/>
          <w:iCs w:val="1"/>
          <w:color w:val="1C4787"/>
        </w:rPr>
        <w:t xml:space="preserve"> </w:t>
      </w:r>
      <w:r>
        <w:rPr>
          <w:rFonts w:ascii="Calibri" w:cs="Calibri" w:eastAsia="Calibri" w:hAnsi="Calibri"/>
          <w:sz w:val="17"/>
          <w:szCs w:val="17"/>
          <w:color w:val="000000"/>
        </w:rPr>
        <w:t>- Quoted prices for identcal instruments in actve markets.</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i w:val="1"/>
          <w:iCs w:val="1"/>
          <w:u w:val="single" w:color="auto"/>
          <w:color w:val="1C4787"/>
        </w:rPr>
        <w:t>Level 2 Inputs</w:t>
      </w:r>
      <w:r>
        <w:rPr>
          <w:rFonts w:ascii="Calibri" w:cs="Calibri" w:eastAsia="Calibri" w:hAnsi="Calibri"/>
          <w:sz w:val="17"/>
          <w:szCs w:val="17"/>
          <w:i w:val="1"/>
          <w:iCs w:val="1"/>
          <w:color w:val="1C4787"/>
        </w:rPr>
        <w:t xml:space="preserve"> </w:t>
      </w:r>
      <w:r>
        <w:rPr>
          <w:rFonts w:ascii="Calibri" w:cs="Calibri" w:eastAsia="Calibri" w:hAnsi="Calibri"/>
          <w:sz w:val="17"/>
          <w:szCs w:val="17"/>
          <w:color w:val="000000"/>
        </w:rPr>
        <w:t>- Quoted prices for similar instruments in actve markets; quoted prices for identcal or similar instruments in markets that are not actve; and</w:t>
      </w:r>
      <w:r>
        <w:rPr>
          <w:rFonts w:ascii="Calibri" w:cs="Calibri" w:eastAsia="Calibri" w:hAnsi="Calibri"/>
          <w:sz w:val="17"/>
          <w:szCs w:val="17"/>
          <w:i w:val="1"/>
          <w:iCs w:val="1"/>
          <w:color w:val="1C4787"/>
        </w:rPr>
        <w:t xml:space="preserve"> </w:t>
      </w:r>
      <w:r>
        <w:rPr>
          <w:rFonts w:ascii="Calibri" w:cs="Calibri" w:eastAsia="Calibri" w:hAnsi="Calibri"/>
          <w:sz w:val="17"/>
          <w:szCs w:val="17"/>
          <w:color w:val="000000"/>
        </w:rPr>
        <w:t>model-derived valuatons whose inputs are observable or whose signifcant value drivers are observable.</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i w:val="1"/>
          <w:iCs w:val="1"/>
          <w:u w:val="single" w:color="auto"/>
          <w:color w:val="1C4787"/>
        </w:rPr>
        <w:t>Level 3 Inputs</w:t>
      </w:r>
      <w:r>
        <w:rPr>
          <w:rFonts w:ascii="Calibri" w:cs="Calibri" w:eastAsia="Calibri" w:hAnsi="Calibri"/>
          <w:sz w:val="17"/>
          <w:szCs w:val="17"/>
          <w:i w:val="1"/>
          <w:iCs w:val="1"/>
          <w:color w:val="1C4787"/>
        </w:rPr>
        <w:t xml:space="preserve"> </w:t>
      </w:r>
      <w:r>
        <w:rPr>
          <w:rFonts w:ascii="Calibri" w:cs="Calibri" w:eastAsia="Calibri" w:hAnsi="Calibri"/>
          <w:sz w:val="17"/>
          <w:szCs w:val="17"/>
          <w:color w:val="000000"/>
        </w:rPr>
        <w:t>- Prices determined using signifcant unobservable inputs. Unobservable inputs may be used in situatons where quoted prices or observable</w:t>
      </w:r>
      <w:r>
        <w:rPr>
          <w:rFonts w:ascii="Calibri" w:cs="Calibri" w:eastAsia="Calibri" w:hAnsi="Calibri"/>
          <w:sz w:val="17"/>
          <w:szCs w:val="17"/>
          <w:i w:val="1"/>
          <w:iCs w:val="1"/>
          <w:color w:val="1C4787"/>
        </w:rPr>
        <w:t xml:space="preserve"> </w:t>
      </w:r>
      <w:r>
        <w:rPr>
          <w:rFonts w:ascii="Calibri" w:cs="Calibri" w:eastAsia="Calibri" w:hAnsi="Calibri"/>
          <w:sz w:val="17"/>
          <w:szCs w:val="17"/>
          <w:color w:val="000000"/>
        </w:rPr>
        <w:t>inputs are unavailable (for example, when there is litle or no market actvity for an investment at the end of the period). Unobservable inputs refect management’s assumptons about the factors that market partcipants would use in pricing an asset or liability and would be based on the best informaton available.</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At the beginning of each quarter, we assess the assets and liabilites that are measured at fair value on a recurring basis to determine if any transfers between levels in the fair value hierarchy are needed.</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following describes the valuaton methodologies used for our assets and liabilites measured at fair value, as well as the general classifcaton of such instruments pursuant to the valuaton hierarchy. Any transfers between levels are assumed to occur at the beginning of the reportng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88" w:name="page89"/>
    <w:bookmarkEnd w:id="88"/>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87</w:t>
      </w:r>
    </w:p>
    <w:p>
      <w:pPr>
        <w:spacing w:after="0" w:line="200" w:lineRule="exact"/>
        <w:rPr>
          <w:sz w:val="20"/>
          <w:szCs w:val="20"/>
          <w:color w:val="auto"/>
        </w:rPr>
      </w:pPr>
    </w:p>
    <w:p>
      <w:pPr>
        <w:spacing w:after="0" w:line="315"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Investment in Securites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Fair value for our investments in securites are based on obtaining a valuaton for each security from third-party pricing services and/or dealer quotes. The third-party pricing services use common market pricing methods that may include pricing models that may incorporate such factors as coupons, prepayment speeds, spread to the Treasury curves and interest rate swap curves, duraton, periodic and life caps and credit enhancement. If the fair value of a security is not available from the third-party pricing services or such data appears unreliable, we obtain pricing indicatons from up to three dealers who make markets in similar securites. Management reviews pricing used to ensure that current market conditons are properly refected. This review includes, but is not limited to, comparisons of similar market transactons or alternatve third-party pricing services, dealer pricing indicatons and comparisons to a third-party pricing model. Fair values obtained from the third-party pricing services for similar instruments are classifed as Level 2 securites if the inputs to the pricing models used are consistent with the Level 2 defniton. If quoted prices for a security are not reasonably available from the third-party pricing service, but dealer pricing indicatons are, the security will be classifed as a Level 2 security. If neither is available, management will determine the fair value based on characteristcs of the security that we receive from the issuer and based on available market informaton and classify it as a Level 3 security. U.S. Treasury Securites are classifed as Level 1, as quoted unadjusted prices are available in actve markets for identcal assets.</w:t>
      </w:r>
    </w:p>
    <w:p>
      <w:pPr>
        <w:spacing w:after="0" w:line="183"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Derivatves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fair values of our interest rate swap contracts, interest rate swaptons and basis swap contracts are valued using informaton provided by third-party pricing services that incorporate common market pricing methods that may include current interest rate curves, forward interest rate curves and market spreads to interest rate curves and are classifed as Level 2. We estmate the fair value of TBA Agency Securites based on similar methods used to value our Agency Securites and they are classifed as Level 2. Management compares the pricing informaton received to dealer quotes to ensure that the current market conditons are properly refected. Futures contracts are traded on the Chicago Mercantle Exchange ("CME") which requires the use of daily mark-to-market collateral and they are classifed as Level 1.</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following tables provide a summary of our assets and liabilites that are measured at fair value on a recurring basis at December 31, 2023 and December 31, 2022.</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7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b w:val="1"/>
                <w:bCs w:val="1"/>
                <w:color w:val="1C4787"/>
              </w:rPr>
              <w:t>December 31, 2023</w:t>
            </w:r>
          </w:p>
        </w:tc>
        <w:tc>
          <w:tcPr>
            <w:tcW w:w="880" w:type="dxa"/>
            <w:vAlign w:val="bottom"/>
            <w:shd w:val="clear" w:color="auto" w:fill="E6EEFF"/>
          </w:tcPr>
          <w:p>
            <w:pPr>
              <w:jc w:val="right"/>
              <w:spacing w:after="0"/>
              <w:rPr>
                <w:sz w:val="20"/>
                <w:szCs w:val="20"/>
                <w:color w:val="auto"/>
              </w:rPr>
            </w:pPr>
            <w:r>
              <w:rPr>
                <w:rFonts w:ascii="Calibri" w:cs="Calibri" w:eastAsia="Calibri" w:hAnsi="Calibri"/>
                <w:sz w:val="17"/>
                <w:szCs w:val="17"/>
                <w:b w:val="1"/>
                <w:bCs w:val="1"/>
                <w:color w:val="1C4787"/>
              </w:rPr>
              <w:t>Level 1</w:t>
            </w:r>
          </w:p>
        </w:tc>
        <w:tc>
          <w:tcPr>
            <w:tcW w:w="28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280" w:type="dxa"/>
            <w:vAlign w:val="bottom"/>
            <w:shd w:val="clear" w:color="auto" w:fill="E6EEFF"/>
          </w:tcPr>
          <w:p>
            <w:pPr>
              <w:spacing w:after="0"/>
              <w:rPr>
                <w:sz w:val="19"/>
                <w:szCs w:val="19"/>
                <w:color w:val="auto"/>
              </w:rPr>
            </w:pPr>
          </w:p>
        </w:tc>
        <w:tc>
          <w:tcPr>
            <w:tcW w:w="1240" w:type="dxa"/>
            <w:vAlign w:val="bottom"/>
            <w:gridSpan w:val="2"/>
            <w:shd w:val="clear" w:color="auto" w:fill="E6EEFF"/>
          </w:tcPr>
          <w:p>
            <w:pPr>
              <w:ind w:left="180"/>
              <w:spacing w:after="0"/>
              <w:rPr>
                <w:sz w:val="20"/>
                <w:szCs w:val="20"/>
                <w:color w:val="auto"/>
              </w:rPr>
            </w:pPr>
            <w:r>
              <w:rPr>
                <w:rFonts w:ascii="Calibri" w:cs="Calibri" w:eastAsia="Calibri" w:hAnsi="Calibri"/>
                <w:sz w:val="17"/>
                <w:szCs w:val="17"/>
                <w:b w:val="1"/>
                <w:bCs w:val="1"/>
                <w:color w:val="1C4787"/>
              </w:rPr>
              <w:t>Level 2</w:t>
            </w:r>
          </w:p>
        </w:tc>
        <w:tc>
          <w:tcPr>
            <w:tcW w:w="200" w:type="dxa"/>
            <w:vAlign w:val="bottom"/>
            <w:shd w:val="clear" w:color="auto" w:fill="E6EEFF"/>
          </w:tcPr>
          <w:p>
            <w:pPr>
              <w:spacing w:after="0"/>
              <w:rPr>
                <w:sz w:val="19"/>
                <w:szCs w:val="19"/>
                <w:color w:val="auto"/>
              </w:rPr>
            </w:pPr>
          </w:p>
        </w:tc>
        <w:tc>
          <w:tcPr>
            <w:tcW w:w="1060" w:type="dxa"/>
            <w:vAlign w:val="bottom"/>
            <w:gridSpan w:val="2"/>
            <w:shd w:val="clear" w:color="auto" w:fill="E6EEFF"/>
          </w:tcPr>
          <w:p>
            <w:pPr>
              <w:ind w:left="120"/>
              <w:spacing w:after="0"/>
              <w:rPr>
                <w:sz w:val="20"/>
                <w:szCs w:val="20"/>
                <w:color w:val="auto"/>
              </w:rPr>
            </w:pPr>
            <w:r>
              <w:rPr>
                <w:rFonts w:ascii="Calibri" w:cs="Calibri" w:eastAsia="Calibri" w:hAnsi="Calibri"/>
                <w:sz w:val="17"/>
                <w:szCs w:val="17"/>
                <w:b w:val="1"/>
                <w:bCs w:val="1"/>
                <w:color w:val="1C4787"/>
              </w:rPr>
              <w:t>Level 3</w:t>
            </w:r>
          </w:p>
        </w:tc>
        <w:tc>
          <w:tcPr>
            <w:tcW w:w="260" w:type="dxa"/>
            <w:vAlign w:val="bottom"/>
            <w:shd w:val="clear" w:color="auto" w:fill="E6EEFF"/>
          </w:tcPr>
          <w:p>
            <w:pPr>
              <w:spacing w:after="0"/>
              <w:rPr>
                <w:sz w:val="19"/>
                <w:szCs w:val="19"/>
                <w:color w:val="auto"/>
              </w:rPr>
            </w:pPr>
          </w:p>
        </w:tc>
        <w:tc>
          <w:tcPr>
            <w:tcW w:w="1140" w:type="dxa"/>
            <w:vAlign w:val="bottom"/>
            <w:shd w:val="clear" w:color="auto" w:fill="E6EEFF"/>
          </w:tcPr>
          <w:p>
            <w:pPr>
              <w:jc w:val="right"/>
              <w:ind w:right="354"/>
              <w:spacing w:after="0"/>
              <w:rPr>
                <w:sz w:val="20"/>
                <w:szCs w:val="20"/>
                <w:color w:val="auto"/>
              </w:rPr>
            </w:pPr>
            <w:r>
              <w:rPr>
                <w:rFonts w:ascii="Calibri" w:cs="Calibri" w:eastAsia="Calibri" w:hAnsi="Calibri"/>
                <w:sz w:val="17"/>
                <w:szCs w:val="17"/>
                <w:b w:val="1"/>
                <w:bCs w:val="1"/>
                <w:color w:val="1C4787"/>
              </w:rPr>
              <w:t>Balance</w:t>
            </w:r>
          </w:p>
        </w:tc>
      </w:tr>
      <w:tr>
        <w:trPr>
          <w:trHeight w:val="205"/>
        </w:trPr>
        <w:tc>
          <w:tcPr>
            <w:tcW w:w="566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color w:val="1C4787"/>
              </w:rPr>
              <w:t>Assets at Fair Value:</w:t>
            </w: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26"/>
        </w:trPr>
        <w:tc>
          <w:tcPr>
            <w:tcW w:w="5780" w:type="dxa"/>
            <w:vAlign w:val="bottom"/>
            <w:gridSpan w:val="2"/>
            <w:shd w:val="clear" w:color="auto" w:fill="E6EEFF"/>
          </w:tcPr>
          <w:p>
            <w:pPr>
              <w:ind w:left="140"/>
              <w:spacing w:after="0"/>
              <w:rPr>
                <w:sz w:val="20"/>
                <w:szCs w:val="20"/>
                <w:color w:val="auto"/>
              </w:rPr>
            </w:pPr>
            <w:r>
              <w:rPr>
                <w:rFonts w:ascii="Calibri" w:cs="Calibri" w:eastAsia="Calibri" w:hAnsi="Calibri"/>
                <w:sz w:val="17"/>
                <w:szCs w:val="17"/>
                <w:color w:val="auto"/>
              </w:rPr>
              <w:t>Agency Securites</w:t>
            </w:r>
          </w:p>
        </w:tc>
        <w:tc>
          <w:tcPr>
            <w:tcW w:w="880" w:type="dxa"/>
            <w:vAlign w:val="bottom"/>
            <w:shd w:val="clear" w:color="auto" w:fill="E6EEFF"/>
          </w:tcPr>
          <w:p>
            <w:pPr>
              <w:jc w:val="right"/>
              <w:ind w:right="694"/>
              <w:spacing w:after="0"/>
              <w:rPr>
                <w:sz w:val="20"/>
                <w:szCs w:val="20"/>
                <w:color w:val="auto"/>
              </w:rPr>
            </w:pPr>
            <w:r>
              <w:rPr>
                <w:rFonts w:ascii="Calibri" w:cs="Calibri" w:eastAsia="Calibri" w:hAnsi="Calibri"/>
                <w:sz w:val="17"/>
                <w:szCs w:val="17"/>
                <w:color w:val="auto"/>
                <w:w w:val="92"/>
              </w:rPr>
              <w:t>$</w:t>
            </w:r>
          </w:p>
        </w:tc>
        <w:tc>
          <w:tcPr>
            <w:tcW w:w="380" w:type="dxa"/>
            <w:vAlign w:val="bottom"/>
            <w:gridSpan w:val="2"/>
            <w:shd w:val="clear" w:color="auto" w:fill="E6EEFF"/>
          </w:tcPr>
          <w:p>
            <w:pPr>
              <w:ind w:left="60"/>
              <w:spacing w:after="0"/>
              <w:rPr>
                <w:sz w:val="20"/>
                <w:szCs w:val="20"/>
                <w:color w:val="auto"/>
              </w:rPr>
            </w:pPr>
            <w:r>
              <w:rPr>
                <w:rFonts w:ascii="Calibri" w:cs="Calibri" w:eastAsia="Calibri" w:hAnsi="Calibri"/>
                <w:sz w:val="17"/>
                <w:szCs w:val="17"/>
                <w:color w:val="auto"/>
              </w:rPr>
              <w:t>—</w:t>
            </w:r>
          </w:p>
        </w:tc>
        <w:tc>
          <w:tcPr>
            <w:tcW w:w="280" w:type="dxa"/>
            <w:vAlign w:val="bottom"/>
            <w:shd w:val="clear" w:color="auto" w:fill="E6EEFF"/>
          </w:tcPr>
          <w:p>
            <w:pPr>
              <w:jc w:val="right"/>
              <w:ind w:right="94"/>
              <w:spacing w:after="0"/>
              <w:rPr>
                <w:sz w:val="20"/>
                <w:szCs w:val="20"/>
                <w:color w:val="auto"/>
              </w:rPr>
            </w:pPr>
            <w:r>
              <w:rPr>
                <w:rFonts w:ascii="Calibri" w:cs="Calibri" w:eastAsia="Calibri" w:hAnsi="Calibri"/>
                <w:sz w:val="17"/>
                <w:szCs w:val="17"/>
                <w:color w:val="auto"/>
                <w:w w:val="92"/>
              </w:rPr>
              <w:t>$</w:t>
            </w:r>
          </w:p>
        </w:tc>
        <w:tc>
          <w:tcPr>
            <w:tcW w:w="1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11,159,754</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jc w:val="right"/>
              <w:ind w:right="14"/>
              <w:spacing w:after="0"/>
              <w:rPr>
                <w:sz w:val="20"/>
                <w:szCs w:val="20"/>
                <w:color w:val="auto"/>
              </w:rPr>
            </w:pPr>
            <w:r>
              <w:rPr>
                <w:rFonts w:ascii="Calibri" w:cs="Calibri" w:eastAsia="Calibri" w:hAnsi="Calibri"/>
                <w:sz w:val="17"/>
                <w:szCs w:val="17"/>
                <w:color w:val="auto"/>
                <w:w w:val="92"/>
              </w:rPr>
              <w:t>$</w:t>
            </w:r>
          </w:p>
        </w:tc>
        <w:tc>
          <w:tcPr>
            <w:tcW w:w="1060" w:type="dxa"/>
            <w:vAlign w:val="bottom"/>
            <w:gridSpan w:val="2"/>
            <w:shd w:val="clear" w:color="auto" w:fill="E6EEFF"/>
          </w:tcPr>
          <w:p>
            <w:pPr>
              <w:ind w:left="720"/>
              <w:spacing w:after="0"/>
              <w:rPr>
                <w:sz w:val="20"/>
                <w:szCs w:val="20"/>
                <w:color w:val="auto"/>
              </w:rPr>
            </w:pPr>
            <w:r>
              <w:rPr>
                <w:rFonts w:ascii="Calibri" w:cs="Calibri" w:eastAsia="Calibri" w:hAnsi="Calibri"/>
                <w:sz w:val="17"/>
                <w:szCs w:val="17"/>
                <w:color w:val="auto"/>
              </w:rPr>
              <w:t>—</w:t>
            </w:r>
          </w:p>
        </w:tc>
        <w:tc>
          <w:tcPr>
            <w:tcW w:w="260" w:type="dxa"/>
            <w:vAlign w:val="bottom"/>
            <w:shd w:val="clear" w:color="auto" w:fill="E6EEFF"/>
          </w:tcPr>
          <w:p>
            <w:pPr>
              <w:jc w:val="right"/>
              <w:ind w:right="74"/>
              <w:spacing w:after="0"/>
              <w:rPr>
                <w:sz w:val="20"/>
                <w:szCs w:val="20"/>
                <w:color w:val="auto"/>
              </w:rPr>
            </w:pPr>
            <w:r>
              <w:rPr>
                <w:rFonts w:ascii="Calibri" w:cs="Calibri" w:eastAsia="Calibri" w:hAnsi="Calibri"/>
                <w:sz w:val="17"/>
                <w:szCs w:val="17"/>
                <w:color w:val="auto"/>
                <w:w w:val="92"/>
              </w:rPr>
              <w:t>$</w:t>
            </w: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11,159,754</w:t>
            </w:r>
          </w:p>
        </w:tc>
      </w:tr>
      <w:tr>
        <w:trPr>
          <w:trHeight w:val="212"/>
        </w:trPr>
        <w:tc>
          <w:tcPr>
            <w:tcW w:w="5780" w:type="dxa"/>
            <w:vAlign w:val="bottom"/>
            <w:gridSpan w:val="2"/>
          </w:tcPr>
          <w:p>
            <w:pPr>
              <w:ind w:left="140"/>
              <w:spacing w:after="0" w:line="205" w:lineRule="exact"/>
              <w:rPr>
                <w:sz w:val="20"/>
                <w:szCs w:val="20"/>
                <w:color w:val="auto"/>
              </w:rPr>
            </w:pPr>
            <w:r>
              <w:rPr>
                <w:rFonts w:ascii="Calibri" w:cs="Calibri" w:eastAsia="Calibri" w:hAnsi="Calibri"/>
                <w:sz w:val="17"/>
                <w:szCs w:val="17"/>
                <w:color w:val="auto"/>
              </w:rPr>
              <w:t>Derivatves</w:t>
            </w:r>
          </w:p>
        </w:tc>
        <w:tc>
          <w:tcPr>
            <w:tcW w:w="880" w:type="dxa"/>
            <w:vAlign w:val="bottom"/>
          </w:tcPr>
          <w:p>
            <w:pPr>
              <w:jc w:val="right"/>
              <w:ind w:right="694"/>
              <w:spacing w:after="0" w:line="205" w:lineRule="exact"/>
              <w:rPr>
                <w:sz w:val="20"/>
                <w:szCs w:val="20"/>
                <w:color w:val="auto"/>
              </w:rPr>
            </w:pPr>
            <w:r>
              <w:rPr>
                <w:rFonts w:ascii="Calibri" w:cs="Calibri" w:eastAsia="Calibri" w:hAnsi="Calibri"/>
                <w:sz w:val="17"/>
                <w:szCs w:val="17"/>
                <w:color w:val="auto"/>
                <w:w w:val="92"/>
              </w:rPr>
              <w:t>$</w:t>
            </w:r>
          </w:p>
        </w:tc>
        <w:tc>
          <w:tcPr>
            <w:tcW w:w="380" w:type="dxa"/>
            <w:vAlign w:val="bottom"/>
            <w:gridSpan w:val="2"/>
          </w:tcPr>
          <w:p>
            <w:pPr>
              <w:ind w:left="60"/>
              <w:spacing w:after="0" w:line="205" w:lineRule="exact"/>
              <w:rPr>
                <w:sz w:val="20"/>
                <w:szCs w:val="20"/>
                <w:color w:val="auto"/>
              </w:rPr>
            </w:pPr>
            <w:r>
              <w:rPr>
                <w:rFonts w:ascii="Calibri" w:cs="Calibri" w:eastAsia="Calibri" w:hAnsi="Calibri"/>
                <w:sz w:val="17"/>
                <w:szCs w:val="17"/>
                <w:color w:val="auto"/>
              </w:rPr>
              <w:t>—</w:t>
            </w:r>
          </w:p>
        </w:tc>
        <w:tc>
          <w:tcPr>
            <w:tcW w:w="280" w:type="dxa"/>
            <w:vAlign w:val="bottom"/>
          </w:tcPr>
          <w:p>
            <w:pPr>
              <w:jc w:val="right"/>
              <w:ind w:right="94"/>
              <w:spacing w:after="0" w:line="205" w:lineRule="exact"/>
              <w:rPr>
                <w:sz w:val="20"/>
                <w:szCs w:val="20"/>
                <w:color w:val="auto"/>
              </w:rPr>
            </w:pPr>
            <w:r>
              <w:rPr>
                <w:rFonts w:ascii="Calibri" w:cs="Calibri" w:eastAsia="Calibri" w:hAnsi="Calibri"/>
                <w:sz w:val="17"/>
                <w:szCs w:val="17"/>
                <w:color w:val="auto"/>
                <w:w w:val="92"/>
              </w:rPr>
              <w:t>$</w:t>
            </w: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877,412</w:t>
            </w:r>
          </w:p>
        </w:tc>
        <w:tc>
          <w:tcPr>
            <w:tcW w:w="120" w:type="dxa"/>
            <w:vAlign w:val="bottom"/>
          </w:tcPr>
          <w:p>
            <w:pPr>
              <w:spacing w:after="0"/>
              <w:rPr>
                <w:sz w:val="18"/>
                <w:szCs w:val="18"/>
                <w:color w:val="auto"/>
              </w:rPr>
            </w:pPr>
          </w:p>
        </w:tc>
        <w:tc>
          <w:tcPr>
            <w:tcW w:w="200" w:type="dxa"/>
            <w:vAlign w:val="bottom"/>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gridSpan w:val="2"/>
          </w:tcPr>
          <w:p>
            <w:pPr>
              <w:ind w:left="720"/>
              <w:spacing w:after="0" w:line="205" w:lineRule="exact"/>
              <w:rPr>
                <w:sz w:val="20"/>
                <w:szCs w:val="20"/>
                <w:color w:val="auto"/>
              </w:rPr>
            </w:pPr>
            <w:r>
              <w:rPr>
                <w:rFonts w:ascii="Calibri" w:cs="Calibri" w:eastAsia="Calibri" w:hAnsi="Calibri"/>
                <w:sz w:val="17"/>
                <w:szCs w:val="17"/>
                <w:color w:val="auto"/>
              </w:rPr>
              <w:t>—</w:t>
            </w:r>
          </w:p>
        </w:tc>
        <w:tc>
          <w:tcPr>
            <w:tcW w:w="260" w:type="dxa"/>
            <w:vAlign w:val="bottom"/>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877,412</w:t>
            </w:r>
          </w:p>
        </w:tc>
      </w:tr>
      <w:tr>
        <w:trPr>
          <w:trHeight w:val="226"/>
        </w:trPr>
        <w:tc>
          <w:tcPr>
            <w:tcW w:w="57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Liabilites at Fair Value:</w:t>
            </w:r>
          </w:p>
        </w:tc>
        <w:tc>
          <w:tcPr>
            <w:tcW w:w="880" w:type="dxa"/>
            <w:vAlign w:val="bottom"/>
            <w:shd w:val="clear" w:color="auto" w:fill="E6EEFF"/>
          </w:tcPr>
          <w:p>
            <w:pPr>
              <w:spacing w:after="0"/>
              <w:rPr>
                <w:sz w:val="19"/>
                <w:szCs w:val="19"/>
                <w:color w:val="auto"/>
              </w:rPr>
            </w:pPr>
          </w:p>
        </w:tc>
        <w:tc>
          <w:tcPr>
            <w:tcW w:w="28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280" w:type="dxa"/>
            <w:vAlign w:val="bottom"/>
            <w:shd w:val="clear" w:color="auto" w:fill="E6EEFF"/>
          </w:tcPr>
          <w:p>
            <w:pPr>
              <w:spacing w:after="0"/>
              <w:rPr>
                <w:sz w:val="19"/>
                <w:szCs w:val="19"/>
                <w:color w:val="auto"/>
              </w:rPr>
            </w:pPr>
          </w:p>
        </w:tc>
        <w:tc>
          <w:tcPr>
            <w:tcW w:w="112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94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60" w:type="dxa"/>
            <w:vAlign w:val="bottom"/>
            <w:shd w:val="clear" w:color="auto" w:fill="E6EEFF"/>
          </w:tcPr>
          <w:p>
            <w:pPr>
              <w:spacing w:after="0"/>
              <w:rPr>
                <w:sz w:val="19"/>
                <w:szCs w:val="19"/>
                <w:color w:val="auto"/>
              </w:rPr>
            </w:pPr>
          </w:p>
        </w:tc>
        <w:tc>
          <w:tcPr>
            <w:tcW w:w="1140" w:type="dxa"/>
            <w:vAlign w:val="bottom"/>
            <w:shd w:val="clear" w:color="auto" w:fill="E6EEFF"/>
          </w:tcPr>
          <w:p>
            <w:pPr>
              <w:spacing w:after="0"/>
              <w:rPr>
                <w:sz w:val="19"/>
                <w:szCs w:val="19"/>
                <w:color w:val="auto"/>
              </w:rPr>
            </w:pPr>
          </w:p>
        </w:tc>
      </w:tr>
      <w:tr>
        <w:trPr>
          <w:trHeight w:val="205"/>
        </w:trPr>
        <w:tc>
          <w:tcPr>
            <w:tcW w:w="5780" w:type="dxa"/>
            <w:vAlign w:val="bottom"/>
            <w:gridSpan w:val="2"/>
          </w:tcPr>
          <w:p>
            <w:pPr>
              <w:ind w:left="140"/>
              <w:spacing w:after="0" w:line="205" w:lineRule="exact"/>
              <w:rPr>
                <w:sz w:val="20"/>
                <w:szCs w:val="20"/>
                <w:color w:val="auto"/>
              </w:rPr>
            </w:pPr>
            <w:r>
              <w:rPr>
                <w:rFonts w:ascii="Calibri" w:cs="Calibri" w:eastAsia="Calibri" w:hAnsi="Calibri"/>
                <w:sz w:val="17"/>
                <w:szCs w:val="17"/>
                <w:color w:val="auto"/>
              </w:rPr>
              <w:t>Derivatves</w:t>
            </w:r>
          </w:p>
        </w:tc>
        <w:tc>
          <w:tcPr>
            <w:tcW w:w="880" w:type="dxa"/>
            <w:vAlign w:val="bottom"/>
          </w:tcPr>
          <w:p>
            <w:pPr>
              <w:jc w:val="right"/>
              <w:ind w:right="694"/>
              <w:spacing w:after="0" w:line="205" w:lineRule="exact"/>
              <w:rPr>
                <w:sz w:val="20"/>
                <w:szCs w:val="20"/>
                <w:color w:val="auto"/>
              </w:rPr>
            </w:pPr>
            <w:r>
              <w:rPr>
                <w:rFonts w:ascii="Calibri" w:cs="Calibri" w:eastAsia="Calibri" w:hAnsi="Calibri"/>
                <w:sz w:val="17"/>
                <w:szCs w:val="17"/>
                <w:color w:val="auto"/>
                <w:w w:val="92"/>
              </w:rPr>
              <w:t>$</w:t>
            </w:r>
          </w:p>
        </w:tc>
        <w:tc>
          <w:tcPr>
            <w:tcW w:w="380" w:type="dxa"/>
            <w:vAlign w:val="bottom"/>
            <w:gridSpan w:val="2"/>
          </w:tcPr>
          <w:p>
            <w:pPr>
              <w:ind w:left="60"/>
              <w:spacing w:after="0" w:line="205" w:lineRule="exact"/>
              <w:rPr>
                <w:sz w:val="20"/>
                <w:szCs w:val="20"/>
                <w:color w:val="auto"/>
              </w:rPr>
            </w:pPr>
            <w:r>
              <w:rPr>
                <w:rFonts w:ascii="Calibri" w:cs="Calibri" w:eastAsia="Calibri" w:hAnsi="Calibri"/>
                <w:sz w:val="17"/>
                <w:szCs w:val="17"/>
                <w:color w:val="auto"/>
              </w:rPr>
              <w:t>—</w:t>
            </w:r>
          </w:p>
        </w:tc>
        <w:tc>
          <w:tcPr>
            <w:tcW w:w="280" w:type="dxa"/>
            <w:vAlign w:val="bottom"/>
          </w:tcPr>
          <w:p>
            <w:pPr>
              <w:jc w:val="right"/>
              <w:ind w:right="94"/>
              <w:spacing w:after="0" w:line="205" w:lineRule="exact"/>
              <w:rPr>
                <w:sz w:val="20"/>
                <w:szCs w:val="20"/>
                <w:color w:val="auto"/>
              </w:rPr>
            </w:pPr>
            <w:r>
              <w:rPr>
                <w:rFonts w:ascii="Calibri" w:cs="Calibri" w:eastAsia="Calibri" w:hAnsi="Calibri"/>
                <w:sz w:val="17"/>
                <w:szCs w:val="17"/>
                <w:color w:val="auto"/>
                <w:w w:val="92"/>
              </w:rPr>
              <w:t>$</w:t>
            </w: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5,036</w:t>
            </w:r>
          </w:p>
        </w:tc>
        <w:tc>
          <w:tcPr>
            <w:tcW w:w="120" w:type="dxa"/>
            <w:vAlign w:val="bottom"/>
          </w:tcPr>
          <w:p>
            <w:pPr>
              <w:spacing w:after="0"/>
              <w:rPr>
                <w:sz w:val="17"/>
                <w:szCs w:val="17"/>
                <w:color w:val="auto"/>
              </w:rPr>
            </w:pPr>
          </w:p>
        </w:tc>
        <w:tc>
          <w:tcPr>
            <w:tcW w:w="200" w:type="dxa"/>
            <w:vAlign w:val="bottom"/>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gridSpan w:val="2"/>
          </w:tcPr>
          <w:p>
            <w:pPr>
              <w:ind w:left="720"/>
              <w:spacing w:after="0" w:line="205" w:lineRule="exact"/>
              <w:rPr>
                <w:sz w:val="20"/>
                <w:szCs w:val="20"/>
                <w:color w:val="auto"/>
              </w:rPr>
            </w:pPr>
            <w:r>
              <w:rPr>
                <w:rFonts w:ascii="Calibri" w:cs="Calibri" w:eastAsia="Calibri" w:hAnsi="Calibri"/>
                <w:sz w:val="17"/>
                <w:szCs w:val="17"/>
                <w:color w:val="auto"/>
              </w:rPr>
              <w:t>—</w:t>
            </w:r>
          </w:p>
        </w:tc>
        <w:tc>
          <w:tcPr>
            <w:tcW w:w="260" w:type="dxa"/>
            <w:vAlign w:val="bottom"/>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5,036</w:t>
            </w:r>
          </w:p>
        </w:tc>
      </w:tr>
    </w:tbl>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80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b w:val="1"/>
                <w:bCs w:val="1"/>
                <w:color w:val="1C4787"/>
              </w:rPr>
              <w:t>December 31, 2022</w:t>
            </w:r>
          </w:p>
        </w:tc>
        <w:tc>
          <w:tcPr>
            <w:tcW w:w="800" w:type="dxa"/>
            <w:vAlign w:val="bottom"/>
            <w:shd w:val="clear" w:color="auto" w:fill="E6EEFF"/>
          </w:tcPr>
          <w:p>
            <w:pPr>
              <w:jc w:val="right"/>
              <w:spacing w:after="0"/>
              <w:rPr>
                <w:sz w:val="20"/>
                <w:szCs w:val="20"/>
                <w:color w:val="auto"/>
              </w:rPr>
            </w:pPr>
            <w:r>
              <w:rPr>
                <w:rFonts w:ascii="Calibri" w:cs="Calibri" w:eastAsia="Calibri" w:hAnsi="Calibri"/>
                <w:sz w:val="17"/>
                <w:szCs w:val="17"/>
                <w:b w:val="1"/>
                <w:bCs w:val="1"/>
                <w:color w:val="1C4787"/>
              </w:rPr>
              <w:t>Level 1</w:t>
            </w:r>
          </w:p>
        </w:tc>
        <w:tc>
          <w:tcPr>
            <w:tcW w:w="34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280" w:type="dxa"/>
            <w:vAlign w:val="bottom"/>
            <w:shd w:val="clear" w:color="auto" w:fill="E6EEFF"/>
          </w:tcPr>
          <w:p>
            <w:pPr>
              <w:spacing w:after="0"/>
              <w:rPr>
                <w:sz w:val="19"/>
                <w:szCs w:val="19"/>
                <w:color w:val="auto"/>
              </w:rPr>
            </w:pPr>
          </w:p>
        </w:tc>
        <w:tc>
          <w:tcPr>
            <w:tcW w:w="1240" w:type="dxa"/>
            <w:vAlign w:val="bottom"/>
            <w:gridSpan w:val="2"/>
            <w:shd w:val="clear" w:color="auto" w:fill="E6EEFF"/>
          </w:tcPr>
          <w:p>
            <w:pPr>
              <w:ind w:left="180"/>
              <w:spacing w:after="0"/>
              <w:rPr>
                <w:sz w:val="20"/>
                <w:szCs w:val="20"/>
                <w:color w:val="auto"/>
              </w:rPr>
            </w:pPr>
            <w:r>
              <w:rPr>
                <w:rFonts w:ascii="Calibri" w:cs="Calibri" w:eastAsia="Calibri" w:hAnsi="Calibri"/>
                <w:sz w:val="17"/>
                <w:szCs w:val="17"/>
                <w:b w:val="1"/>
                <w:bCs w:val="1"/>
                <w:color w:val="1C4787"/>
              </w:rPr>
              <w:t>Level 2</w:t>
            </w:r>
          </w:p>
        </w:tc>
        <w:tc>
          <w:tcPr>
            <w:tcW w:w="200" w:type="dxa"/>
            <w:vAlign w:val="bottom"/>
            <w:shd w:val="clear" w:color="auto" w:fill="E6EEFF"/>
          </w:tcPr>
          <w:p>
            <w:pPr>
              <w:spacing w:after="0"/>
              <w:rPr>
                <w:sz w:val="19"/>
                <w:szCs w:val="19"/>
                <w:color w:val="auto"/>
              </w:rPr>
            </w:pPr>
          </w:p>
        </w:tc>
        <w:tc>
          <w:tcPr>
            <w:tcW w:w="1060" w:type="dxa"/>
            <w:vAlign w:val="bottom"/>
            <w:gridSpan w:val="2"/>
            <w:shd w:val="clear" w:color="auto" w:fill="E6EEFF"/>
          </w:tcPr>
          <w:p>
            <w:pPr>
              <w:ind w:left="120"/>
              <w:spacing w:after="0"/>
              <w:rPr>
                <w:sz w:val="20"/>
                <w:szCs w:val="20"/>
                <w:color w:val="auto"/>
              </w:rPr>
            </w:pPr>
            <w:r>
              <w:rPr>
                <w:rFonts w:ascii="Calibri" w:cs="Calibri" w:eastAsia="Calibri" w:hAnsi="Calibri"/>
                <w:sz w:val="17"/>
                <w:szCs w:val="17"/>
                <w:b w:val="1"/>
                <w:bCs w:val="1"/>
                <w:color w:val="1C4787"/>
              </w:rPr>
              <w:t>Level 3</w:t>
            </w:r>
          </w:p>
        </w:tc>
        <w:tc>
          <w:tcPr>
            <w:tcW w:w="260" w:type="dxa"/>
            <w:vAlign w:val="bottom"/>
            <w:shd w:val="clear" w:color="auto" w:fill="E6EEFF"/>
          </w:tcPr>
          <w:p>
            <w:pPr>
              <w:spacing w:after="0"/>
              <w:rPr>
                <w:sz w:val="19"/>
                <w:szCs w:val="19"/>
                <w:color w:val="auto"/>
              </w:rPr>
            </w:pPr>
          </w:p>
        </w:tc>
        <w:tc>
          <w:tcPr>
            <w:tcW w:w="1140" w:type="dxa"/>
            <w:vAlign w:val="bottom"/>
            <w:shd w:val="clear" w:color="auto" w:fill="E6EEFF"/>
          </w:tcPr>
          <w:p>
            <w:pPr>
              <w:jc w:val="right"/>
              <w:ind w:right="354"/>
              <w:spacing w:after="0"/>
              <w:rPr>
                <w:sz w:val="20"/>
                <w:szCs w:val="20"/>
                <w:color w:val="auto"/>
              </w:rPr>
            </w:pPr>
            <w:r>
              <w:rPr>
                <w:rFonts w:ascii="Calibri" w:cs="Calibri" w:eastAsia="Calibri" w:hAnsi="Calibri"/>
                <w:sz w:val="17"/>
                <w:szCs w:val="17"/>
                <w:b w:val="1"/>
                <w:bCs w:val="1"/>
                <w:color w:val="1C4787"/>
              </w:rPr>
              <w:t>Balance</w:t>
            </w:r>
          </w:p>
        </w:tc>
      </w:tr>
      <w:tr>
        <w:trPr>
          <w:trHeight w:val="205"/>
        </w:trPr>
        <w:tc>
          <w:tcPr>
            <w:tcW w:w="568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Assets at Fair Value:</w:t>
            </w: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26"/>
        </w:trPr>
        <w:tc>
          <w:tcPr>
            <w:tcW w:w="5800" w:type="dxa"/>
            <w:vAlign w:val="bottom"/>
            <w:gridSpan w:val="2"/>
            <w:shd w:val="clear" w:color="auto" w:fill="E6EEFF"/>
          </w:tcPr>
          <w:p>
            <w:pPr>
              <w:ind w:left="140"/>
              <w:spacing w:after="0"/>
              <w:rPr>
                <w:sz w:val="20"/>
                <w:szCs w:val="20"/>
                <w:color w:val="auto"/>
              </w:rPr>
            </w:pPr>
            <w:r>
              <w:rPr>
                <w:rFonts w:ascii="Calibri" w:cs="Calibri" w:eastAsia="Calibri" w:hAnsi="Calibri"/>
                <w:sz w:val="17"/>
                <w:szCs w:val="17"/>
                <w:color w:val="auto"/>
              </w:rPr>
              <w:t>Agency Securites</w:t>
            </w:r>
          </w:p>
        </w:tc>
        <w:tc>
          <w:tcPr>
            <w:tcW w:w="800" w:type="dxa"/>
            <w:vAlign w:val="bottom"/>
            <w:shd w:val="clear" w:color="auto" w:fill="E6EEFF"/>
          </w:tcPr>
          <w:p>
            <w:pPr>
              <w:jc w:val="right"/>
              <w:ind w:right="614"/>
              <w:spacing w:after="0"/>
              <w:rPr>
                <w:sz w:val="20"/>
                <w:szCs w:val="20"/>
                <w:color w:val="auto"/>
              </w:rPr>
            </w:pPr>
            <w:r>
              <w:rPr>
                <w:rFonts w:ascii="Calibri" w:cs="Calibri" w:eastAsia="Calibri" w:hAnsi="Calibri"/>
                <w:sz w:val="17"/>
                <w:szCs w:val="17"/>
                <w:color w:val="auto"/>
                <w:w w:val="92"/>
              </w:rPr>
              <w:t>$</w:t>
            </w:r>
          </w:p>
        </w:tc>
        <w:tc>
          <w:tcPr>
            <w:tcW w:w="440" w:type="dxa"/>
            <w:vAlign w:val="bottom"/>
            <w:gridSpan w:val="2"/>
            <w:shd w:val="clear" w:color="auto" w:fill="E6EEFF"/>
          </w:tcPr>
          <w:p>
            <w:pPr>
              <w:jc w:val="right"/>
              <w:ind w:right="180"/>
              <w:spacing w:after="0"/>
              <w:rPr>
                <w:sz w:val="20"/>
                <w:szCs w:val="20"/>
                <w:color w:val="auto"/>
              </w:rPr>
            </w:pPr>
            <w:r>
              <w:rPr>
                <w:rFonts w:ascii="Calibri" w:cs="Calibri" w:eastAsia="Calibri" w:hAnsi="Calibri"/>
                <w:sz w:val="17"/>
                <w:szCs w:val="17"/>
                <w:color w:val="auto"/>
              </w:rPr>
              <w:t>—</w:t>
            </w:r>
          </w:p>
        </w:tc>
        <w:tc>
          <w:tcPr>
            <w:tcW w:w="280" w:type="dxa"/>
            <w:vAlign w:val="bottom"/>
            <w:shd w:val="clear" w:color="auto" w:fill="E6EEFF"/>
          </w:tcPr>
          <w:p>
            <w:pPr>
              <w:jc w:val="right"/>
              <w:ind w:right="94"/>
              <w:spacing w:after="0"/>
              <w:rPr>
                <w:sz w:val="20"/>
                <w:szCs w:val="20"/>
                <w:color w:val="auto"/>
              </w:rPr>
            </w:pPr>
            <w:r>
              <w:rPr>
                <w:rFonts w:ascii="Calibri" w:cs="Calibri" w:eastAsia="Calibri" w:hAnsi="Calibri"/>
                <w:sz w:val="17"/>
                <w:szCs w:val="17"/>
                <w:color w:val="auto"/>
                <w:w w:val="92"/>
              </w:rPr>
              <w:t>$</w:t>
            </w:r>
          </w:p>
        </w:tc>
        <w:tc>
          <w:tcPr>
            <w:tcW w:w="1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8,198,591</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jc w:val="right"/>
              <w:ind w:right="14"/>
              <w:spacing w:after="0"/>
              <w:rPr>
                <w:sz w:val="20"/>
                <w:szCs w:val="20"/>
                <w:color w:val="auto"/>
              </w:rPr>
            </w:pPr>
            <w:r>
              <w:rPr>
                <w:rFonts w:ascii="Calibri" w:cs="Calibri" w:eastAsia="Calibri" w:hAnsi="Calibri"/>
                <w:sz w:val="17"/>
                <w:szCs w:val="17"/>
                <w:color w:val="auto"/>
                <w:w w:val="92"/>
              </w:rPr>
              <w:t>$</w:t>
            </w:r>
          </w:p>
        </w:tc>
        <w:tc>
          <w:tcPr>
            <w:tcW w:w="1060" w:type="dxa"/>
            <w:vAlign w:val="bottom"/>
            <w:gridSpan w:val="2"/>
            <w:shd w:val="clear" w:color="auto" w:fill="E6EEFF"/>
          </w:tcPr>
          <w:p>
            <w:pPr>
              <w:ind w:left="720"/>
              <w:spacing w:after="0"/>
              <w:rPr>
                <w:sz w:val="20"/>
                <w:szCs w:val="20"/>
                <w:color w:val="auto"/>
              </w:rPr>
            </w:pPr>
            <w:r>
              <w:rPr>
                <w:rFonts w:ascii="Calibri" w:cs="Calibri" w:eastAsia="Calibri" w:hAnsi="Calibri"/>
                <w:sz w:val="17"/>
                <w:szCs w:val="17"/>
                <w:color w:val="auto"/>
              </w:rPr>
              <w:t>—</w:t>
            </w:r>
          </w:p>
        </w:tc>
        <w:tc>
          <w:tcPr>
            <w:tcW w:w="260" w:type="dxa"/>
            <w:vAlign w:val="bottom"/>
            <w:shd w:val="clear" w:color="auto" w:fill="E6EEFF"/>
          </w:tcPr>
          <w:p>
            <w:pPr>
              <w:jc w:val="right"/>
              <w:ind w:right="74"/>
              <w:spacing w:after="0"/>
              <w:rPr>
                <w:sz w:val="20"/>
                <w:szCs w:val="20"/>
                <w:color w:val="auto"/>
              </w:rPr>
            </w:pPr>
            <w:r>
              <w:rPr>
                <w:rFonts w:ascii="Calibri" w:cs="Calibri" w:eastAsia="Calibri" w:hAnsi="Calibri"/>
                <w:sz w:val="17"/>
                <w:szCs w:val="17"/>
                <w:color w:val="auto"/>
                <w:w w:val="92"/>
              </w:rPr>
              <w:t>$</w:t>
            </w:r>
          </w:p>
        </w:tc>
        <w:tc>
          <w:tcPr>
            <w:tcW w:w="11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8,198,591</w:t>
            </w:r>
          </w:p>
        </w:tc>
      </w:tr>
      <w:tr>
        <w:trPr>
          <w:trHeight w:val="212"/>
        </w:trPr>
        <w:tc>
          <w:tcPr>
            <w:tcW w:w="5800" w:type="dxa"/>
            <w:vAlign w:val="bottom"/>
            <w:gridSpan w:val="2"/>
          </w:tcPr>
          <w:p>
            <w:pPr>
              <w:ind w:left="140"/>
              <w:spacing w:after="0" w:line="205" w:lineRule="exact"/>
              <w:rPr>
                <w:sz w:val="20"/>
                <w:szCs w:val="20"/>
                <w:color w:val="auto"/>
              </w:rPr>
            </w:pPr>
            <w:r>
              <w:rPr>
                <w:rFonts w:ascii="Calibri" w:cs="Calibri" w:eastAsia="Calibri" w:hAnsi="Calibri"/>
                <w:sz w:val="17"/>
                <w:szCs w:val="17"/>
                <w:color w:val="auto"/>
              </w:rPr>
              <w:t>Derivatves</w:t>
            </w:r>
          </w:p>
        </w:tc>
        <w:tc>
          <w:tcPr>
            <w:tcW w:w="800" w:type="dxa"/>
            <w:vAlign w:val="bottom"/>
          </w:tcPr>
          <w:p>
            <w:pPr>
              <w:jc w:val="right"/>
              <w:ind w:right="614"/>
              <w:spacing w:after="0" w:line="205" w:lineRule="exact"/>
              <w:rPr>
                <w:sz w:val="20"/>
                <w:szCs w:val="20"/>
                <w:color w:val="auto"/>
              </w:rPr>
            </w:pPr>
            <w:r>
              <w:rPr>
                <w:rFonts w:ascii="Calibri" w:cs="Calibri" w:eastAsia="Calibri" w:hAnsi="Calibri"/>
                <w:sz w:val="17"/>
                <w:szCs w:val="17"/>
                <w:color w:val="auto"/>
                <w:w w:val="92"/>
              </w:rPr>
              <w:t>$</w:t>
            </w:r>
          </w:p>
        </w:tc>
        <w:tc>
          <w:tcPr>
            <w:tcW w:w="340" w:type="dxa"/>
            <w:vAlign w:val="bottom"/>
          </w:tcPr>
          <w:p>
            <w:pPr>
              <w:jc w:val="right"/>
              <w:spacing w:after="0" w:line="205" w:lineRule="exact"/>
              <w:rPr>
                <w:sz w:val="20"/>
                <w:szCs w:val="20"/>
                <w:color w:val="auto"/>
              </w:rPr>
            </w:pPr>
            <w:r>
              <w:rPr>
                <w:rFonts w:ascii="Calibri" w:cs="Calibri" w:eastAsia="Calibri" w:hAnsi="Calibri"/>
                <w:sz w:val="17"/>
                <w:szCs w:val="17"/>
                <w:color w:val="auto"/>
              </w:rPr>
              <w:t>94</w:t>
            </w:r>
          </w:p>
        </w:tc>
        <w:tc>
          <w:tcPr>
            <w:tcW w:w="100" w:type="dxa"/>
            <w:vAlign w:val="bottom"/>
          </w:tcPr>
          <w:p>
            <w:pPr>
              <w:spacing w:after="0"/>
              <w:rPr>
                <w:sz w:val="18"/>
                <w:szCs w:val="18"/>
                <w:color w:val="auto"/>
              </w:rPr>
            </w:pPr>
          </w:p>
        </w:tc>
        <w:tc>
          <w:tcPr>
            <w:tcW w:w="280" w:type="dxa"/>
            <w:vAlign w:val="bottom"/>
          </w:tcPr>
          <w:p>
            <w:pPr>
              <w:jc w:val="right"/>
              <w:ind w:right="94"/>
              <w:spacing w:after="0" w:line="205" w:lineRule="exact"/>
              <w:rPr>
                <w:sz w:val="20"/>
                <w:szCs w:val="20"/>
                <w:color w:val="auto"/>
              </w:rPr>
            </w:pPr>
            <w:r>
              <w:rPr>
                <w:rFonts w:ascii="Calibri" w:cs="Calibri" w:eastAsia="Calibri" w:hAnsi="Calibri"/>
                <w:sz w:val="17"/>
                <w:szCs w:val="17"/>
                <w:color w:val="auto"/>
                <w:w w:val="92"/>
              </w:rPr>
              <w:t>$</w:t>
            </w: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984,362</w:t>
            </w:r>
          </w:p>
        </w:tc>
        <w:tc>
          <w:tcPr>
            <w:tcW w:w="120" w:type="dxa"/>
            <w:vAlign w:val="bottom"/>
          </w:tcPr>
          <w:p>
            <w:pPr>
              <w:spacing w:after="0"/>
              <w:rPr>
                <w:sz w:val="18"/>
                <w:szCs w:val="18"/>
                <w:color w:val="auto"/>
              </w:rPr>
            </w:pPr>
          </w:p>
        </w:tc>
        <w:tc>
          <w:tcPr>
            <w:tcW w:w="200" w:type="dxa"/>
            <w:vAlign w:val="bottom"/>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gridSpan w:val="2"/>
          </w:tcPr>
          <w:p>
            <w:pPr>
              <w:ind w:left="720"/>
              <w:spacing w:after="0" w:line="205" w:lineRule="exact"/>
              <w:rPr>
                <w:sz w:val="20"/>
                <w:szCs w:val="20"/>
                <w:color w:val="auto"/>
              </w:rPr>
            </w:pPr>
            <w:r>
              <w:rPr>
                <w:rFonts w:ascii="Calibri" w:cs="Calibri" w:eastAsia="Calibri" w:hAnsi="Calibri"/>
                <w:sz w:val="17"/>
                <w:szCs w:val="17"/>
                <w:color w:val="auto"/>
              </w:rPr>
              <w:t>—</w:t>
            </w:r>
          </w:p>
        </w:tc>
        <w:tc>
          <w:tcPr>
            <w:tcW w:w="260" w:type="dxa"/>
            <w:vAlign w:val="bottom"/>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984,456</w:t>
            </w:r>
          </w:p>
        </w:tc>
      </w:tr>
      <w:tr>
        <w:trPr>
          <w:trHeight w:val="226"/>
        </w:trPr>
        <w:tc>
          <w:tcPr>
            <w:tcW w:w="580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Liabilites at Fair Value:</w:t>
            </w:r>
          </w:p>
        </w:tc>
        <w:tc>
          <w:tcPr>
            <w:tcW w:w="800" w:type="dxa"/>
            <w:vAlign w:val="bottom"/>
            <w:shd w:val="clear" w:color="auto" w:fill="E6EEFF"/>
          </w:tcPr>
          <w:p>
            <w:pPr>
              <w:spacing w:after="0"/>
              <w:rPr>
                <w:sz w:val="19"/>
                <w:szCs w:val="19"/>
                <w:color w:val="auto"/>
              </w:rPr>
            </w:pPr>
          </w:p>
        </w:tc>
        <w:tc>
          <w:tcPr>
            <w:tcW w:w="34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280" w:type="dxa"/>
            <w:vAlign w:val="bottom"/>
            <w:shd w:val="clear" w:color="auto" w:fill="E6EEFF"/>
          </w:tcPr>
          <w:p>
            <w:pPr>
              <w:spacing w:after="0"/>
              <w:rPr>
                <w:sz w:val="19"/>
                <w:szCs w:val="19"/>
                <w:color w:val="auto"/>
              </w:rPr>
            </w:pPr>
          </w:p>
        </w:tc>
        <w:tc>
          <w:tcPr>
            <w:tcW w:w="112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spacing w:after="0"/>
              <w:rPr>
                <w:sz w:val="19"/>
                <w:szCs w:val="19"/>
                <w:color w:val="auto"/>
              </w:rPr>
            </w:pPr>
          </w:p>
        </w:tc>
        <w:tc>
          <w:tcPr>
            <w:tcW w:w="94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60" w:type="dxa"/>
            <w:vAlign w:val="bottom"/>
            <w:shd w:val="clear" w:color="auto" w:fill="E6EEFF"/>
          </w:tcPr>
          <w:p>
            <w:pPr>
              <w:spacing w:after="0"/>
              <w:rPr>
                <w:sz w:val="19"/>
                <w:szCs w:val="19"/>
                <w:color w:val="auto"/>
              </w:rPr>
            </w:pPr>
          </w:p>
        </w:tc>
        <w:tc>
          <w:tcPr>
            <w:tcW w:w="1140" w:type="dxa"/>
            <w:vAlign w:val="bottom"/>
            <w:shd w:val="clear" w:color="auto" w:fill="E6EEFF"/>
          </w:tcPr>
          <w:p>
            <w:pPr>
              <w:spacing w:after="0"/>
              <w:rPr>
                <w:sz w:val="19"/>
                <w:szCs w:val="19"/>
                <w:color w:val="auto"/>
              </w:rPr>
            </w:pPr>
          </w:p>
        </w:tc>
      </w:tr>
      <w:tr>
        <w:trPr>
          <w:trHeight w:val="205"/>
        </w:trPr>
        <w:tc>
          <w:tcPr>
            <w:tcW w:w="5800" w:type="dxa"/>
            <w:vAlign w:val="bottom"/>
            <w:gridSpan w:val="2"/>
          </w:tcPr>
          <w:p>
            <w:pPr>
              <w:ind w:left="140"/>
              <w:spacing w:after="0" w:line="205" w:lineRule="exact"/>
              <w:rPr>
                <w:sz w:val="20"/>
                <w:szCs w:val="20"/>
                <w:color w:val="auto"/>
              </w:rPr>
            </w:pPr>
            <w:r>
              <w:rPr>
                <w:rFonts w:ascii="Calibri" w:cs="Calibri" w:eastAsia="Calibri" w:hAnsi="Calibri"/>
                <w:sz w:val="17"/>
                <w:szCs w:val="17"/>
                <w:color w:val="auto"/>
              </w:rPr>
              <w:t>Derivatves</w:t>
            </w:r>
          </w:p>
        </w:tc>
        <w:tc>
          <w:tcPr>
            <w:tcW w:w="800" w:type="dxa"/>
            <w:vAlign w:val="bottom"/>
          </w:tcPr>
          <w:p>
            <w:pPr>
              <w:jc w:val="right"/>
              <w:ind w:right="614"/>
              <w:spacing w:after="0" w:line="205" w:lineRule="exact"/>
              <w:rPr>
                <w:sz w:val="20"/>
                <w:szCs w:val="20"/>
                <w:color w:val="auto"/>
              </w:rPr>
            </w:pPr>
            <w:r>
              <w:rPr>
                <w:rFonts w:ascii="Calibri" w:cs="Calibri" w:eastAsia="Calibri" w:hAnsi="Calibri"/>
                <w:sz w:val="17"/>
                <w:szCs w:val="17"/>
                <w:color w:val="auto"/>
                <w:w w:val="92"/>
              </w:rPr>
              <w:t>$</w:t>
            </w:r>
          </w:p>
        </w:tc>
        <w:tc>
          <w:tcPr>
            <w:tcW w:w="34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516</w:t>
            </w:r>
          </w:p>
        </w:tc>
        <w:tc>
          <w:tcPr>
            <w:tcW w:w="100" w:type="dxa"/>
            <w:vAlign w:val="bottom"/>
          </w:tcPr>
          <w:p>
            <w:pPr>
              <w:spacing w:after="0"/>
              <w:rPr>
                <w:sz w:val="17"/>
                <w:szCs w:val="17"/>
                <w:color w:val="auto"/>
              </w:rPr>
            </w:pPr>
          </w:p>
        </w:tc>
        <w:tc>
          <w:tcPr>
            <w:tcW w:w="280" w:type="dxa"/>
            <w:vAlign w:val="bottom"/>
          </w:tcPr>
          <w:p>
            <w:pPr>
              <w:jc w:val="right"/>
              <w:ind w:right="94"/>
              <w:spacing w:after="0" w:line="205" w:lineRule="exact"/>
              <w:rPr>
                <w:sz w:val="20"/>
                <w:szCs w:val="20"/>
                <w:color w:val="auto"/>
              </w:rPr>
            </w:pPr>
            <w:r>
              <w:rPr>
                <w:rFonts w:ascii="Calibri" w:cs="Calibri" w:eastAsia="Calibri" w:hAnsi="Calibri"/>
                <w:sz w:val="17"/>
                <w:szCs w:val="17"/>
                <w:color w:val="auto"/>
                <w:w w:val="92"/>
              </w:rPr>
              <w:t>$</w:t>
            </w:r>
          </w:p>
        </w:tc>
        <w:tc>
          <w:tcPr>
            <w:tcW w:w="1120" w:type="dxa"/>
            <w:vAlign w:val="bottom"/>
          </w:tcPr>
          <w:p>
            <w:pPr>
              <w:jc w:val="right"/>
              <w:spacing w:after="0" w:line="205" w:lineRule="exact"/>
              <w:rPr>
                <w:sz w:val="20"/>
                <w:szCs w:val="20"/>
                <w:color w:val="auto"/>
              </w:rPr>
            </w:pPr>
            <w:r>
              <w:rPr>
                <w:rFonts w:ascii="Calibri" w:cs="Calibri" w:eastAsia="Calibri" w:hAnsi="Calibri"/>
                <w:sz w:val="17"/>
                <w:szCs w:val="17"/>
                <w:color w:val="auto"/>
              </w:rPr>
              <w:t>12,500</w:t>
            </w:r>
          </w:p>
        </w:tc>
        <w:tc>
          <w:tcPr>
            <w:tcW w:w="120" w:type="dxa"/>
            <w:vAlign w:val="bottom"/>
          </w:tcPr>
          <w:p>
            <w:pPr>
              <w:spacing w:after="0"/>
              <w:rPr>
                <w:sz w:val="17"/>
                <w:szCs w:val="17"/>
                <w:color w:val="auto"/>
              </w:rPr>
            </w:pPr>
          </w:p>
        </w:tc>
        <w:tc>
          <w:tcPr>
            <w:tcW w:w="200" w:type="dxa"/>
            <w:vAlign w:val="bottom"/>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gridSpan w:val="2"/>
          </w:tcPr>
          <w:p>
            <w:pPr>
              <w:ind w:left="720"/>
              <w:spacing w:after="0" w:line="205" w:lineRule="exact"/>
              <w:rPr>
                <w:sz w:val="20"/>
                <w:szCs w:val="20"/>
                <w:color w:val="auto"/>
              </w:rPr>
            </w:pPr>
            <w:r>
              <w:rPr>
                <w:rFonts w:ascii="Calibri" w:cs="Calibri" w:eastAsia="Calibri" w:hAnsi="Calibri"/>
                <w:sz w:val="17"/>
                <w:szCs w:val="17"/>
                <w:color w:val="auto"/>
              </w:rPr>
              <w:t>—</w:t>
            </w:r>
          </w:p>
        </w:tc>
        <w:tc>
          <w:tcPr>
            <w:tcW w:w="260" w:type="dxa"/>
            <w:vAlign w:val="bottom"/>
          </w:tcPr>
          <w:p>
            <w:pPr>
              <w:jc w:val="right"/>
              <w:ind w:right="74"/>
              <w:spacing w:after="0" w:line="205" w:lineRule="exact"/>
              <w:rPr>
                <w:sz w:val="20"/>
                <w:szCs w:val="20"/>
                <w:color w:val="auto"/>
              </w:rPr>
            </w:pPr>
            <w:r>
              <w:rPr>
                <w:rFonts w:ascii="Calibri" w:cs="Calibri" w:eastAsia="Calibri" w:hAnsi="Calibri"/>
                <w:sz w:val="17"/>
                <w:szCs w:val="17"/>
                <w:color w:val="auto"/>
                <w:w w:val="92"/>
              </w:rPr>
              <w:t>$</w:t>
            </w:r>
          </w:p>
        </w:tc>
        <w:tc>
          <w:tcPr>
            <w:tcW w:w="1140" w:type="dxa"/>
            <w:vAlign w:val="bottom"/>
          </w:tcPr>
          <w:p>
            <w:pPr>
              <w:jc w:val="right"/>
              <w:spacing w:after="0" w:line="205" w:lineRule="exact"/>
              <w:rPr>
                <w:sz w:val="20"/>
                <w:szCs w:val="20"/>
                <w:color w:val="auto"/>
              </w:rPr>
            </w:pPr>
            <w:r>
              <w:rPr>
                <w:rFonts w:ascii="Calibri" w:cs="Calibri" w:eastAsia="Calibri" w:hAnsi="Calibri"/>
                <w:sz w:val="17"/>
                <w:szCs w:val="17"/>
                <w:color w:val="auto"/>
              </w:rPr>
              <w:t>13,016</w:t>
            </w:r>
          </w:p>
        </w:tc>
      </w:tr>
    </w:tbl>
    <w:p>
      <w:pPr>
        <w:spacing w:after="0" w:line="251"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There were no transfers of assets or liabilites between the levels of the fair value hierarchy during the year ended December 31, 2023 or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1164590</wp:posOffset>
            </wp:positionV>
            <wp:extent cx="716407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440690</wp:posOffset>
            </wp:positionV>
            <wp:extent cx="458470" cy="5073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89" w:name="page90"/>
    <w:bookmarkEnd w:id="89"/>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88</w:t>
      </w:r>
    </w:p>
    <w:p>
      <w:pPr>
        <w:spacing w:after="0" w:line="200" w:lineRule="exact"/>
        <w:rPr>
          <w:sz w:val="20"/>
          <w:szCs w:val="20"/>
          <w:color w:val="auto"/>
        </w:rPr>
      </w:pPr>
    </w:p>
    <w:p>
      <w:pPr>
        <w:spacing w:after="0" w:line="318"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Excluded from the tables above are fnancial instruments, including cash and cash equivalents, cash collateral posted to/by counterpartes, receivables, the Subordinated loan to BUCKLER, payables, borrowings under repurchase agreements, net and obligatons to return securites received as collateral, which are presented in our consolidated fnancial statements at cost, which approximates fair value. The estmated fair value of these instruments is measured using "Level 1" or "Level 2" inputs at December 31, 2023 and December 31, 2022.</w:t>
      </w:r>
    </w:p>
    <w:p>
      <w:pPr>
        <w:spacing w:after="0" w:line="18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Note 5 - Investments in Securites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As of December 31, 2023 and December 31, 2022, our securites portolio consisted of $11,159,754 and $8,198,591 of investment securites, at fair value, respectvely, and $305,039 and $777,469 of TBA Agency Securites, at fair value, respectvely. Our TBA Agency Securites are reported at net carrying value of $1,816 and $(11,797), at December 31, 2023 and December 31, 2022, respectvely, and are reported in Derivatves, at fair value on our consolidated balance sheets (see Note 7 - Derivatves). The net carrying value of our TBA Agency Securites represents the diference between the fair value of the underlying Agency Security in the TBA contract and the cost basis or the forward price to be paid or received for the underlying Agency Security.</w:t>
      </w:r>
    </w:p>
    <w:p>
      <w:pPr>
        <w:spacing w:after="0" w:line="167"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During the frst quarter of 2023, we sold the remaining balance of our Available for Sale Securites which resulted in a realized loss of $(7,471).</w:t>
      </w:r>
    </w:p>
    <w:p>
      <w:pPr>
        <w:spacing w:after="0" w:line="169"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tables below present the components of the carrying value and the unrealized gain or loss positon of our investments in securites at December 31, 2023 and December 31, 2022.</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46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100" w:type="dxa"/>
            <w:vAlign w:val="bottom"/>
            <w:shd w:val="clear" w:color="auto" w:fill="E6EEFF"/>
          </w:tcPr>
          <w:p>
            <w:pPr>
              <w:spacing w:after="0"/>
              <w:rPr>
                <w:sz w:val="18"/>
                <w:szCs w:val="18"/>
                <w:color w:val="auto"/>
              </w:rPr>
            </w:pPr>
          </w:p>
        </w:tc>
        <w:tc>
          <w:tcPr>
            <w:tcW w:w="1340" w:type="dxa"/>
            <w:vAlign w:val="bottom"/>
            <w:shd w:val="clear" w:color="auto" w:fill="E6EEFF"/>
          </w:tcPr>
          <w:p>
            <w:pPr>
              <w:spacing w:after="0"/>
              <w:rPr>
                <w:sz w:val="18"/>
                <w:szCs w:val="18"/>
                <w:color w:val="auto"/>
              </w:rPr>
            </w:pPr>
          </w:p>
        </w:tc>
        <w:tc>
          <w:tcPr>
            <w:tcW w:w="100" w:type="dxa"/>
            <w:vAlign w:val="bottom"/>
            <w:shd w:val="clear" w:color="auto" w:fill="E6EEFF"/>
          </w:tcPr>
          <w:p>
            <w:pPr>
              <w:spacing w:after="0"/>
              <w:rPr>
                <w:sz w:val="18"/>
                <w:szCs w:val="18"/>
                <w:color w:val="auto"/>
              </w:rPr>
            </w:pPr>
          </w:p>
        </w:tc>
        <w:tc>
          <w:tcPr>
            <w:tcW w:w="160" w:type="dxa"/>
            <w:vAlign w:val="bottom"/>
            <w:shd w:val="clear" w:color="auto" w:fill="E6EEFF"/>
          </w:tcPr>
          <w:p>
            <w:pPr>
              <w:spacing w:after="0"/>
              <w:rPr>
                <w:sz w:val="18"/>
                <w:szCs w:val="18"/>
                <w:color w:val="auto"/>
              </w:rPr>
            </w:pPr>
          </w:p>
        </w:tc>
        <w:tc>
          <w:tcPr>
            <w:tcW w:w="128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1420" w:type="dxa"/>
            <w:vAlign w:val="bottom"/>
            <w:gridSpan w:val="2"/>
            <w:shd w:val="clear" w:color="auto" w:fill="E6EEFF"/>
          </w:tcPr>
          <w:p>
            <w:pPr>
              <w:jc w:val="center"/>
              <w:ind w:right="240"/>
              <w:spacing w:after="0"/>
              <w:rPr>
                <w:sz w:val="20"/>
                <w:szCs w:val="20"/>
                <w:color w:val="auto"/>
              </w:rPr>
            </w:pPr>
            <w:r>
              <w:rPr>
                <w:rFonts w:ascii="Calibri" w:cs="Calibri" w:eastAsia="Calibri" w:hAnsi="Calibri"/>
                <w:sz w:val="17"/>
                <w:szCs w:val="17"/>
                <w:b w:val="1"/>
                <w:bCs w:val="1"/>
                <w:color w:val="1C4787"/>
                <w:w w:val="98"/>
              </w:rPr>
              <w:t>Gross Unrealized</w:t>
            </w:r>
          </w:p>
        </w:tc>
        <w:tc>
          <w:tcPr>
            <w:tcW w:w="120" w:type="dxa"/>
            <w:vAlign w:val="bottom"/>
            <w:shd w:val="clear" w:color="auto" w:fill="E6EEFF"/>
          </w:tcPr>
          <w:p>
            <w:pPr>
              <w:spacing w:after="0"/>
              <w:rPr>
                <w:sz w:val="18"/>
                <w:szCs w:val="18"/>
                <w:color w:val="auto"/>
              </w:rPr>
            </w:pPr>
          </w:p>
        </w:tc>
        <w:tc>
          <w:tcPr>
            <w:tcW w:w="1420" w:type="dxa"/>
            <w:vAlign w:val="bottom"/>
            <w:gridSpan w:val="2"/>
            <w:shd w:val="clear" w:color="auto" w:fill="E6EEFF"/>
          </w:tcPr>
          <w:p>
            <w:pPr>
              <w:jc w:val="center"/>
              <w:ind w:right="220"/>
              <w:spacing w:after="0"/>
              <w:rPr>
                <w:sz w:val="20"/>
                <w:szCs w:val="20"/>
                <w:color w:val="auto"/>
              </w:rPr>
            </w:pPr>
            <w:r>
              <w:rPr>
                <w:rFonts w:ascii="Calibri" w:cs="Calibri" w:eastAsia="Calibri" w:hAnsi="Calibri"/>
                <w:sz w:val="17"/>
                <w:szCs w:val="17"/>
                <w:b w:val="1"/>
                <w:bCs w:val="1"/>
                <w:color w:val="1C4787"/>
                <w:w w:val="97"/>
              </w:rPr>
              <w:t>Gross Unrealized</w:t>
            </w:r>
          </w:p>
        </w:tc>
        <w:tc>
          <w:tcPr>
            <w:tcW w:w="260" w:type="dxa"/>
            <w:vAlign w:val="bottom"/>
            <w:shd w:val="clear" w:color="auto" w:fill="E6EEFF"/>
          </w:tcPr>
          <w:p>
            <w:pPr>
              <w:spacing w:after="0"/>
              <w:rPr>
                <w:sz w:val="18"/>
                <w:szCs w:val="18"/>
                <w:color w:val="auto"/>
              </w:rPr>
            </w:pPr>
          </w:p>
        </w:tc>
        <w:tc>
          <w:tcPr>
            <w:tcW w:w="1200" w:type="dxa"/>
            <w:vAlign w:val="bottom"/>
            <w:shd w:val="clear" w:color="auto" w:fill="E6EEFF"/>
          </w:tcPr>
          <w:p>
            <w:pPr>
              <w:spacing w:after="0"/>
              <w:rPr>
                <w:sz w:val="18"/>
                <w:szCs w:val="18"/>
                <w:color w:val="auto"/>
              </w:rPr>
            </w:pPr>
          </w:p>
        </w:tc>
      </w:tr>
      <w:tr>
        <w:trPr>
          <w:trHeight w:val="240"/>
        </w:trPr>
        <w:tc>
          <w:tcPr>
            <w:tcW w:w="3580" w:type="dxa"/>
            <w:vAlign w:val="bottom"/>
            <w:tcBorders>
              <w:bottom w:val="single" w:sz="8" w:color="E6EEFF"/>
            </w:tcBorders>
            <w:gridSpan w:val="2"/>
            <w:shd w:val="clear" w:color="auto" w:fill="E6EEFF"/>
          </w:tcPr>
          <w:p>
            <w:pPr>
              <w:ind w:left="20"/>
              <w:spacing w:after="0"/>
              <w:rPr>
                <w:sz w:val="20"/>
                <w:szCs w:val="20"/>
                <w:color w:val="auto"/>
              </w:rPr>
            </w:pPr>
            <w:r>
              <w:rPr>
                <w:rFonts w:ascii="Calibri" w:cs="Calibri" w:eastAsia="Calibri" w:hAnsi="Calibri"/>
                <w:sz w:val="17"/>
                <w:szCs w:val="17"/>
                <w:b w:val="1"/>
                <w:bCs w:val="1"/>
                <w:color w:val="1C4787"/>
              </w:rPr>
              <w:t>December 31, 2023</w:t>
            </w:r>
          </w:p>
        </w:tc>
        <w:tc>
          <w:tcPr>
            <w:tcW w:w="100" w:type="dxa"/>
            <w:vAlign w:val="bottom"/>
            <w:tcBorders>
              <w:bottom w:val="single" w:sz="8" w:color="E6EEFF"/>
            </w:tcBorders>
            <w:shd w:val="clear" w:color="auto" w:fill="E6EEFF"/>
          </w:tcPr>
          <w:p>
            <w:pPr>
              <w:spacing w:after="0"/>
              <w:rPr>
                <w:sz w:val="20"/>
                <w:szCs w:val="20"/>
                <w:color w:val="auto"/>
              </w:rPr>
            </w:pPr>
          </w:p>
        </w:tc>
        <w:tc>
          <w:tcPr>
            <w:tcW w:w="1440" w:type="dxa"/>
            <w:vAlign w:val="bottom"/>
            <w:tcBorders>
              <w:bottom w:val="single" w:sz="8" w:color="E6EEFF"/>
            </w:tcBorders>
            <w:gridSpan w:val="2"/>
            <w:shd w:val="clear" w:color="auto" w:fill="E6EEFF"/>
          </w:tcPr>
          <w:p>
            <w:pPr>
              <w:ind w:left="20"/>
              <w:spacing w:after="0"/>
              <w:rPr>
                <w:sz w:val="20"/>
                <w:szCs w:val="20"/>
                <w:color w:val="auto"/>
              </w:rPr>
            </w:pPr>
            <w:r>
              <w:rPr>
                <w:rFonts w:ascii="Calibri" w:cs="Calibri" w:eastAsia="Calibri" w:hAnsi="Calibri"/>
                <w:sz w:val="17"/>
                <w:szCs w:val="17"/>
                <w:b w:val="1"/>
                <w:bCs w:val="1"/>
                <w:color w:val="1C4787"/>
              </w:rPr>
              <w:t>Principal Amount</w:t>
            </w:r>
          </w:p>
        </w:tc>
        <w:tc>
          <w:tcPr>
            <w:tcW w:w="160" w:type="dxa"/>
            <w:vAlign w:val="bottom"/>
            <w:tcBorders>
              <w:bottom w:val="single" w:sz="8" w:color="E6EEFF"/>
            </w:tcBorders>
            <w:shd w:val="clear" w:color="auto" w:fill="E6EEFF"/>
          </w:tcPr>
          <w:p>
            <w:pPr>
              <w:spacing w:after="0"/>
              <w:rPr>
                <w:sz w:val="20"/>
                <w:szCs w:val="20"/>
                <w:color w:val="auto"/>
              </w:rPr>
            </w:pPr>
          </w:p>
        </w:tc>
        <w:tc>
          <w:tcPr>
            <w:tcW w:w="1400" w:type="dxa"/>
            <w:vAlign w:val="bottom"/>
            <w:tcBorders>
              <w:bottom w:val="single" w:sz="8" w:color="E6EEFF"/>
            </w:tcBorders>
            <w:gridSpan w:val="2"/>
            <w:shd w:val="clear" w:color="auto" w:fill="E6EEFF"/>
          </w:tcPr>
          <w:p>
            <w:pPr>
              <w:ind w:left="40"/>
              <w:spacing w:after="0"/>
              <w:rPr>
                <w:sz w:val="20"/>
                <w:szCs w:val="20"/>
                <w:color w:val="auto"/>
              </w:rPr>
            </w:pPr>
            <w:r>
              <w:rPr>
                <w:rFonts w:ascii="Calibri" w:cs="Calibri" w:eastAsia="Calibri" w:hAnsi="Calibri"/>
                <w:sz w:val="17"/>
                <w:szCs w:val="17"/>
                <w:b w:val="1"/>
                <w:bCs w:val="1"/>
                <w:color w:val="1C4787"/>
              </w:rPr>
              <w:t>Amortzed Cost</w:t>
            </w:r>
          </w:p>
        </w:tc>
        <w:tc>
          <w:tcPr>
            <w:tcW w:w="120" w:type="dxa"/>
            <w:vAlign w:val="bottom"/>
            <w:tcBorders>
              <w:bottom w:val="single" w:sz="8" w:color="E6EEFF"/>
            </w:tcBorders>
            <w:shd w:val="clear" w:color="auto" w:fill="E6EEFF"/>
          </w:tcPr>
          <w:p>
            <w:pPr>
              <w:spacing w:after="0"/>
              <w:rPr>
                <w:sz w:val="20"/>
                <w:szCs w:val="20"/>
                <w:color w:val="auto"/>
              </w:rPr>
            </w:pPr>
          </w:p>
        </w:tc>
        <w:tc>
          <w:tcPr>
            <w:tcW w:w="1420" w:type="dxa"/>
            <w:vAlign w:val="bottom"/>
            <w:tcBorders>
              <w:bottom w:val="single" w:sz="8" w:color="E6EEFF"/>
            </w:tcBorders>
            <w:gridSpan w:val="2"/>
            <w:shd w:val="clear" w:color="auto" w:fill="E6EEFF"/>
          </w:tcPr>
          <w:p>
            <w:pPr>
              <w:jc w:val="center"/>
              <w:ind w:right="240"/>
              <w:spacing w:after="0" w:line="205" w:lineRule="exact"/>
              <w:rPr>
                <w:sz w:val="20"/>
                <w:szCs w:val="20"/>
                <w:color w:val="auto"/>
              </w:rPr>
            </w:pPr>
            <w:r>
              <w:rPr>
                <w:rFonts w:ascii="Calibri" w:cs="Calibri" w:eastAsia="Calibri" w:hAnsi="Calibri"/>
                <w:sz w:val="17"/>
                <w:szCs w:val="17"/>
                <w:b w:val="1"/>
                <w:bCs w:val="1"/>
                <w:color w:val="1C4787"/>
              </w:rPr>
              <w:t>Loss</w:t>
            </w:r>
          </w:p>
        </w:tc>
        <w:tc>
          <w:tcPr>
            <w:tcW w:w="120" w:type="dxa"/>
            <w:vAlign w:val="bottom"/>
            <w:tcBorders>
              <w:bottom w:val="single" w:sz="8" w:color="E6EEFF"/>
            </w:tcBorders>
            <w:shd w:val="clear" w:color="auto" w:fill="E6EEFF"/>
          </w:tcPr>
          <w:p>
            <w:pPr>
              <w:spacing w:after="0"/>
              <w:rPr>
                <w:sz w:val="20"/>
                <w:szCs w:val="20"/>
                <w:color w:val="auto"/>
              </w:rPr>
            </w:pPr>
          </w:p>
        </w:tc>
        <w:tc>
          <w:tcPr>
            <w:tcW w:w="1420" w:type="dxa"/>
            <w:vAlign w:val="bottom"/>
            <w:tcBorders>
              <w:bottom w:val="single" w:sz="8" w:color="E6EEFF"/>
            </w:tcBorders>
            <w:gridSpan w:val="2"/>
            <w:shd w:val="clear" w:color="auto" w:fill="E6EEFF"/>
          </w:tcPr>
          <w:p>
            <w:pPr>
              <w:jc w:val="center"/>
              <w:ind w:right="220"/>
              <w:spacing w:after="0" w:line="205" w:lineRule="exact"/>
              <w:rPr>
                <w:sz w:val="20"/>
                <w:szCs w:val="20"/>
                <w:color w:val="auto"/>
              </w:rPr>
            </w:pPr>
            <w:r>
              <w:rPr>
                <w:rFonts w:ascii="Calibri" w:cs="Calibri" w:eastAsia="Calibri" w:hAnsi="Calibri"/>
                <w:sz w:val="17"/>
                <w:szCs w:val="17"/>
                <w:b w:val="1"/>
                <w:bCs w:val="1"/>
                <w:color w:val="1C4787"/>
                <w:w w:val="98"/>
              </w:rPr>
              <w:t>Gain</w:t>
            </w:r>
          </w:p>
        </w:tc>
        <w:tc>
          <w:tcPr>
            <w:tcW w:w="260" w:type="dxa"/>
            <w:vAlign w:val="bottom"/>
            <w:tcBorders>
              <w:bottom w:val="single" w:sz="8" w:color="E6EEFF"/>
            </w:tcBorders>
            <w:shd w:val="clear" w:color="auto" w:fill="E6EEFF"/>
          </w:tcPr>
          <w:p>
            <w:pPr>
              <w:spacing w:after="0"/>
              <w:rPr>
                <w:sz w:val="20"/>
                <w:szCs w:val="20"/>
                <w:color w:val="auto"/>
              </w:rPr>
            </w:pPr>
          </w:p>
        </w:tc>
        <w:tc>
          <w:tcPr>
            <w:tcW w:w="1200" w:type="dxa"/>
            <w:vAlign w:val="bottom"/>
            <w:tcBorders>
              <w:bottom w:val="single" w:sz="8" w:color="E6EEFF"/>
            </w:tcBorders>
            <w:shd w:val="clear" w:color="auto" w:fill="E6EEFF"/>
          </w:tcPr>
          <w:p>
            <w:pPr>
              <w:jc w:val="right"/>
              <w:ind w:right="294"/>
              <w:spacing w:after="0"/>
              <w:rPr>
                <w:sz w:val="20"/>
                <w:szCs w:val="20"/>
                <w:color w:val="auto"/>
              </w:rPr>
            </w:pPr>
            <w:r>
              <w:rPr>
                <w:rFonts w:ascii="Calibri" w:cs="Calibri" w:eastAsia="Calibri" w:hAnsi="Calibri"/>
                <w:sz w:val="17"/>
                <w:szCs w:val="17"/>
                <w:b w:val="1"/>
                <w:bCs w:val="1"/>
                <w:color w:val="1C4787"/>
              </w:rPr>
              <w:t>Fair Value</w:t>
            </w:r>
          </w:p>
        </w:tc>
      </w:tr>
      <w:tr>
        <w:trPr>
          <w:trHeight w:val="205"/>
        </w:trPr>
        <w:tc>
          <w:tcPr>
            <w:tcW w:w="346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1C4787"/>
              </w:rPr>
              <w:t>Agency Securites:</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9"/>
        </w:trPr>
        <w:tc>
          <w:tcPr>
            <w:tcW w:w="3580" w:type="dxa"/>
            <w:vAlign w:val="bottom"/>
            <w:gridSpan w:val="2"/>
            <w:shd w:val="clear" w:color="auto" w:fill="E6EEFF"/>
          </w:tcPr>
          <w:p>
            <w:pPr>
              <w:ind w:left="120"/>
              <w:spacing w:after="0"/>
              <w:rPr>
                <w:sz w:val="20"/>
                <w:szCs w:val="20"/>
                <w:color w:val="auto"/>
              </w:rPr>
            </w:pPr>
            <w:r>
              <w:rPr>
                <w:rFonts w:ascii="Calibri" w:cs="Calibri" w:eastAsia="Calibri" w:hAnsi="Calibri"/>
                <w:sz w:val="17"/>
                <w:szCs w:val="17"/>
                <w:color w:val="auto"/>
              </w:rPr>
              <w:t>Trading securites</w:t>
            </w:r>
          </w:p>
        </w:tc>
        <w:tc>
          <w:tcPr>
            <w:tcW w:w="100" w:type="dxa"/>
            <w:vAlign w:val="bottom"/>
            <w:tcBorders>
              <w:bottom w:val="single" w:sz="8" w:color="auto"/>
            </w:tcBorders>
            <w:shd w:val="clear" w:color="auto" w:fill="E6EEFF"/>
          </w:tcPr>
          <w:p>
            <w:pPr>
              <w:spacing w:after="0"/>
              <w:rPr>
                <w:sz w:val="19"/>
                <w:szCs w:val="19"/>
                <w:color w:val="auto"/>
              </w:rPr>
            </w:pPr>
          </w:p>
        </w:tc>
        <w:tc>
          <w:tcPr>
            <w:tcW w:w="13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11,278,161</w:t>
            </w:r>
          </w:p>
        </w:tc>
        <w:tc>
          <w:tcPr>
            <w:tcW w:w="100" w:type="dxa"/>
            <w:vAlign w:val="bottom"/>
            <w:shd w:val="clear" w:color="auto" w:fill="E6EEFF"/>
          </w:tcPr>
          <w:p>
            <w:pPr>
              <w:spacing w:after="0"/>
              <w:rPr>
                <w:sz w:val="19"/>
                <w:szCs w:val="19"/>
                <w:color w:val="auto"/>
              </w:rPr>
            </w:pPr>
          </w:p>
        </w:tc>
        <w:tc>
          <w:tcPr>
            <w:tcW w:w="160" w:type="dxa"/>
            <w:vAlign w:val="bottom"/>
            <w:tcBorders>
              <w:bottom w:val="single" w:sz="8" w:color="auto"/>
            </w:tcBorders>
            <w:shd w:val="clear" w:color="auto" w:fill="E6EEFF"/>
          </w:tcPr>
          <w:p>
            <w:pPr>
              <w:spacing w:after="0"/>
              <w:rPr>
                <w:sz w:val="19"/>
                <w:szCs w:val="19"/>
                <w:color w:val="auto"/>
              </w:rPr>
            </w:pPr>
          </w:p>
        </w:tc>
        <w:tc>
          <w:tcPr>
            <w:tcW w:w="128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11,283,380</w:t>
            </w:r>
          </w:p>
        </w:tc>
        <w:tc>
          <w:tcPr>
            <w:tcW w:w="120" w:type="dxa"/>
            <w:vAlign w:val="bottom"/>
            <w:shd w:val="clear" w:color="auto" w:fill="E6EEFF"/>
          </w:tcPr>
          <w:p>
            <w:pPr>
              <w:spacing w:after="0"/>
              <w:rPr>
                <w:sz w:val="19"/>
                <w:szCs w:val="19"/>
                <w:color w:val="auto"/>
              </w:rPr>
            </w:pPr>
          </w:p>
        </w:tc>
        <w:tc>
          <w:tcPr>
            <w:tcW w:w="120" w:type="dxa"/>
            <w:vAlign w:val="bottom"/>
            <w:tcBorders>
              <w:bottom w:val="single" w:sz="8" w:color="auto"/>
            </w:tcBorders>
            <w:shd w:val="clear" w:color="auto" w:fill="E6EEFF"/>
          </w:tcPr>
          <w:p>
            <w:pPr>
              <w:spacing w:after="0"/>
              <w:rPr>
                <w:sz w:val="19"/>
                <w:szCs w:val="19"/>
                <w:color w:val="auto"/>
              </w:rPr>
            </w:pPr>
          </w:p>
        </w:tc>
        <w:tc>
          <w:tcPr>
            <w:tcW w:w="130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(176,660)</w:t>
            </w:r>
          </w:p>
        </w:tc>
        <w:tc>
          <w:tcPr>
            <w:tcW w:w="120" w:type="dxa"/>
            <w:vAlign w:val="bottom"/>
            <w:shd w:val="clear" w:color="auto" w:fill="E6EEFF"/>
          </w:tcPr>
          <w:p>
            <w:pPr>
              <w:spacing w:after="0"/>
              <w:rPr>
                <w:sz w:val="19"/>
                <w:szCs w:val="19"/>
                <w:color w:val="auto"/>
              </w:rPr>
            </w:pPr>
          </w:p>
        </w:tc>
        <w:tc>
          <w:tcPr>
            <w:tcW w:w="120" w:type="dxa"/>
            <w:vAlign w:val="bottom"/>
            <w:tcBorders>
              <w:bottom w:val="single" w:sz="8" w:color="auto"/>
            </w:tcBorders>
            <w:shd w:val="clear" w:color="auto" w:fill="E6EEFF"/>
          </w:tcPr>
          <w:p>
            <w:pPr>
              <w:spacing w:after="0"/>
              <w:rPr>
                <w:sz w:val="19"/>
                <w:szCs w:val="19"/>
                <w:color w:val="auto"/>
              </w:rPr>
            </w:pPr>
          </w:p>
        </w:tc>
        <w:tc>
          <w:tcPr>
            <w:tcW w:w="132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53,034</w:t>
            </w:r>
          </w:p>
        </w:tc>
        <w:tc>
          <w:tcPr>
            <w:tcW w:w="100" w:type="dxa"/>
            <w:vAlign w:val="bottom"/>
            <w:shd w:val="clear" w:color="auto" w:fill="E6EEFF"/>
          </w:tcPr>
          <w:p>
            <w:pPr>
              <w:spacing w:after="0"/>
              <w:rPr>
                <w:sz w:val="19"/>
                <w:szCs w:val="19"/>
                <w:color w:val="auto"/>
              </w:rPr>
            </w:pPr>
          </w:p>
        </w:tc>
        <w:tc>
          <w:tcPr>
            <w:tcW w:w="260" w:type="dxa"/>
            <w:vAlign w:val="bottom"/>
            <w:tcBorders>
              <w:bottom w:val="single" w:sz="8" w:color="auto"/>
            </w:tcBorders>
            <w:shd w:val="clear" w:color="auto" w:fill="E6EEFF"/>
          </w:tcPr>
          <w:p>
            <w:pPr>
              <w:spacing w:after="0"/>
              <w:rPr>
                <w:sz w:val="19"/>
                <w:szCs w:val="19"/>
                <w:color w:val="auto"/>
              </w:rPr>
            </w:pPr>
          </w:p>
        </w:tc>
        <w:tc>
          <w:tcPr>
            <w:tcW w:w="120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11,159,754</w:t>
            </w:r>
          </w:p>
        </w:tc>
      </w:tr>
      <w:tr>
        <w:trPr>
          <w:trHeight w:val="219"/>
        </w:trPr>
        <w:tc>
          <w:tcPr>
            <w:tcW w:w="3580" w:type="dxa"/>
            <w:vAlign w:val="bottom"/>
            <w:gridSpan w:val="2"/>
          </w:tcPr>
          <w:p>
            <w:pPr>
              <w:ind w:left="20"/>
              <w:spacing w:after="0"/>
              <w:rPr>
                <w:sz w:val="20"/>
                <w:szCs w:val="20"/>
                <w:color w:val="auto"/>
              </w:rPr>
            </w:pPr>
            <w:r>
              <w:rPr>
                <w:rFonts w:ascii="Calibri" w:cs="Calibri" w:eastAsia="Calibri" w:hAnsi="Calibri"/>
                <w:sz w:val="17"/>
                <w:szCs w:val="17"/>
                <w:b w:val="1"/>
                <w:bCs w:val="1"/>
                <w:color w:val="1C4787"/>
              </w:rPr>
              <w:t>Total Agency Securites</w:t>
            </w:r>
          </w:p>
        </w:tc>
        <w:tc>
          <w:tcPr>
            <w:tcW w:w="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11,278,161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12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11,283,380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(176,660)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53,034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4"/>
              <w:spacing w:after="0" w:line="205" w:lineRule="exact"/>
              <w:rPr>
                <w:sz w:val="20"/>
                <w:szCs w:val="20"/>
                <w:color w:val="auto"/>
              </w:rPr>
            </w:pPr>
            <w:r>
              <w:rPr>
                <w:rFonts w:ascii="Calibri" w:cs="Calibri" w:eastAsia="Calibri" w:hAnsi="Calibri"/>
                <w:sz w:val="17"/>
                <w:szCs w:val="17"/>
                <w:color w:val="auto"/>
              </w:rPr>
              <w:t>$</w:t>
            </w:r>
          </w:p>
        </w:tc>
        <w:tc>
          <w:tcPr>
            <w:tcW w:w="12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11,159,754</w:t>
            </w:r>
          </w:p>
        </w:tc>
      </w:tr>
      <w:tr>
        <w:trPr>
          <w:trHeight w:val="20"/>
        </w:trPr>
        <w:tc>
          <w:tcPr>
            <w:tcW w:w="3460" w:type="dxa"/>
            <w:vAlign w:val="bottom"/>
            <w:tcBorders>
              <w:bottom w:val="single" w:sz="8" w:color="E6EEFF"/>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08"/>
        </w:trPr>
        <w:tc>
          <w:tcPr>
            <w:tcW w:w="3460" w:type="dxa"/>
            <w:vAlign w:val="bottom"/>
            <w:shd w:val="clear" w:color="auto" w:fill="E6EEFF"/>
          </w:tcPr>
          <w:p>
            <w:pPr>
              <w:spacing w:after="0"/>
              <w:rPr>
                <w:sz w:val="9"/>
                <w:szCs w:val="9"/>
                <w:color w:val="auto"/>
              </w:rPr>
            </w:pPr>
          </w:p>
        </w:tc>
        <w:tc>
          <w:tcPr>
            <w:tcW w:w="120" w:type="dxa"/>
            <w:vAlign w:val="bottom"/>
            <w:shd w:val="clear" w:color="auto" w:fill="E6EEFF"/>
          </w:tcPr>
          <w:p>
            <w:pPr>
              <w:spacing w:after="0"/>
              <w:rPr>
                <w:sz w:val="9"/>
                <w:szCs w:val="9"/>
                <w:color w:val="auto"/>
              </w:rPr>
            </w:pPr>
          </w:p>
        </w:tc>
        <w:tc>
          <w:tcPr>
            <w:tcW w:w="100" w:type="dxa"/>
            <w:vAlign w:val="bottom"/>
            <w:shd w:val="clear" w:color="auto" w:fill="E6EEFF"/>
          </w:tcPr>
          <w:p>
            <w:pPr>
              <w:spacing w:after="0"/>
              <w:rPr>
                <w:sz w:val="9"/>
                <w:szCs w:val="9"/>
                <w:color w:val="auto"/>
              </w:rPr>
            </w:pPr>
          </w:p>
        </w:tc>
        <w:tc>
          <w:tcPr>
            <w:tcW w:w="1340" w:type="dxa"/>
            <w:vAlign w:val="bottom"/>
            <w:shd w:val="clear" w:color="auto" w:fill="E6EEFF"/>
          </w:tcPr>
          <w:p>
            <w:pPr>
              <w:spacing w:after="0"/>
              <w:rPr>
                <w:sz w:val="9"/>
                <w:szCs w:val="9"/>
                <w:color w:val="auto"/>
              </w:rPr>
            </w:pPr>
          </w:p>
        </w:tc>
        <w:tc>
          <w:tcPr>
            <w:tcW w:w="100" w:type="dxa"/>
            <w:vAlign w:val="bottom"/>
            <w:shd w:val="clear" w:color="auto" w:fill="E6EEFF"/>
          </w:tcPr>
          <w:p>
            <w:pPr>
              <w:spacing w:after="0"/>
              <w:rPr>
                <w:sz w:val="9"/>
                <w:szCs w:val="9"/>
                <w:color w:val="auto"/>
              </w:rPr>
            </w:pPr>
          </w:p>
        </w:tc>
        <w:tc>
          <w:tcPr>
            <w:tcW w:w="160" w:type="dxa"/>
            <w:vAlign w:val="bottom"/>
            <w:shd w:val="clear" w:color="auto" w:fill="E6EEFF"/>
          </w:tcPr>
          <w:p>
            <w:pPr>
              <w:spacing w:after="0"/>
              <w:rPr>
                <w:sz w:val="9"/>
                <w:szCs w:val="9"/>
                <w:color w:val="auto"/>
              </w:rPr>
            </w:pPr>
          </w:p>
        </w:tc>
        <w:tc>
          <w:tcPr>
            <w:tcW w:w="1280" w:type="dxa"/>
            <w:vAlign w:val="bottom"/>
            <w:shd w:val="clear" w:color="auto" w:fill="E6EEFF"/>
          </w:tcPr>
          <w:p>
            <w:pPr>
              <w:spacing w:after="0"/>
              <w:rPr>
                <w:sz w:val="9"/>
                <w:szCs w:val="9"/>
                <w:color w:val="auto"/>
              </w:rPr>
            </w:pPr>
          </w:p>
        </w:tc>
        <w:tc>
          <w:tcPr>
            <w:tcW w:w="120" w:type="dxa"/>
            <w:vAlign w:val="bottom"/>
            <w:shd w:val="clear" w:color="auto" w:fill="E6EEFF"/>
          </w:tcPr>
          <w:p>
            <w:pPr>
              <w:spacing w:after="0"/>
              <w:rPr>
                <w:sz w:val="9"/>
                <w:szCs w:val="9"/>
                <w:color w:val="auto"/>
              </w:rPr>
            </w:pPr>
          </w:p>
        </w:tc>
        <w:tc>
          <w:tcPr>
            <w:tcW w:w="120" w:type="dxa"/>
            <w:vAlign w:val="bottom"/>
            <w:shd w:val="clear" w:color="auto" w:fill="E6EEFF"/>
          </w:tcPr>
          <w:p>
            <w:pPr>
              <w:spacing w:after="0"/>
              <w:rPr>
                <w:sz w:val="9"/>
                <w:szCs w:val="9"/>
                <w:color w:val="auto"/>
              </w:rPr>
            </w:pPr>
          </w:p>
        </w:tc>
        <w:tc>
          <w:tcPr>
            <w:tcW w:w="1300" w:type="dxa"/>
            <w:vAlign w:val="bottom"/>
            <w:shd w:val="clear" w:color="auto" w:fill="E6EEFF"/>
          </w:tcPr>
          <w:p>
            <w:pPr>
              <w:spacing w:after="0"/>
              <w:rPr>
                <w:sz w:val="9"/>
                <w:szCs w:val="9"/>
                <w:color w:val="auto"/>
              </w:rPr>
            </w:pPr>
          </w:p>
        </w:tc>
        <w:tc>
          <w:tcPr>
            <w:tcW w:w="120" w:type="dxa"/>
            <w:vAlign w:val="bottom"/>
            <w:shd w:val="clear" w:color="auto" w:fill="E6EEFF"/>
          </w:tcPr>
          <w:p>
            <w:pPr>
              <w:spacing w:after="0"/>
              <w:rPr>
                <w:sz w:val="9"/>
                <w:szCs w:val="9"/>
                <w:color w:val="auto"/>
              </w:rPr>
            </w:pPr>
          </w:p>
        </w:tc>
        <w:tc>
          <w:tcPr>
            <w:tcW w:w="120" w:type="dxa"/>
            <w:vAlign w:val="bottom"/>
            <w:shd w:val="clear" w:color="auto" w:fill="E6EEFF"/>
          </w:tcPr>
          <w:p>
            <w:pPr>
              <w:spacing w:after="0"/>
              <w:rPr>
                <w:sz w:val="9"/>
                <w:szCs w:val="9"/>
                <w:color w:val="auto"/>
              </w:rPr>
            </w:pPr>
          </w:p>
        </w:tc>
        <w:tc>
          <w:tcPr>
            <w:tcW w:w="1320" w:type="dxa"/>
            <w:vAlign w:val="bottom"/>
            <w:shd w:val="clear" w:color="auto" w:fill="E6EEFF"/>
          </w:tcPr>
          <w:p>
            <w:pPr>
              <w:spacing w:after="0"/>
              <w:rPr>
                <w:sz w:val="9"/>
                <w:szCs w:val="9"/>
                <w:color w:val="auto"/>
              </w:rPr>
            </w:pPr>
          </w:p>
        </w:tc>
        <w:tc>
          <w:tcPr>
            <w:tcW w:w="100" w:type="dxa"/>
            <w:vAlign w:val="bottom"/>
            <w:shd w:val="clear" w:color="auto" w:fill="E6EEFF"/>
          </w:tcPr>
          <w:p>
            <w:pPr>
              <w:spacing w:after="0"/>
              <w:rPr>
                <w:sz w:val="9"/>
                <w:szCs w:val="9"/>
                <w:color w:val="auto"/>
              </w:rPr>
            </w:pPr>
          </w:p>
        </w:tc>
        <w:tc>
          <w:tcPr>
            <w:tcW w:w="260" w:type="dxa"/>
            <w:vAlign w:val="bottom"/>
            <w:shd w:val="clear" w:color="auto" w:fill="E6EEFF"/>
          </w:tcPr>
          <w:p>
            <w:pPr>
              <w:spacing w:after="0"/>
              <w:rPr>
                <w:sz w:val="9"/>
                <w:szCs w:val="9"/>
                <w:color w:val="auto"/>
              </w:rPr>
            </w:pPr>
          </w:p>
        </w:tc>
        <w:tc>
          <w:tcPr>
            <w:tcW w:w="1200" w:type="dxa"/>
            <w:vAlign w:val="bottom"/>
            <w:shd w:val="clear" w:color="auto" w:fill="E6EEFF"/>
          </w:tcPr>
          <w:p>
            <w:pPr>
              <w:spacing w:after="0"/>
              <w:rPr>
                <w:sz w:val="9"/>
                <w:szCs w:val="9"/>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line="160" w:lineRule="exact"/>
              <w:rPr>
                <w:sz w:val="20"/>
                <w:szCs w:val="20"/>
                <w:color w:val="auto"/>
              </w:rPr>
            </w:pPr>
            <w:r>
              <w:rPr>
                <w:rFonts w:ascii="Calibri" w:cs="Calibri" w:eastAsia="Calibri" w:hAnsi="Calibri"/>
                <w:sz w:val="17"/>
                <w:szCs w:val="17"/>
                <w:b w:val="1"/>
                <w:bCs w:val="1"/>
                <w:color w:val="1C4787"/>
                <w:w w:val="98"/>
              </w:rPr>
              <w:t>Gross Unrealized</w:t>
            </w:r>
          </w:p>
        </w:tc>
        <w:tc>
          <w:tcPr>
            <w:tcW w:w="120" w:type="dxa"/>
            <w:vAlign w:val="bottom"/>
          </w:tcPr>
          <w:p>
            <w:pPr>
              <w:spacing w:after="0"/>
              <w:rPr>
                <w:sz w:val="13"/>
                <w:szCs w:val="13"/>
                <w:color w:val="auto"/>
              </w:rPr>
            </w:pPr>
          </w:p>
        </w:tc>
        <w:tc>
          <w:tcPr>
            <w:tcW w:w="1420" w:type="dxa"/>
            <w:vAlign w:val="bottom"/>
            <w:gridSpan w:val="2"/>
          </w:tcPr>
          <w:p>
            <w:pPr>
              <w:jc w:val="center"/>
              <w:ind w:right="220"/>
              <w:spacing w:after="0" w:line="160" w:lineRule="exact"/>
              <w:rPr>
                <w:sz w:val="20"/>
                <w:szCs w:val="20"/>
                <w:color w:val="auto"/>
              </w:rPr>
            </w:pPr>
            <w:r>
              <w:rPr>
                <w:rFonts w:ascii="Calibri" w:cs="Calibri" w:eastAsia="Calibri" w:hAnsi="Calibri"/>
                <w:sz w:val="17"/>
                <w:szCs w:val="17"/>
                <w:b w:val="1"/>
                <w:bCs w:val="1"/>
                <w:color w:val="1C4787"/>
                <w:w w:val="97"/>
              </w:rPr>
              <w:t>Gross Unrealized</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8"/>
        </w:trPr>
        <w:tc>
          <w:tcPr>
            <w:tcW w:w="3580" w:type="dxa"/>
            <w:vAlign w:val="bottom"/>
            <w:gridSpan w:val="2"/>
          </w:tcPr>
          <w:p>
            <w:pPr>
              <w:ind w:left="20"/>
              <w:spacing w:after="0"/>
              <w:rPr>
                <w:sz w:val="20"/>
                <w:szCs w:val="20"/>
                <w:color w:val="auto"/>
              </w:rPr>
            </w:pPr>
            <w:r>
              <w:rPr>
                <w:rFonts w:ascii="Calibri" w:cs="Calibri" w:eastAsia="Calibri" w:hAnsi="Calibri"/>
                <w:sz w:val="17"/>
                <w:szCs w:val="17"/>
                <w:b w:val="1"/>
                <w:bCs w:val="1"/>
                <w:color w:val="1C4787"/>
              </w:rPr>
              <w:t>December 31, 2022</w:t>
            </w:r>
          </w:p>
        </w:tc>
        <w:tc>
          <w:tcPr>
            <w:tcW w:w="10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Calibri" w:cs="Calibri" w:eastAsia="Calibri" w:hAnsi="Calibri"/>
                <w:sz w:val="17"/>
                <w:szCs w:val="17"/>
                <w:b w:val="1"/>
                <w:bCs w:val="1"/>
                <w:color w:val="1C4787"/>
              </w:rPr>
              <w:t>Principal Amount</w:t>
            </w: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Calibri" w:cs="Calibri" w:eastAsia="Calibri" w:hAnsi="Calibri"/>
                <w:sz w:val="17"/>
                <w:szCs w:val="17"/>
                <w:b w:val="1"/>
                <w:bCs w:val="1"/>
                <w:color w:val="1C4787"/>
              </w:rPr>
              <w:t>Amortzed Cost</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line="205" w:lineRule="exact"/>
              <w:rPr>
                <w:sz w:val="20"/>
                <w:szCs w:val="20"/>
                <w:color w:val="auto"/>
              </w:rPr>
            </w:pPr>
            <w:r>
              <w:rPr>
                <w:rFonts w:ascii="Calibri" w:cs="Calibri" w:eastAsia="Calibri" w:hAnsi="Calibri"/>
                <w:sz w:val="17"/>
                <w:szCs w:val="17"/>
                <w:b w:val="1"/>
                <w:bCs w:val="1"/>
                <w:color w:val="1C4787"/>
              </w:rPr>
              <w:t>Loss</w:t>
            </w:r>
          </w:p>
        </w:tc>
        <w:tc>
          <w:tcPr>
            <w:tcW w:w="120" w:type="dxa"/>
            <w:vAlign w:val="bottom"/>
          </w:tcPr>
          <w:p>
            <w:pPr>
              <w:spacing w:after="0"/>
              <w:rPr>
                <w:sz w:val="18"/>
                <w:szCs w:val="18"/>
                <w:color w:val="auto"/>
              </w:rPr>
            </w:pPr>
          </w:p>
        </w:tc>
        <w:tc>
          <w:tcPr>
            <w:tcW w:w="1420" w:type="dxa"/>
            <w:vAlign w:val="bottom"/>
            <w:gridSpan w:val="2"/>
          </w:tcPr>
          <w:p>
            <w:pPr>
              <w:jc w:val="center"/>
              <w:ind w:right="220"/>
              <w:spacing w:after="0" w:line="205" w:lineRule="exact"/>
              <w:rPr>
                <w:sz w:val="20"/>
                <w:szCs w:val="20"/>
                <w:color w:val="auto"/>
              </w:rPr>
            </w:pPr>
            <w:r>
              <w:rPr>
                <w:rFonts w:ascii="Calibri" w:cs="Calibri" w:eastAsia="Calibri" w:hAnsi="Calibri"/>
                <w:sz w:val="17"/>
                <w:szCs w:val="17"/>
                <w:b w:val="1"/>
                <w:bCs w:val="1"/>
                <w:color w:val="1C4787"/>
                <w:w w:val="98"/>
              </w:rPr>
              <w:t>Gain</w:t>
            </w:r>
          </w:p>
        </w:tc>
        <w:tc>
          <w:tcPr>
            <w:tcW w:w="260" w:type="dxa"/>
            <w:vAlign w:val="bottom"/>
          </w:tcPr>
          <w:p>
            <w:pPr>
              <w:spacing w:after="0"/>
              <w:rPr>
                <w:sz w:val="18"/>
                <w:szCs w:val="18"/>
                <w:color w:val="auto"/>
              </w:rPr>
            </w:pPr>
          </w:p>
        </w:tc>
        <w:tc>
          <w:tcPr>
            <w:tcW w:w="1200" w:type="dxa"/>
            <w:vAlign w:val="bottom"/>
          </w:tcPr>
          <w:p>
            <w:pPr>
              <w:jc w:val="right"/>
              <w:ind w:right="294"/>
              <w:spacing w:after="0"/>
              <w:rPr>
                <w:sz w:val="20"/>
                <w:szCs w:val="20"/>
                <w:color w:val="auto"/>
              </w:rPr>
            </w:pPr>
            <w:r>
              <w:rPr>
                <w:rFonts w:ascii="Calibri" w:cs="Calibri" w:eastAsia="Calibri" w:hAnsi="Calibri"/>
                <w:sz w:val="17"/>
                <w:szCs w:val="17"/>
                <w:b w:val="1"/>
                <w:bCs w:val="1"/>
                <w:color w:val="1C4787"/>
              </w:rPr>
              <w:t>Fair Value</w:t>
            </w:r>
          </w:p>
        </w:tc>
      </w:tr>
      <w:tr>
        <w:trPr>
          <w:trHeight w:val="22"/>
        </w:trPr>
        <w:tc>
          <w:tcPr>
            <w:tcW w:w="3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2"/>
        </w:trPr>
        <w:tc>
          <w:tcPr>
            <w:tcW w:w="3460" w:type="dxa"/>
            <w:vAlign w:val="bottom"/>
            <w:shd w:val="clear" w:color="auto" w:fill="E6EEFF"/>
          </w:tcPr>
          <w:p>
            <w:pPr>
              <w:ind w:left="20"/>
              <w:spacing w:after="0" w:line="205" w:lineRule="exact"/>
              <w:rPr>
                <w:sz w:val="20"/>
                <w:szCs w:val="20"/>
                <w:color w:val="auto"/>
              </w:rPr>
            </w:pPr>
            <w:r>
              <w:rPr>
                <w:rFonts w:ascii="Calibri" w:cs="Calibri" w:eastAsia="Calibri" w:hAnsi="Calibri"/>
                <w:sz w:val="17"/>
                <w:szCs w:val="17"/>
                <w:b w:val="1"/>
                <w:bCs w:val="1"/>
                <w:color w:val="1C4787"/>
              </w:rPr>
              <w:t>Agency Securites:</w:t>
            </w:r>
          </w:p>
        </w:tc>
        <w:tc>
          <w:tcPr>
            <w:tcW w:w="120" w:type="dxa"/>
            <w:vAlign w:val="bottom"/>
            <w:shd w:val="clear" w:color="auto" w:fill="E6EEFF"/>
          </w:tcPr>
          <w:p>
            <w:pPr>
              <w:spacing w:after="0"/>
              <w:rPr>
                <w:sz w:val="18"/>
                <w:szCs w:val="18"/>
                <w:color w:val="auto"/>
              </w:rPr>
            </w:pPr>
          </w:p>
        </w:tc>
        <w:tc>
          <w:tcPr>
            <w:tcW w:w="100" w:type="dxa"/>
            <w:vAlign w:val="bottom"/>
            <w:shd w:val="clear" w:color="auto" w:fill="E6EEFF"/>
          </w:tcPr>
          <w:p>
            <w:pPr>
              <w:spacing w:after="0"/>
              <w:rPr>
                <w:sz w:val="18"/>
                <w:szCs w:val="18"/>
                <w:color w:val="auto"/>
              </w:rPr>
            </w:pPr>
          </w:p>
        </w:tc>
        <w:tc>
          <w:tcPr>
            <w:tcW w:w="1340" w:type="dxa"/>
            <w:vAlign w:val="bottom"/>
            <w:shd w:val="clear" w:color="auto" w:fill="E6EEFF"/>
          </w:tcPr>
          <w:p>
            <w:pPr>
              <w:spacing w:after="0"/>
              <w:rPr>
                <w:sz w:val="18"/>
                <w:szCs w:val="18"/>
                <w:color w:val="auto"/>
              </w:rPr>
            </w:pPr>
          </w:p>
        </w:tc>
        <w:tc>
          <w:tcPr>
            <w:tcW w:w="100" w:type="dxa"/>
            <w:vAlign w:val="bottom"/>
            <w:shd w:val="clear" w:color="auto" w:fill="E6EEFF"/>
          </w:tcPr>
          <w:p>
            <w:pPr>
              <w:spacing w:after="0"/>
              <w:rPr>
                <w:sz w:val="18"/>
                <w:szCs w:val="18"/>
                <w:color w:val="auto"/>
              </w:rPr>
            </w:pPr>
          </w:p>
        </w:tc>
        <w:tc>
          <w:tcPr>
            <w:tcW w:w="160" w:type="dxa"/>
            <w:vAlign w:val="bottom"/>
            <w:shd w:val="clear" w:color="auto" w:fill="E6EEFF"/>
          </w:tcPr>
          <w:p>
            <w:pPr>
              <w:spacing w:after="0"/>
              <w:rPr>
                <w:sz w:val="18"/>
                <w:szCs w:val="18"/>
                <w:color w:val="auto"/>
              </w:rPr>
            </w:pPr>
          </w:p>
        </w:tc>
        <w:tc>
          <w:tcPr>
            <w:tcW w:w="128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130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1320" w:type="dxa"/>
            <w:vAlign w:val="bottom"/>
            <w:shd w:val="clear" w:color="auto" w:fill="E6EEFF"/>
          </w:tcPr>
          <w:p>
            <w:pPr>
              <w:spacing w:after="0"/>
              <w:rPr>
                <w:sz w:val="18"/>
                <w:szCs w:val="18"/>
                <w:color w:val="auto"/>
              </w:rPr>
            </w:pPr>
          </w:p>
        </w:tc>
        <w:tc>
          <w:tcPr>
            <w:tcW w:w="100" w:type="dxa"/>
            <w:vAlign w:val="bottom"/>
            <w:shd w:val="clear" w:color="auto" w:fill="E6EEFF"/>
          </w:tcPr>
          <w:p>
            <w:pPr>
              <w:spacing w:after="0"/>
              <w:rPr>
                <w:sz w:val="18"/>
                <w:szCs w:val="18"/>
                <w:color w:val="auto"/>
              </w:rPr>
            </w:pPr>
          </w:p>
        </w:tc>
        <w:tc>
          <w:tcPr>
            <w:tcW w:w="260" w:type="dxa"/>
            <w:vAlign w:val="bottom"/>
            <w:shd w:val="clear" w:color="auto" w:fill="E6EEFF"/>
          </w:tcPr>
          <w:p>
            <w:pPr>
              <w:spacing w:after="0"/>
              <w:rPr>
                <w:sz w:val="18"/>
                <w:szCs w:val="18"/>
                <w:color w:val="auto"/>
              </w:rPr>
            </w:pPr>
          </w:p>
        </w:tc>
        <w:tc>
          <w:tcPr>
            <w:tcW w:w="1200" w:type="dxa"/>
            <w:vAlign w:val="bottom"/>
            <w:shd w:val="clear" w:color="auto" w:fill="E6EEFF"/>
          </w:tcPr>
          <w:p>
            <w:pPr>
              <w:spacing w:after="0"/>
              <w:rPr>
                <w:sz w:val="18"/>
                <w:szCs w:val="18"/>
                <w:color w:val="auto"/>
              </w:rPr>
            </w:pPr>
          </w:p>
        </w:tc>
      </w:tr>
      <w:tr>
        <w:trPr>
          <w:trHeight w:val="212"/>
        </w:trPr>
        <w:tc>
          <w:tcPr>
            <w:tcW w:w="3580" w:type="dxa"/>
            <w:vAlign w:val="bottom"/>
            <w:gridSpan w:val="2"/>
          </w:tcPr>
          <w:p>
            <w:pPr>
              <w:ind w:left="120"/>
              <w:spacing w:after="0" w:line="205" w:lineRule="exact"/>
              <w:rPr>
                <w:sz w:val="20"/>
                <w:szCs w:val="20"/>
                <w:color w:val="auto"/>
              </w:rPr>
            </w:pPr>
            <w:r>
              <w:rPr>
                <w:rFonts w:ascii="Calibri" w:cs="Calibri" w:eastAsia="Calibri" w:hAnsi="Calibri"/>
                <w:sz w:val="17"/>
                <w:szCs w:val="17"/>
                <w:color w:val="auto"/>
              </w:rPr>
              <w:t>Available for sale securites</w:t>
            </w:r>
          </w:p>
        </w:tc>
        <w:tc>
          <w:tcPr>
            <w:tcW w:w="10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40" w:type="dxa"/>
            <w:vAlign w:val="bottom"/>
          </w:tcPr>
          <w:p>
            <w:pPr>
              <w:jc w:val="right"/>
              <w:spacing w:after="0" w:line="205" w:lineRule="exact"/>
              <w:rPr>
                <w:sz w:val="20"/>
                <w:szCs w:val="20"/>
                <w:color w:val="auto"/>
              </w:rPr>
            </w:pPr>
            <w:r>
              <w:rPr>
                <w:rFonts w:ascii="Calibri" w:cs="Calibri" w:eastAsia="Calibri" w:hAnsi="Calibri"/>
                <w:sz w:val="17"/>
                <w:szCs w:val="17"/>
                <w:color w:val="auto"/>
              </w:rPr>
              <w:t>191,870</w:t>
            </w:r>
          </w:p>
        </w:tc>
        <w:tc>
          <w:tcPr>
            <w:tcW w:w="100" w:type="dxa"/>
            <w:vAlign w:val="bottom"/>
          </w:tcPr>
          <w:p>
            <w:pPr>
              <w:spacing w:after="0"/>
              <w:rPr>
                <w:sz w:val="18"/>
                <w:szCs w:val="18"/>
                <w:color w:val="auto"/>
              </w:rPr>
            </w:pP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1280" w:type="dxa"/>
            <w:vAlign w:val="bottom"/>
          </w:tcPr>
          <w:p>
            <w:pPr>
              <w:jc w:val="right"/>
              <w:spacing w:after="0" w:line="205" w:lineRule="exact"/>
              <w:rPr>
                <w:sz w:val="20"/>
                <w:szCs w:val="20"/>
                <w:color w:val="auto"/>
              </w:rPr>
            </w:pPr>
            <w:r>
              <w:rPr>
                <w:rFonts w:ascii="Calibri" w:cs="Calibri" w:eastAsia="Calibri" w:hAnsi="Calibri"/>
                <w:sz w:val="17"/>
                <w:szCs w:val="17"/>
                <w:color w:val="auto"/>
              </w:rPr>
              <w:t>199,472</w:t>
            </w:r>
          </w:p>
        </w:tc>
        <w:tc>
          <w:tcPr>
            <w:tcW w:w="120" w:type="dxa"/>
            <w:vAlign w:val="bottom"/>
          </w:tcPr>
          <w:p>
            <w:pPr>
              <w:spacing w:after="0"/>
              <w:rPr>
                <w:sz w:val="18"/>
                <w:szCs w:val="18"/>
                <w:color w:val="auto"/>
              </w:rPr>
            </w:pP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00" w:type="dxa"/>
            <w:vAlign w:val="bottom"/>
          </w:tcPr>
          <w:p>
            <w:pPr>
              <w:jc w:val="right"/>
              <w:spacing w:after="0" w:line="205" w:lineRule="exact"/>
              <w:rPr>
                <w:sz w:val="20"/>
                <w:szCs w:val="20"/>
                <w:color w:val="auto"/>
              </w:rPr>
            </w:pPr>
            <w:r>
              <w:rPr>
                <w:rFonts w:ascii="Calibri" w:cs="Calibri" w:eastAsia="Calibri" w:hAnsi="Calibri"/>
                <w:sz w:val="17"/>
                <w:szCs w:val="17"/>
                <w:color w:val="auto"/>
              </w:rPr>
              <w:t>(11,527)</w:t>
            </w:r>
          </w:p>
        </w:tc>
        <w:tc>
          <w:tcPr>
            <w:tcW w:w="120" w:type="dxa"/>
            <w:vAlign w:val="bottom"/>
          </w:tcPr>
          <w:p>
            <w:pPr>
              <w:spacing w:after="0"/>
              <w:rPr>
                <w:sz w:val="18"/>
                <w:szCs w:val="18"/>
                <w:color w:val="auto"/>
              </w:rPr>
            </w:pP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260" w:type="dxa"/>
            <w:vAlign w:val="bottom"/>
          </w:tcPr>
          <w:p>
            <w:pPr>
              <w:jc w:val="right"/>
              <w:ind w:right="54"/>
              <w:spacing w:after="0" w:line="205" w:lineRule="exact"/>
              <w:rPr>
                <w:sz w:val="20"/>
                <w:szCs w:val="20"/>
                <w:color w:val="auto"/>
              </w:rPr>
            </w:pPr>
            <w:r>
              <w:rPr>
                <w:rFonts w:ascii="Calibri" w:cs="Calibri" w:eastAsia="Calibri" w:hAnsi="Calibri"/>
                <w:sz w:val="17"/>
                <w:szCs w:val="17"/>
                <w:color w:val="auto"/>
              </w:rPr>
              <w:t>$</w:t>
            </w:r>
          </w:p>
        </w:tc>
        <w:tc>
          <w:tcPr>
            <w:tcW w:w="1200" w:type="dxa"/>
            <w:vAlign w:val="bottom"/>
          </w:tcPr>
          <w:p>
            <w:pPr>
              <w:jc w:val="right"/>
              <w:spacing w:after="0" w:line="205" w:lineRule="exact"/>
              <w:rPr>
                <w:sz w:val="20"/>
                <w:szCs w:val="20"/>
                <w:color w:val="auto"/>
              </w:rPr>
            </w:pPr>
            <w:r>
              <w:rPr>
                <w:rFonts w:ascii="Calibri" w:cs="Calibri" w:eastAsia="Calibri" w:hAnsi="Calibri"/>
                <w:sz w:val="17"/>
                <w:szCs w:val="17"/>
                <w:color w:val="auto"/>
              </w:rPr>
              <w:t>187,945</w:t>
            </w:r>
          </w:p>
        </w:tc>
      </w:tr>
      <w:tr>
        <w:trPr>
          <w:trHeight w:val="219"/>
        </w:trPr>
        <w:tc>
          <w:tcPr>
            <w:tcW w:w="3580" w:type="dxa"/>
            <w:vAlign w:val="bottom"/>
            <w:gridSpan w:val="2"/>
            <w:shd w:val="clear" w:color="auto" w:fill="E6EEFF"/>
          </w:tcPr>
          <w:p>
            <w:pPr>
              <w:ind w:left="120"/>
              <w:spacing w:after="0"/>
              <w:rPr>
                <w:sz w:val="20"/>
                <w:szCs w:val="20"/>
                <w:color w:val="auto"/>
              </w:rPr>
            </w:pPr>
            <w:r>
              <w:rPr>
                <w:rFonts w:ascii="Calibri" w:cs="Calibri" w:eastAsia="Calibri" w:hAnsi="Calibri"/>
                <w:sz w:val="17"/>
                <w:szCs w:val="17"/>
                <w:color w:val="auto"/>
              </w:rPr>
              <w:t>Trading securites</w:t>
            </w:r>
          </w:p>
        </w:tc>
        <w:tc>
          <w:tcPr>
            <w:tcW w:w="100" w:type="dxa"/>
            <w:vAlign w:val="bottom"/>
            <w:tcBorders>
              <w:bottom w:val="single" w:sz="8" w:color="auto"/>
            </w:tcBorders>
            <w:shd w:val="clear" w:color="auto" w:fill="E6EEFF"/>
          </w:tcPr>
          <w:p>
            <w:pPr>
              <w:spacing w:after="0"/>
              <w:rPr>
                <w:sz w:val="19"/>
                <w:szCs w:val="19"/>
                <w:color w:val="auto"/>
              </w:rPr>
            </w:pPr>
          </w:p>
        </w:tc>
        <w:tc>
          <w:tcPr>
            <w:tcW w:w="13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8,519,397</w:t>
            </w:r>
          </w:p>
        </w:tc>
        <w:tc>
          <w:tcPr>
            <w:tcW w:w="100" w:type="dxa"/>
            <w:vAlign w:val="bottom"/>
            <w:shd w:val="clear" w:color="auto" w:fill="E6EEFF"/>
          </w:tcPr>
          <w:p>
            <w:pPr>
              <w:spacing w:after="0"/>
              <w:rPr>
                <w:sz w:val="19"/>
                <w:szCs w:val="19"/>
                <w:color w:val="auto"/>
              </w:rPr>
            </w:pPr>
          </w:p>
        </w:tc>
        <w:tc>
          <w:tcPr>
            <w:tcW w:w="160" w:type="dxa"/>
            <w:vAlign w:val="bottom"/>
            <w:tcBorders>
              <w:bottom w:val="single" w:sz="8" w:color="auto"/>
            </w:tcBorders>
            <w:shd w:val="clear" w:color="auto" w:fill="E6EEFF"/>
          </w:tcPr>
          <w:p>
            <w:pPr>
              <w:spacing w:after="0"/>
              <w:rPr>
                <w:sz w:val="19"/>
                <w:szCs w:val="19"/>
                <w:color w:val="auto"/>
              </w:rPr>
            </w:pPr>
          </w:p>
        </w:tc>
        <w:tc>
          <w:tcPr>
            <w:tcW w:w="128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8,553,485</w:t>
            </w:r>
          </w:p>
        </w:tc>
        <w:tc>
          <w:tcPr>
            <w:tcW w:w="120" w:type="dxa"/>
            <w:vAlign w:val="bottom"/>
            <w:shd w:val="clear" w:color="auto" w:fill="E6EEFF"/>
          </w:tcPr>
          <w:p>
            <w:pPr>
              <w:spacing w:after="0"/>
              <w:rPr>
                <w:sz w:val="19"/>
                <w:szCs w:val="19"/>
                <w:color w:val="auto"/>
              </w:rPr>
            </w:pPr>
          </w:p>
        </w:tc>
        <w:tc>
          <w:tcPr>
            <w:tcW w:w="120" w:type="dxa"/>
            <w:vAlign w:val="bottom"/>
            <w:tcBorders>
              <w:bottom w:val="single" w:sz="8" w:color="auto"/>
            </w:tcBorders>
            <w:shd w:val="clear" w:color="auto" w:fill="E6EEFF"/>
          </w:tcPr>
          <w:p>
            <w:pPr>
              <w:spacing w:after="0"/>
              <w:rPr>
                <w:sz w:val="19"/>
                <w:szCs w:val="19"/>
                <w:color w:val="auto"/>
              </w:rPr>
            </w:pPr>
          </w:p>
        </w:tc>
        <w:tc>
          <w:tcPr>
            <w:tcW w:w="130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(543,207)</w:t>
            </w:r>
          </w:p>
        </w:tc>
        <w:tc>
          <w:tcPr>
            <w:tcW w:w="120" w:type="dxa"/>
            <w:vAlign w:val="bottom"/>
            <w:shd w:val="clear" w:color="auto" w:fill="E6EEFF"/>
          </w:tcPr>
          <w:p>
            <w:pPr>
              <w:spacing w:after="0"/>
              <w:rPr>
                <w:sz w:val="19"/>
                <w:szCs w:val="19"/>
                <w:color w:val="auto"/>
              </w:rPr>
            </w:pPr>
          </w:p>
        </w:tc>
        <w:tc>
          <w:tcPr>
            <w:tcW w:w="120" w:type="dxa"/>
            <w:vAlign w:val="bottom"/>
            <w:tcBorders>
              <w:bottom w:val="single" w:sz="8" w:color="auto"/>
            </w:tcBorders>
            <w:shd w:val="clear" w:color="auto" w:fill="E6EEFF"/>
          </w:tcPr>
          <w:p>
            <w:pPr>
              <w:spacing w:after="0"/>
              <w:rPr>
                <w:sz w:val="19"/>
                <w:szCs w:val="19"/>
                <w:color w:val="auto"/>
              </w:rPr>
            </w:pPr>
          </w:p>
        </w:tc>
        <w:tc>
          <w:tcPr>
            <w:tcW w:w="132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368</w:t>
            </w:r>
          </w:p>
        </w:tc>
        <w:tc>
          <w:tcPr>
            <w:tcW w:w="100" w:type="dxa"/>
            <w:vAlign w:val="bottom"/>
            <w:shd w:val="clear" w:color="auto" w:fill="E6EEFF"/>
          </w:tcPr>
          <w:p>
            <w:pPr>
              <w:spacing w:after="0"/>
              <w:rPr>
                <w:sz w:val="19"/>
                <w:szCs w:val="19"/>
                <w:color w:val="auto"/>
              </w:rPr>
            </w:pPr>
          </w:p>
        </w:tc>
        <w:tc>
          <w:tcPr>
            <w:tcW w:w="260" w:type="dxa"/>
            <w:vAlign w:val="bottom"/>
            <w:tcBorders>
              <w:bottom w:val="single" w:sz="8" w:color="auto"/>
            </w:tcBorders>
            <w:shd w:val="clear" w:color="auto" w:fill="E6EEFF"/>
          </w:tcPr>
          <w:p>
            <w:pPr>
              <w:spacing w:after="0"/>
              <w:rPr>
                <w:sz w:val="19"/>
                <w:szCs w:val="19"/>
                <w:color w:val="auto"/>
              </w:rPr>
            </w:pPr>
          </w:p>
        </w:tc>
        <w:tc>
          <w:tcPr>
            <w:tcW w:w="120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8,010,646</w:t>
            </w:r>
          </w:p>
        </w:tc>
      </w:tr>
      <w:tr>
        <w:trPr>
          <w:trHeight w:val="219"/>
        </w:trPr>
        <w:tc>
          <w:tcPr>
            <w:tcW w:w="3580" w:type="dxa"/>
            <w:vAlign w:val="bottom"/>
            <w:gridSpan w:val="2"/>
          </w:tcPr>
          <w:p>
            <w:pPr>
              <w:ind w:left="20"/>
              <w:spacing w:after="0"/>
              <w:rPr>
                <w:sz w:val="20"/>
                <w:szCs w:val="20"/>
                <w:color w:val="auto"/>
              </w:rPr>
            </w:pPr>
            <w:r>
              <w:rPr>
                <w:rFonts w:ascii="Calibri" w:cs="Calibri" w:eastAsia="Calibri" w:hAnsi="Calibri"/>
                <w:sz w:val="17"/>
                <w:szCs w:val="17"/>
                <w:b w:val="1"/>
                <w:bCs w:val="1"/>
                <w:color w:val="1C4787"/>
              </w:rPr>
              <w:t>Total Agency Securites</w:t>
            </w:r>
          </w:p>
        </w:tc>
        <w:tc>
          <w:tcPr>
            <w:tcW w:w="1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8,711,267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w:t>
            </w:r>
          </w:p>
        </w:tc>
        <w:tc>
          <w:tcPr>
            <w:tcW w:w="12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8,752,957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(554,734)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4"/>
              <w:spacing w:after="0" w:line="205" w:lineRule="exact"/>
              <w:rPr>
                <w:sz w:val="20"/>
                <w:szCs w:val="20"/>
                <w:color w:val="auto"/>
              </w:rPr>
            </w:pPr>
            <w:r>
              <w:rPr>
                <w:rFonts w:ascii="Calibri" w:cs="Calibri" w:eastAsia="Calibri" w:hAnsi="Calibri"/>
                <w:sz w:val="17"/>
                <w:szCs w:val="17"/>
                <w:color w:val="auto"/>
              </w:rPr>
              <w:t>$</w:t>
            </w:r>
          </w:p>
        </w:tc>
        <w:tc>
          <w:tcPr>
            <w:tcW w:w="12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8,198,591</w:t>
            </w: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The following tables summarize the weighted average lives of our investments in securites at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90" w:name="page91"/>
    <w:bookmarkEnd w:id="90"/>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tbl>
      <w:tblPr>
        <w:tblLayout w:type="fixed"/>
        <w:tblInd w:w="20" w:type="dxa"/>
        <w:tblCellMar>
          <w:top w:w="0" w:type="dxa"/>
          <w:left w:w="0" w:type="dxa"/>
          <w:bottom w:w="0" w:type="dxa"/>
          <w:right w:w="0" w:type="dxa"/>
        </w:tblCellMar>
      </w:tblPr>
      <w:tr>
        <w:trPr>
          <w:trHeight w:val="206"/>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0"/>
              <w:spacing w:after="0" w:line="206" w:lineRule="exact"/>
              <w:rPr>
                <w:sz w:val="20"/>
                <w:szCs w:val="20"/>
                <w:color w:val="auto"/>
              </w:rPr>
            </w:pPr>
            <w:r>
              <w:rPr>
                <w:rFonts w:ascii="Calibri" w:cs="Calibri" w:eastAsia="Calibri" w:hAnsi="Calibri"/>
                <w:sz w:val="17"/>
                <w:szCs w:val="17"/>
                <w:color w:val="1C4787"/>
              </w:rPr>
              <w:t>89</w:t>
            </w:r>
          </w:p>
        </w:tc>
        <w:tc>
          <w:tcPr>
            <w:tcW w:w="0" w:type="dxa"/>
            <w:vAlign w:val="bottom"/>
          </w:tcPr>
          <w:p>
            <w:pPr>
              <w:spacing w:after="0"/>
              <w:rPr>
                <w:sz w:val="1"/>
                <w:szCs w:val="1"/>
                <w:color w:val="auto"/>
              </w:rPr>
            </w:pPr>
          </w:p>
        </w:tc>
      </w:tr>
      <w:tr>
        <w:trPr>
          <w:trHeight w:val="564"/>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gridSpan w:val="3"/>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100" w:type="dxa"/>
            <w:vAlign w:val="bottom"/>
            <w:tcBorders>
              <w:bottom w:val="single" w:sz="8" w:color="auto"/>
            </w:tcBorders>
            <w:gridSpan w:val="2"/>
            <w:shd w:val="clear" w:color="auto" w:fill="E6EEFF"/>
          </w:tcPr>
          <w:p>
            <w:pPr>
              <w:ind w:left="3260"/>
              <w:spacing w:after="0" w:line="205" w:lineRule="exact"/>
              <w:rPr>
                <w:sz w:val="20"/>
                <w:szCs w:val="20"/>
                <w:color w:val="auto"/>
              </w:rPr>
            </w:pPr>
            <w:r>
              <w:rPr>
                <w:rFonts w:ascii="Calibri" w:cs="Calibri" w:eastAsia="Calibri" w:hAnsi="Calibri"/>
                <w:sz w:val="17"/>
                <w:szCs w:val="17"/>
                <w:b w:val="1"/>
                <w:bCs w:val="1"/>
                <w:color w:val="1C4787"/>
              </w:rPr>
              <w:t>Weighted Average Life</w:t>
            </w:r>
          </w:p>
        </w:tc>
        <w:tc>
          <w:tcPr>
            <w:tcW w:w="240" w:type="dxa"/>
            <w:vAlign w:val="bottom"/>
            <w:tcBorders>
              <w:bottom w:val="single" w:sz="8" w:color="auto"/>
            </w:tcBorders>
            <w:shd w:val="clear" w:color="auto" w:fill="E6EEFF"/>
          </w:tcPr>
          <w:p>
            <w:pPr>
              <w:spacing w:after="0"/>
              <w:rPr>
                <w:sz w:val="18"/>
                <w:szCs w:val="18"/>
                <w:color w:val="auto"/>
              </w:rPr>
            </w:pPr>
          </w:p>
        </w:tc>
        <w:tc>
          <w:tcPr>
            <w:tcW w:w="1200" w:type="dxa"/>
            <w:vAlign w:val="bottom"/>
            <w:tcBorders>
              <w:bottom w:val="single" w:sz="8" w:color="auto"/>
            </w:tcBorders>
            <w:shd w:val="clear" w:color="auto" w:fill="E6EEFF"/>
          </w:tcPr>
          <w:p>
            <w:pPr>
              <w:spacing w:after="0"/>
              <w:rPr>
                <w:sz w:val="18"/>
                <w:szCs w:val="18"/>
                <w:color w:val="auto"/>
              </w:rPr>
            </w:pPr>
          </w:p>
        </w:tc>
        <w:tc>
          <w:tcPr>
            <w:tcW w:w="100" w:type="dxa"/>
            <w:vAlign w:val="bottom"/>
            <w:tcBorders>
              <w:bottom w:val="single" w:sz="8" w:color="auto"/>
            </w:tcBorders>
            <w:shd w:val="clear" w:color="auto" w:fill="E6EEFF"/>
          </w:tcPr>
          <w:p>
            <w:pPr>
              <w:spacing w:after="0"/>
              <w:rPr>
                <w:sz w:val="18"/>
                <w:szCs w:val="18"/>
                <w:color w:val="auto"/>
              </w:rPr>
            </w:pPr>
          </w:p>
        </w:tc>
        <w:tc>
          <w:tcPr>
            <w:tcW w:w="140" w:type="dxa"/>
            <w:vAlign w:val="bottom"/>
            <w:tcBorders>
              <w:bottom w:val="single" w:sz="8" w:color="auto"/>
            </w:tcBorders>
            <w:shd w:val="clear" w:color="auto" w:fill="E6EEFF"/>
          </w:tcPr>
          <w:p>
            <w:pPr>
              <w:spacing w:after="0"/>
              <w:rPr>
                <w:sz w:val="18"/>
                <w:szCs w:val="18"/>
                <w:color w:val="auto"/>
              </w:rPr>
            </w:pPr>
          </w:p>
        </w:tc>
        <w:tc>
          <w:tcPr>
            <w:tcW w:w="1320" w:type="dxa"/>
            <w:vAlign w:val="bottom"/>
            <w:tcBorders>
              <w:bottom w:val="single" w:sz="8" w:color="auto"/>
            </w:tcBorders>
            <w:shd w:val="clear" w:color="auto" w:fill="E6EEFF"/>
          </w:tcPr>
          <w:p>
            <w:pPr>
              <w:spacing w:after="0"/>
              <w:rPr>
                <w:sz w:val="18"/>
                <w:szCs w:val="18"/>
                <w:color w:val="auto"/>
              </w:rPr>
            </w:pPr>
          </w:p>
        </w:tc>
        <w:tc>
          <w:tcPr>
            <w:tcW w:w="100" w:type="dxa"/>
            <w:vAlign w:val="bottom"/>
            <w:shd w:val="clear" w:color="auto" w:fill="E6EEFF"/>
          </w:tcPr>
          <w:p>
            <w:pPr>
              <w:spacing w:after="0"/>
              <w:rPr>
                <w:sz w:val="18"/>
                <w:szCs w:val="18"/>
                <w:color w:val="auto"/>
              </w:rPr>
            </w:pPr>
          </w:p>
        </w:tc>
        <w:tc>
          <w:tcPr>
            <w:tcW w:w="240" w:type="dxa"/>
            <w:vAlign w:val="bottom"/>
            <w:tcBorders>
              <w:bottom w:val="single" w:sz="8" w:color="auto"/>
            </w:tcBorders>
            <w:shd w:val="clear" w:color="auto" w:fill="E6EEFF"/>
          </w:tcPr>
          <w:p>
            <w:pPr>
              <w:spacing w:after="0"/>
              <w:rPr>
                <w:sz w:val="18"/>
                <w:szCs w:val="18"/>
                <w:color w:val="auto"/>
              </w:rPr>
            </w:pPr>
          </w:p>
        </w:tc>
        <w:tc>
          <w:tcPr>
            <w:tcW w:w="2780" w:type="dxa"/>
            <w:vAlign w:val="bottom"/>
            <w:tcBorders>
              <w:bottom w:val="single" w:sz="8" w:color="auto"/>
            </w:tcBorders>
            <w:gridSpan w:val="4"/>
            <w:shd w:val="clear" w:color="auto" w:fill="E6EEFF"/>
          </w:tcPr>
          <w:p>
            <w:pPr>
              <w:jc w:val="right"/>
              <w:ind w:right="814"/>
              <w:spacing w:after="0" w:line="205" w:lineRule="exact"/>
              <w:rPr>
                <w:sz w:val="20"/>
                <w:szCs w:val="20"/>
                <w:color w:val="auto"/>
              </w:rPr>
            </w:pPr>
            <w:r>
              <w:rPr>
                <w:rFonts w:ascii="Calibri" w:cs="Calibri" w:eastAsia="Calibri" w:hAnsi="Calibri"/>
                <w:sz w:val="17"/>
                <w:szCs w:val="17"/>
                <w:b w:val="1"/>
                <w:bCs w:val="1"/>
                <w:color w:val="1C4787"/>
              </w:rPr>
              <w:t>Trading Securites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74"/>
              <w:spacing w:after="0" w:line="173" w:lineRule="exact"/>
              <w:rPr>
                <w:sz w:val="20"/>
                <w:szCs w:val="20"/>
                <w:color w:val="auto"/>
              </w:rPr>
            </w:pPr>
            <w:r>
              <w:rPr>
                <w:rFonts w:ascii="Calibri" w:cs="Calibri" w:eastAsia="Calibri" w:hAnsi="Calibri"/>
                <w:sz w:val="17"/>
                <w:szCs w:val="17"/>
                <w:b w:val="1"/>
                <w:bCs w:val="1"/>
                <w:color w:val="1C4787"/>
              </w:rPr>
              <w:t>Amortzed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100" w:type="dxa"/>
            <w:vAlign w:val="bottom"/>
            <w:gridSpan w:val="2"/>
          </w:tcPr>
          <w:p>
            <w:pPr>
              <w:ind w:left="2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line="205" w:lineRule="exact"/>
              <w:rPr>
                <w:sz w:val="20"/>
                <w:szCs w:val="20"/>
                <w:color w:val="auto"/>
              </w:rPr>
            </w:pPr>
            <w:r>
              <w:rPr>
                <w:rFonts w:ascii="Calibri" w:cs="Calibri" w:eastAsia="Calibri" w:hAnsi="Calibri"/>
                <w:sz w:val="17"/>
                <w:szCs w:val="17"/>
                <w:b w:val="1"/>
                <w:bCs w:val="1"/>
                <w:color w:val="1C4787"/>
              </w:rPr>
              <w:t>Fair Value</w:t>
            </w:r>
          </w:p>
        </w:tc>
        <w:tc>
          <w:tcPr>
            <w:tcW w:w="140" w:type="dxa"/>
            <w:vAlign w:val="bottom"/>
          </w:tcPr>
          <w:p>
            <w:pPr>
              <w:spacing w:after="0"/>
              <w:rPr>
                <w:sz w:val="17"/>
                <w:szCs w:val="17"/>
                <w:color w:val="auto"/>
              </w:rPr>
            </w:pPr>
          </w:p>
        </w:tc>
        <w:tc>
          <w:tcPr>
            <w:tcW w:w="1340" w:type="dxa"/>
            <w:vAlign w:val="bottom"/>
            <w:gridSpan w:val="2"/>
          </w:tcPr>
          <w:p>
            <w:pPr>
              <w:jc w:val="center"/>
              <w:ind w:right="160"/>
              <w:spacing w:after="0" w:line="205" w:lineRule="exact"/>
              <w:rPr>
                <w:sz w:val="20"/>
                <w:szCs w:val="20"/>
                <w:color w:val="auto"/>
              </w:rPr>
            </w:pPr>
            <w:r>
              <w:rPr>
                <w:rFonts w:ascii="Calibri" w:cs="Calibri" w:eastAsia="Calibri" w:hAnsi="Calibri"/>
                <w:sz w:val="17"/>
                <w:szCs w:val="17"/>
                <w:b w:val="1"/>
                <w:bCs w:val="1"/>
                <w:color w:val="1C4787"/>
                <w:w w:val="97"/>
              </w:rPr>
              <w:t>Cost</w:t>
            </w:r>
          </w:p>
        </w:tc>
        <w:tc>
          <w:tcPr>
            <w:tcW w:w="0" w:type="dxa"/>
            <w:vAlign w:val="bottom"/>
          </w:tcPr>
          <w:p>
            <w:pPr>
              <w:spacing w:after="0"/>
              <w:rPr>
                <w:sz w:val="1"/>
                <w:szCs w:val="1"/>
                <w:color w:val="auto"/>
              </w:rPr>
            </w:pPr>
          </w:p>
        </w:tc>
      </w:tr>
      <w:tr>
        <w:trPr>
          <w:trHeight w:val="22"/>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5100" w:type="dxa"/>
            <w:vAlign w:val="bottom"/>
            <w:tcBorders>
              <w:top w:val="single" w:sz="8" w:color="auto"/>
            </w:tcBorders>
            <w:gridSpan w:val="2"/>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&lt; 1 year</w:t>
            </w:r>
          </w:p>
        </w:tc>
        <w:tc>
          <w:tcPr>
            <w:tcW w:w="240" w:type="dxa"/>
            <w:vAlign w:val="bottom"/>
            <w:tcBorders>
              <w:top w:val="single" w:sz="8" w:color="auto"/>
            </w:tcBorders>
            <w:shd w:val="clear" w:color="auto" w:fill="E6EEFF"/>
          </w:tcPr>
          <w:p>
            <w:pPr>
              <w:spacing w:after="0"/>
              <w:rPr>
                <w:sz w:val="18"/>
                <w:szCs w:val="18"/>
                <w:color w:val="auto"/>
              </w:rPr>
            </w:pPr>
          </w:p>
        </w:tc>
        <w:tc>
          <w:tcPr>
            <w:tcW w:w="1200" w:type="dxa"/>
            <w:vAlign w:val="bottom"/>
            <w:tcBorders>
              <w:top w:val="single" w:sz="8" w:color="auto"/>
            </w:tcBorders>
            <w:shd w:val="clear" w:color="auto" w:fill="E6EEFF"/>
          </w:tcPr>
          <w:p>
            <w:pPr>
              <w:spacing w:after="0"/>
              <w:rPr>
                <w:sz w:val="18"/>
                <w:szCs w:val="18"/>
                <w:color w:val="auto"/>
              </w:rPr>
            </w:pPr>
          </w:p>
        </w:tc>
        <w:tc>
          <w:tcPr>
            <w:tcW w:w="100" w:type="dxa"/>
            <w:vAlign w:val="bottom"/>
            <w:tcBorders>
              <w:top w:val="single" w:sz="8" w:color="auto"/>
            </w:tcBorders>
            <w:shd w:val="clear" w:color="auto" w:fill="E6EEFF"/>
          </w:tcPr>
          <w:p>
            <w:pPr>
              <w:spacing w:after="0"/>
              <w:rPr>
                <w:sz w:val="18"/>
                <w:szCs w:val="18"/>
                <w:color w:val="auto"/>
              </w:rPr>
            </w:pPr>
          </w:p>
        </w:tc>
        <w:tc>
          <w:tcPr>
            <w:tcW w:w="140" w:type="dxa"/>
            <w:vAlign w:val="bottom"/>
            <w:tcBorders>
              <w:top w:val="single" w:sz="8" w:color="auto"/>
            </w:tcBorders>
            <w:shd w:val="clear" w:color="auto" w:fill="E6EEFF"/>
          </w:tcPr>
          <w:p>
            <w:pPr>
              <w:spacing w:after="0"/>
              <w:rPr>
                <w:sz w:val="18"/>
                <w:szCs w:val="18"/>
                <w:color w:val="auto"/>
              </w:rPr>
            </w:pPr>
          </w:p>
        </w:tc>
        <w:tc>
          <w:tcPr>
            <w:tcW w:w="1320" w:type="dxa"/>
            <w:vAlign w:val="bottom"/>
            <w:tcBorders>
              <w:top w:val="single" w:sz="8" w:color="auto"/>
            </w:tcBorders>
            <w:shd w:val="clear" w:color="auto" w:fill="E6EEFF"/>
          </w:tcPr>
          <w:p>
            <w:pPr>
              <w:spacing w:after="0"/>
              <w:rPr>
                <w:sz w:val="18"/>
                <w:szCs w:val="18"/>
                <w:color w:val="auto"/>
              </w:rPr>
            </w:pPr>
          </w:p>
        </w:tc>
        <w:tc>
          <w:tcPr>
            <w:tcW w:w="100" w:type="dxa"/>
            <w:vAlign w:val="bottom"/>
            <w:tcBorders>
              <w:top w:val="single" w:sz="8" w:color="E6EEFF"/>
            </w:tcBorders>
            <w:shd w:val="clear" w:color="auto" w:fill="E6EEFF"/>
          </w:tcPr>
          <w:p>
            <w:pPr>
              <w:spacing w:after="0"/>
              <w:rPr>
                <w:sz w:val="18"/>
                <w:szCs w:val="18"/>
                <w:color w:val="auto"/>
              </w:rPr>
            </w:pPr>
          </w:p>
        </w:tc>
        <w:tc>
          <w:tcPr>
            <w:tcW w:w="240" w:type="dxa"/>
            <w:vAlign w:val="bottom"/>
            <w:tcBorders>
              <w:top w:val="single" w:sz="8" w:color="auto"/>
            </w:tcBorders>
            <w:shd w:val="clear" w:color="auto" w:fill="E6EEFF"/>
          </w:tcPr>
          <w:p>
            <w:pPr>
              <w:jc w:val="right"/>
              <w:ind w:right="54"/>
              <w:spacing w:after="0" w:line="205" w:lineRule="exact"/>
              <w:rPr>
                <w:sz w:val="20"/>
                <w:szCs w:val="20"/>
                <w:color w:val="auto"/>
              </w:rPr>
            </w:pPr>
            <w:r>
              <w:rPr>
                <w:rFonts w:ascii="Calibri" w:cs="Calibri" w:eastAsia="Calibri" w:hAnsi="Calibri"/>
                <w:sz w:val="17"/>
                <w:szCs w:val="17"/>
                <w:color w:val="auto"/>
                <w:w w:val="92"/>
              </w:rPr>
              <w:t>$</w:t>
            </w:r>
          </w:p>
        </w:tc>
        <w:tc>
          <w:tcPr>
            <w:tcW w:w="122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100" w:type="dxa"/>
            <w:vAlign w:val="bottom"/>
            <w:tcBorders>
              <w:top w:val="single" w:sz="8" w:color="E6EEFF"/>
            </w:tcBorders>
            <w:shd w:val="clear" w:color="auto" w:fill="E6EEFF"/>
          </w:tcPr>
          <w:p>
            <w:pPr>
              <w:spacing w:after="0"/>
              <w:rPr>
                <w:sz w:val="18"/>
                <w:szCs w:val="18"/>
                <w:color w:val="auto"/>
              </w:rPr>
            </w:pPr>
          </w:p>
        </w:tc>
        <w:tc>
          <w:tcPr>
            <w:tcW w:w="14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0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 1 year and &lt; 3 years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line="205" w:lineRule="exact"/>
              <w:rPr>
                <w:sz w:val="20"/>
                <w:szCs w:val="20"/>
                <w:color w:val="auto"/>
              </w:rPr>
            </w:pPr>
            <w:r>
              <w:rPr>
                <w:rFonts w:ascii="Calibri" w:cs="Calibri" w:eastAsia="Calibri" w:hAnsi="Calibri"/>
                <w:sz w:val="17"/>
                <w:szCs w:val="17"/>
                <w:color w:val="auto"/>
              </w:rPr>
              <w:t>202,508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line="205" w:lineRule="exact"/>
              <w:rPr>
                <w:sz w:val="20"/>
                <w:szCs w:val="20"/>
                <w:color w:val="auto"/>
              </w:rPr>
            </w:pPr>
            <w:r>
              <w:rPr>
                <w:rFonts w:ascii="Calibri" w:cs="Calibri" w:eastAsia="Calibri" w:hAnsi="Calibri"/>
                <w:sz w:val="17"/>
                <w:szCs w:val="17"/>
                <w:color w:val="auto"/>
              </w:rPr>
              <w:t>195,904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10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 3 years and &lt; 5 years</w:t>
            </w:r>
          </w:p>
        </w:tc>
        <w:tc>
          <w:tcPr>
            <w:tcW w:w="240" w:type="dxa"/>
            <w:vAlign w:val="bottom"/>
            <w:shd w:val="clear" w:color="auto" w:fill="E6EEFF"/>
          </w:tcPr>
          <w:p>
            <w:pPr>
              <w:spacing w:after="0"/>
              <w:rPr>
                <w:sz w:val="19"/>
                <w:szCs w:val="19"/>
                <w:color w:val="auto"/>
              </w:rPr>
            </w:pPr>
          </w:p>
        </w:tc>
        <w:tc>
          <w:tcPr>
            <w:tcW w:w="120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140" w:type="dxa"/>
            <w:vAlign w:val="bottom"/>
            <w:shd w:val="clear" w:color="auto" w:fill="E6EEFF"/>
          </w:tcPr>
          <w:p>
            <w:pPr>
              <w:spacing w:after="0"/>
              <w:rPr>
                <w:sz w:val="19"/>
                <w:szCs w:val="19"/>
                <w:color w:val="auto"/>
              </w:rPr>
            </w:pPr>
          </w:p>
        </w:tc>
        <w:tc>
          <w:tcPr>
            <w:tcW w:w="132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240" w:type="dxa"/>
            <w:vAlign w:val="bottom"/>
            <w:shd w:val="clear" w:color="auto" w:fill="E6EEFF"/>
          </w:tcPr>
          <w:p>
            <w:pPr>
              <w:spacing w:after="0"/>
              <w:rPr>
                <w:sz w:val="19"/>
                <w:szCs w:val="19"/>
                <w:color w:val="auto"/>
              </w:rPr>
            </w:pPr>
          </w:p>
        </w:tc>
        <w:tc>
          <w:tcPr>
            <w:tcW w:w="12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2,757,464</w:t>
            </w:r>
          </w:p>
        </w:tc>
        <w:tc>
          <w:tcPr>
            <w:tcW w:w="100" w:type="dxa"/>
            <w:vAlign w:val="bottom"/>
            <w:shd w:val="clear" w:color="auto" w:fill="E6EEFF"/>
          </w:tcPr>
          <w:p>
            <w:pPr>
              <w:spacing w:after="0"/>
              <w:rPr>
                <w:sz w:val="19"/>
                <w:szCs w:val="19"/>
                <w:color w:val="auto"/>
              </w:rPr>
            </w:pPr>
          </w:p>
        </w:tc>
        <w:tc>
          <w:tcPr>
            <w:tcW w:w="140" w:type="dxa"/>
            <w:vAlign w:val="bottom"/>
            <w:shd w:val="clear" w:color="auto" w:fill="E6EEFF"/>
          </w:tcPr>
          <w:p>
            <w:pPr>
              <w:spacing w:after="0"/>
              <w:rPr>
                <w:sz w:val="19"/>
                <w:szCs w:val="19"/>
                <w:color w:val="auto"/>
              </w:rPr>
            </w:pPr>
          </w:p>
        </w:tc>
        <w:tc>
          <w:tcPr>
            <w:tcW w:w="13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2,747,842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00" w:type="dxa"/>
            <w:vAlign w:val="bottom"/>
            <w:tcBorders>
              <w:bottom w:val="single" w:sz="8" w:color="E6EEFF"/>
            </w:tcBorders>
            <w:gridSpan w:val="2"/>
          </w:tcPr>
          <w:p>
            <w:pPr>
              <w:ind w:left="20"/>
              <w:spacing w:after="0" w:line="205" w:lineRule="exact"/>
              <w:rPr>
                <w:sz w:val="20"/>
                <w:szCs w:val="20"/>
                <w:color w:val="auto"/>
              </w:rPr>
            </w:pPr>
            <w:r>
              <w:rPr>
                <w:rFonts w:ascii="Calibri" w:cs="Calibri" w:eastAsia="Calibri" w:hAnsi="Calibri"/>
                <w:sz w:val="17"/>
                <w:szCs w:val="17"/>
                <w:color w:val="auto"/>
              </w:rPr>
              <w:t>≥ 5 years</w:t>
            </w:r>
          </w:p>
        </w:tc>
        <w:tc>
          <w:tcPr>
            <w:tcW w:w="240" w:type="dxa"/>
            <w:vAlign w:val="bottom"/>
            <w:tcBorders>
              <w:bottom w:val="single" w:sz="8" w:color="E6EEFF"/>
            </w:tcBorders>
          </w:tcPr>
          <w:p>
            <w:pPr>
              <w:spacing w:after="0"/>
              <w:rPr>
                <w:sz w:val="18"/>
                <w:szCs w:val="18"/>
                <w:color w:val="auto"/>
              </w:rPr>
            </w:pPr>
          </w:p>
        </w:tc>
        <w:tc>
          <w:tcPr>
            <w:tcW w:w="1200" w:type="dxa"/>
            <w:vAlign w:val="bottom"/>
            <w:tcBorders>
              <w:bottom w:val="single" w:sz="8" w:color="E6EEFF"/>
            </w:tcBorders>
          </w:tcPr>
          <w:p>
            <w:pPr>
              <w:spacing w:after="0"/>
              <w:rPr>
                <w:sz w:val="18"/>
                <w:szCs w:val="18"/>
                <w:color w:val="auto"/>
              </w:rPr>
            </w:pPr>
          </w:p>
        </w:tc>
        <w:tc>
          <w:tcPr>
            <w:tcW w:w="100" w:type="dxa"/>
            <w:vAlign w:val="bottom"/>
            <w:tcBorders>
              <w:bottom w:val="single" w:sz="8" w:color="E6EEFF"/>
            </w:tcBorders>
          </w:tcPr>
          <w:p>
            <w:pPr>
              <w:spacing w:after="0"/>
              <w:rPr>
                <w:sz w:val="18"/>
                <w:szCs w:val="18"/>
                <w:color w:val="auto"/>
              </w:rPr>
            </w:pPr>
          </w:p>
        </w:tc>
        <w:tc>
          <w:tcPr>
            <w:tcW w:w="140" w:type="dxa"/>
            <w:vAlign w:val="bottom"/>
            <w:tcBorders>
              <w:bottom w:val="single" w:sz="8" w:color="E6EEFF"/>
            </w:tcBorders>
          </w:tcPr>
          <w:p>
            <w:pPr>
              <w:spacing w:after="0"/>
              <w:rPr>
                <w:sz w:val="18"/>
                <w:szCs w:val="18"/>
                <w:color w:val="auto"/>
              </w:rPr>
            </w:pPr>
          </w:p>
        </w:tc>
        <w:tc>
          <w:tcPr>
            <w:tcW w:w="1320" w:type="dxa"/>
            <w:vAlign w:val="bottom"/>
            <w:tcBorders>
              <w:bottom w:val="single" w:sz="8" w:color="E6EEFF"/>
            </w:tcBorders>
          </w:tcPr>
          <w:p>
            <w:pPr>
              <w:spacing w:after="0"/>
              <w:rPr>
                <w:sz w:val="18"/>
                <w:szCs w:val="18"/>
                <w:color w:val="auto"/>
              </w:rPr>
            </w:pPr>
          </w:p>
        </w:tc>
        <w:tc>
          <w:tcPr>
            <w:tcW w:w="100" w:type="dxa"/>
            <w:vAlign w:val="bottom"/>
            <w:tcBorders>
              <w:bottom w:val="single" w:sz="8" w:color="E6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8,199,782</w:t>
            </w:r>
          </w:p>
        </w:tc>
        <w:tc>
          <w:tcPr>
            <w:tcW w:w="100" w:type="dxa"/>
            <w:vAlign w:val="bottom"/>
            <w:tcBorders>
              <w:bottom w:val="single" w:sz="8" w:color="E6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8,339,634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E6EEFF"/>
            </w:tcBorders>
            <w:gridSpan w:val="2"/>
            <w:shd w:val="clear" w:color="auto" w:fill="E6EEFF"/>
          </w:tcPr>
          <w:p>
            <w:pPr>
              <w:ind w:left="20"/>
              <w:spacing w:after="0"/>
              <w:rPr>
                <w:sz w:val="20"/>
                <w:szCs w:val="20"/>
                <w:color w:val="auto"/>
              </w:rPr>
            </w:pPr>
            <w:r>
              <w:rPr>
                <w:rFonts w:ascii="Calibri" w:cs="Calibri" w:eastAsia="Calibri" w:hAnsi="Calibri"/>
                <w:sz w:val="17"/>
                <w:szCs w:val="17"/>
                <w:b w:val="1"/>
                <w:bCs w:val="1"/>
                <w:color w:val="1C4787"/>
              </w:rPr>
              <w:t>Totals</w:t>
            </w:r>
          </w:p>
        </w:tc>
        <w:tc>
          <w:tcPr>
            <w:tcW w:w="240" w:type="dxa"/>
            <w:vAlign w:val="bottom"/>
            <w:tcBorders>
              <w:bottom w:val="single" w:sz="8" w:color="E6EEFF"/>
            </w:tcBorders>
            <w:shd w:val="clear" w:color="auto" w:fill="E6EEFF"/>
          </w:tcPr>
          <w:p>
            <w:pPr>
              <w:spacing w:after="0"/>
              <w:rPr>
                <w:sz w:val="20"/>
                <w:szCs w:val="20"/>
                <w:color w:val="auto"/>
              </w:rPr>
            </w:pPr>
          </w:p>
        </w:tc>
        <w:tc>
          <w:tcPr>
            <w:tcW w:w="1200" w:type="dxa"/>
            <w:vAlign w:val="bottom"/>
            <w:tcBorders>
              <w:bottom w:val="single" w:sz="8" w:color="E6EEFF"/>
            </w:tcBorders>
            <w:shd w:val="clear" w:color="auto" w:fill="E6EEFF"/>
          </w:tcPr>
          <w:p>
            <w:pPr>
              <w:spacing w:after="0"/>
              <w:rPr>
                <w:sz w:val="20"/>
                <w:szCs w:val="20"/>
                <w:color w:val="auto"/>
              </w:rPr>
            </w:pPr>
          </w:p>
        </w:tc>
        <w:tc>
          <w:tcPr>
            <w:tcW w:w="100" w:type="dxa"/>
            <w:vAlign w:val="bottom"/>
            <w:tcBorders>
              <w:bottom w:val="single" w:sz="8" w:color="E6EEFF"/>
            </w:tcBorders>
            <w:shd w:val="clear" w:color="auto" w:fill="E6EEFF"/>
          </w:tcPr>
          <w:p>
            <w:pPr>
              <w:spacing w:after="0"/>
              <w:rPr>
                <w:sz w:val="20"/>
                <w:szCs w:val="20"/>
                <w:color w:val="auto"/>
              </w:rPr>
            </w:pPr>
          </w:p>
        </w:tc>
        <w:tc>
          <w:tcPr>
            <w:tcW w:w="140" w:type="dxa"/>
            <w:vAlign w:val="bottom"/>
            <w:tcBorders>
              <w:bottom w:val="single" w:sz="8" w:color="E6EEFF"/>
            </w:tcBorders>
            <w:shd w:val="clear" w:color="auto" w:fill="E6EEFF"/>
          </w:tcPr>
          <w:p>
            <w:pPr>
              <w:spacing w:after="0"/>
              <w:rPr>
                <w:sz w:val="20"/>
                <w:szCs w:val="20"/>
                <w:color w:val="auto"/>
              </w:rPr>
            </w:pPr>
          </w:p>
        </w:tc>
        <w:tc>
          <w:tcPr>
            <w:tcW w:w="1320" w:type="dxa"/>
            <w:vAlign w:val="bottom"/>
            <w:tcBorders>
              <w:bottom w:val="single" w:sz="8" w:color="E6EEFF"/>
            </w:tcBorders>
            <w:shd w:val="clear" w:color="auto" w:fill="E6EEFF"/>
          </w:tcPr>
          <w:p>
            <w:pPr>
              <w:spacing w:after="0"/>
              <w:rPr>
                <w:sz w:val="20"/>
                <w:szCs w:val="20"/>
                <w:color w:val="auto"/>
              </w:rPr>
            </w:pPr>
          </w:p>
        </w:tc>
        <w:tc>
          <w:tcPr>
            <w:tcW w:w="100" w:type="dxa"/>
            <w:vAlign w:val="bottom"/>
            <w:tcBorders>
              <w:bottom w:val="single" w:sz="8" w:color="E6EEFF"/>
            </w:tcBorders>
            <w:shd w:val="clear" w:color="auto" w:fill="E6EEFF"/>
          </w:tcPr>
          <w:p>
            <w:pPr>
              <w:spacing w:after="0"/>
              <w:rPr>
                <w:sz w:val="20"/>
                <w:szCs w:val="20"/>
                <w:color w:val="auto"/>
              </w:rPr>
            </w:pPr>
          </w:p>
        </w:tc>
        <w:tc>
          <w:tcPr>
            <w:tcW w:w="240" w:type="dxa"/>
            <w:vAlign w:val="bottom"/>
            <w:tcBorders>
              <w:bottom w:val="single" w:sz="8" w:color="auto"/>
            </w:tcBorders>
            <w:shd w:val="clear" w:color="auto" w:fill="E6EEFF"/>
          </w:tcPr>
          <w:p>
            <w:pPr>
              <w:jc w:val="right"/>
              <w:ind w:right="54"/>
              <w:spacing w:after="0" w:line="205" w:lineRule="exact"/>
              <w:rPr>
                <w:sz w:val="20"/>
                <w:szCs w:val="20"/>
                <w:color w:val="auto"/>
              </w:rPr>
            </w:pPr>
            <w:r>
              <w:rPr>
                <w:rFonts w:ascii="Calibri" w:cs="Calibri" w:eastAsia="Calibri" w:hAnsi="Calibri"/>
                <w:sz w:val="17"/>
                <w:szCs w:val="17"/>
                <w:color w:val="auto"/>
                <w:w w:val="92"/>
              </w:rPr>
              <w:t>$</w:t>
            </w:r>
          </w:p>
        </w:tc>
        <w:tc>
          <w:tcPr>
            <w:tcW w:w="12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11,159,754</w:t>
            </w:r>
          </w:p>
        </w:tc>
        <w:tc>
          <w:tcPr>
            <w:tcW w:w="100" w:type="dxa"/>
            <w:vAlign w:val="bottom"/>
            <w:tcBorders>
              <w:bottom w:val="single" w:sz="8" w:color="E6EEFF"/>
            </w:tcBorders>
            <w:shd w:val="clear" w:color="auto" w:fill="E6EEFF"/>
          </w:tcPr>
          <w:p>
            <w:pPr>
              <w:spacing w:after="0"/>
              <w:rPr>
                <w:sz w:val="20"/>
                <w:szCs w:val="20"/>
                <w:color w:val="auto"/>
              </w:rPr>
            </w:pPr>
          </w:p>
        </w:tc>
        <w:tc>
          <w:tcPr>
            <w:tcW w:w="1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11,283,380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440" w:type="dxa"/>
            <w:vAlign w:val="bottom"/>
            <w:tcBorders>
              <w:top w:val="single" w:sz="8" w:color="E6EEFF"/>
            </w:tcBorders>
            <w:gridSpan w:val="2"/>
          </w:tcPr>
          <w:p>
            <w:pPr>
              <w:spacing w:after="0" w:line="20" w:lineRule="exact"/>
              <w:rPr>
                <w:sz w:val="1"/>
                <w:szCs w:val="1"/>
                <w:color w:val="auto"/>
              </w:rPr>
            </w:pPr>
          </w:p>
        </w:tc>
        <w:tc>
          <w:tcPr>
            <w:tcW w:w="1560" w:type="dxa"/>
            <w:vAlign w:val="bottom"/>
            <w:tcBorders>
              <w:top w:val="single" w:sz="8" w:color="E6EEFF"/>
            </w:tcBorders>
            <w:gridSpan w:val="3"/>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240" w:type="dxa"/>
            <w:vAlign w:val="bottom"/>
            <w:tcBorders>
              <w:top w:val="single" w:sz="8" w:color="E6EEFF"/>
              <w:bottom w:val="single" w:sz="8" w:color="auto"/>
            </w:tcBorders>
          </w:tcPr>
          <w:p>
            <w:pPr>
              <w:spacing w:after="0" w:line="20" w:lineRule="exact"/>
              <w:rPr>
                <w:sz w:val="1"/>
                <w:szCs w:val="1"/>
                <w:color w:val="auto"/>
              </w:rPr>
            </w:pPr>
          </w:p>
        </w:tc>
        <w:tc>
          <w:tcPr>
            <w:tcW w:w="122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460" w:type="dxa"/>
            <w:vAlign w:val="bottom"/>
            <w:tcBorders>
              <w:top w:val="single" w:sz="8" w:color="E6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spacing w:after="0"/>
              <w:rPr>
                <w:sz w:val="22"/>
                <w:szCs w:val="22"/>
                <w:color w:val="auto"/>
              </w:rPr>
            </w:pPr>
          </w:p>
        </w:tc>
        <w:tc>
          <w:tcPr>
            <w:tcW w:w="1660" w:type="dxa"/>
            <w:vAlign w:val="bottom"/>
            <w:gridSpan w:val="4"/>
          </w:tcPr>
          <w:p>
            <w:pPr>
              <w:spacing w:after="0"/>
              <w:rPr>
                <w:sz w:val="22"/>
                <w:szCs w:val="22"/>
                <w:color w:val="auto"/>
              </w:rPr>
            </w:pPr>
          </w:p>
        </w:tc>
        <w:tc>
          <w:tcPr>
            <w:tcW w:w="240" w:type="dxa"/>
            <w:vAlign w:val="bottom"/>
          </w:tcPr>
          <w:p>
            <w:pPr>
              <w:spacing w:after="0"/>
              <w:rPr>
                <w:sz w:val="22"/>
                <w:szCs w:val="22"/>
                <w:color w:val="auto"/>
              </w:rPr>
            </w:pPr>
          </w:p>
        </w:tc>
        <w:tc>
          <w:tcPr>
            <w:tcW w:w="2780" w:type="dxa"/>
            <w:vAlign w:val="bottom"/>
            <w:gridSpan w:val="4"/>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100" w:type="dxa"/>
            <w:vAlign w:val="bottom"/>
            <w:gridSpan w:val="2"/>
            <w:shd w:val="clear" w:color="auto" w:fill="E6EEFF"/>
          </w:tcPr>
          <w:p>
            <w:pPr>
              <w:ind w:left="1720"/>
              <w:spacing w:after="0" w:line="205" w:lineRule="exact"/>
              <w:rPr>
                <w:sz w:val="20"/>
                <w:szCs w:val="20"/>
                <w:color w:val="auto"/>
              </w:rPr>
            </w:pPr>
            <w:r>
              <w:rPr>
                <w:rFonts w:ascii="Calibri" w:cs="Calibri" w:eastAsia="Calibri" w:hAnsi="Calibri"/>
                <w:sz w:val="17"/>
                <w:szCs w:val="17"/>
                <w:b w:val="1"/>
                <w:bCs w:val="1"/>
                <w:color w:val="1C4787"/>
              </w:rPr>
              <w:t>Weighted Average Life</w:t>
            </w:r>
          </w:p>
        </w:tc>
        <w:tc>
          <w:tcPr>
            <w:tcW w:w="3100" w:type="dxa"/>
            <w:vAlign w:val="bottom"/>
            <w:gridSpan w:val="6"/>
            <w:shd w:val="clear" w:color="auto" w:fill="E6EEFF"/>
          </w:tcPr>
          <w:p>
            <w:pPr>
              <w:ind w:left="20"/>
              <w:spacing w:after="0" w:line="205" w:lineRule="exact"/>
              <w:rPr>
                <w:sz w:val="20"/>
                <w:szCs w:val="20"/>
                <w:color w:val="auto"/>
              </w:rPr>
            </w:pPr>
            <w:r>
              <w:rPr>
                <w:rFonts w:ascii="Calibri" w:cs="Calibri" w:eastAsia="Calibri" w:hAnsi="Calibri"/>
                <w:sz w:val="17"/>
                <w:szCs w:val="17"/>
                <w:b w:val="1"/>
                <w:bCs w:val="1"/>
                <w:color w:val="1C4787"/>
              </w:rPr>
              <w:t>Available for Sale Securites</w:t>
            </w:r>
          </w:p>
        </w:tc>
        <w:tc>
          <w:tcPr>
            <w:tcW w:w="240" w:type="dxa"/>
            <w:vAlign w:val="bottom"/>
            <w:shd w:val="clear" w:color="auto" w:fill="E6EEFF"/>
          </w:tcPr>
          <w:p>
            <w:pPr>
              <w:spacing w:after="0"/>
              <w:rPr>
                <w:sz w:val="19"/>
                <w:szCs w:val="19"/>
                <w:color w:val="auto"/>
              </w:rPr>
            </w:pPr>
          </w:p>
        </w:tc>
        <w:tc>
          <w:tcPr>
            <w:tcW w:w="2780" w:type="dxa"/>
            <w:vAlign w:val="bottom"/>
            <w:gridSpan w:val="4"/>
            <w:shd w:val="clear" w:color="auto" w:fill="E6EEFF"/>
          </w:tcPr>
          <w:p>
            <w:pPr>
              <w:jc w:val="right"/>
              <w:ind w:right="814"/>
              <w:spacing w:after="0" w:line="205" w:lineRule="exact"/>
              <w:rPr>
                <w:sz w:val="20"/>
                <w:szCs w:val="20"/>
                <w:color w:val="auto"/>
              </w:rPr>
            </w:pPr>
            <w:r>
              <w:rPr>
                <w:rFonts w:ascii="Calibri" w:cs="Calibri" w:eastAsia="Calibri" w:hAnsi="Calibri"/>
                <w:sz w:val="17"/>
                <w:szCs w:val="17"/>
                <w:b w:val="1"/>
                <w:bCs w:val="1"/>
                <w:color w:val="1C4787"/>
              </w:rPr>
              <w:t>Trading Securites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98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120"/>
              <w:spacing w:after="0" w:line="205" w:lineRule="exact"/>
              <w:rPr>
                <w:sz w:val="20"/>
                <w:szCs w:val="20"/>
                <w:color w:val="auto"/>
              </w:rPr>
            </w:pPr>
            <w:r>
              <w:rPr>
                <w:rFonts w:ascii="Calibri" w:cs="Calibri" w:eastAsia="Calibri" w:hAnsi="Calibri"/>
                <w:sz w:val="17"/>
                <w:szCs w:val="17"/>
                <w:b w:val="1"/>
                <w:bCs w:val="1"/>
                <w:color w:val="1C4787"/>
              </w:rPr>
              <w:t>Fair Value</w:t>
            </w: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14"/>
              <w:spacing w:after="0" w:line="205" w:lineRule="exact"/>
              <w:rPr>
                <w:sz w:val="20"/>
                <w:szCs w:val="20"/>
                <w:color w:val="auto"/>
              </w:rPr>
            </w:pPr>
            <w:r>
              <w:rPr>
                <w:rFonts w:ascii="Calibri" w:cs="Calibri" w:eastAsia="Calibri" w:hAnsi="Calibri"/>
                <w:sz w:val="17"/>
                <w:szCs w:val="17"/>
                <w:b w:val="1"/>
                <w:bCs w:val="1"/>
                <w:color w:val="1C4787"/>
              </w:rPr>
              <w:t>Amortzed Cost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140"/>
              <w:spacing w:after="0" w:line="205" w:lineRule="exact"/>
              <w:rPr>
                <w:sz w:val="20"/>
                <w:szCs w:val="20"/>
                <w:color w:val="auto"/>
              </w:rPr>
            </w:pPr>
            <w:r>
              <w:rPr>
                <w:rFonts w:ascii="Calibri" w:cs="Calibri" w:eastAsia="Calibri" w:hAnsi="Calibri"/>
                <w:sz w:val="17"/>
                <w:szCs w:val="17"/>
                <w:b w:val="1"/>
                <w:bCs w:val="1"/>
                <w:color w:val="1C4787"/>
              </w:rPr>
              <w:t>Fair Value</w:t>
            </w: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54"/>
              <w:spacing w:after="0" w:line="205" w:lineRule="exact"/>
              <w:rPr>
                <w:sz w:val="20"/>
                <w:szCs w:val="20"/>
                <w:color w:val="auto"/>
              </w:rPr>
            </w:pPr>
            <w:r>
              <w:rPr>
                <w:rFonts w:ascii="Calibri" w:cs="Calibri" w:eastAsia="Calibri" w:hAnsi="Calibri"/>
                <w:sz w:val="17"/>
                <w:szCs w:val="17"/>
                <w:b w:val="1"/>
                <w:bCs w:val="1"/>
                <w:color w:val="1C4787"/>
              </w:rPr>
              <w:t>Amortzed Cost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80" w:type="dxa"/>
            <w:vAlign w:val="bottom"/>
            <w:tcBorders>
              <w:top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&lt; 1 year</w:t>
            </w:r>
          </w:p>
        </w:tc>
        <w:tc>
          <w:tcPr>
            <w:tcW w:w="120" w:type="dxa"/>
            <w:vAlign w:val="bottom"/>
            <w:tcBorders>
              <w:top w:val="single" w:sz="8" w:color="E6EEFF"/>
            </w:tcBorders>
            <w:shd w:val="clear" w:color="auto" w:fill="E6EEFF"/>
          </w:tcPr>
          <w:p>
            <w:pPr>
              <w:spacing w:after="0"/>
              <w:rPr>
                <w:sz w:val="19"/>
                <w:szCs w:val="19"/>
                <w:color w:val="auto"/>
              </w:rPr>
            </w:pPr>
          </w:p>
        </w:tc>
        <w:tc>
          <w:tcPr>
            <w:tcW w:w="240" w:type="dxa"/>
            <w:vAlign w:val="bottom"/>
            <w:tcBorders>
              <w:top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20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61</w:t>
            </w:r>
          </w:p>
        </w:tc>
        <w:tc>
          <w:tcPr>
            <w:tcW w:w="100" w:type="dxa"/>
            <w:vAlign w:val="bottom"/>
            <w:tcBorders>
              <w:top w:val="single" w:sz="8" w:color="E6EEFF"/>
            </w:tcBorders>
            <w:shd w:val="clear" w:color="auto" w:fill="E6EEFF"/>
          </w:tcPr>
          <w:p>
            <w:pPr>
              <w:spacing w:after="0"/>
              <w:rPr>
                <w:sz w:val="19"/>
                <w:szCs w:val="19"/>
                <w:color w:val="auto"/>
              </w:rPr>
            </w:pPr>
          </w:p>
        </w:tc>
        <w:tc>
          <w:tcPr>
            <w:tcW w:w="14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64</w:t>
            </w:r>
          </w:p>
        </w:tc>
        <w:tc>
          <w:tcPr>
            <w:tcW w:w="100" w:type="dxa"/>
            <w:vAlign w:val="bottom"/>
            <w:tcBorders>
              <w:top w:val="single" w:sz="8" w:color="E6EEFF"/>
            </w:tcBorders>
            <w:shd w:val="clear" w:color="auto" w:fill="E6EEFF"/>
          </w:tcPr>
          <w:p>
            <w:pPr>
              <w:spacing w:after="0"/>
              <w:rPr>
                <w:sz w:val="19"/>
                <w:szCs w:val="19"/>
                <w:color w:val="auto"/>
              </w:rPr>
            </w:pPr>
          </w:p>
        </w:tc>
        <w:tc>
          <w:tcPr>
            <w:tcW w:w="240" w:type="dxa"/>
            <w:vAlign w:val="bottom"/>
            <w:tcBorders>
              <w:top w:val="single" w:sz="8" w:color="auto"/>
            </w:tcBorders>
            <w:shd w:val="clear" w:color="auto" w:fill="E6EEFF"/>
          </w:tcPr>
          <w:p>
            <w:pPr>
              <w:jc w:val="right"/>
              <w:ind w:right="54"/>
              <w:spacing w:after="0" w:line="205" w:lineRule="exact"/>
              <w:rPr>
                <w:sz w:val="20"/>
                <w:szCs w:val="20"/>
                <w:color w:val="auto"/>
              </w:rPr>
            </w:pPr>
            <w:r>
              <w:rPr>
                <w:rFonts w:ascii="Calibri" w:cs="Calibri" w:eastAsia="Calibri" w:hAnsi="Calibri"/>
                <w:sz w:val="17"/>
                <w:szCs w:val="17"/>
                <w:color w:val="auto"/>
                <w:w w:val="92"/>
              </w:rPr>
              <w:t>$</w:t>
            </w:r>
          </w:p>
        </w:tc>
        <w:tc>
          <w:tcPr>
            <w:tcW w:w="122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100" w:type="dxa"/>
            <w:vAlign w:val="bottom"/>
            <w:tcBorders>
              <w:top w:val="single" w:sz="8" w:color="E6EEFF"/>
            </w:tcBorders>
            <w:shd w:val="clear" w:color="auto" w:fill="E6EEFF"/>
          </w:tcPr>
          <w:p>
            <w:pPr>
              <w:spacing w:after="0"/>
              <w:rPr>
                <w:sz w:val="19"/>
                <w:szCs w:val="19"/>
                <w:color w:val="auto"/>
              </w:rPr>
            </w:pPr>
          </w:p>
        </w:tc>
        <w:tc>
          <w:tcPr>
            <w:tcW w:w="14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10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 1 year and &lt; 3 years</w:t>
            </w:r>
          </w:p>
        </w:tc>
        <w:tc>
          <w:tcPr>
            <w:tcW w:w="240" w:type="dxa"/>
            <w:vAlign w:val="bottom"/>
          </w:tcPr>
          <w:p>
            <w:pPr>
              <w:spacing w:after="0"/>
              <w:rPr>
                <w:sz w:val="17"/>
                <w:szCs w:val="17"/>
                <w:color w:val="auto"/>
              </w:rPr>
            </w:pPr>
          </w:p>
        </w:tc>
        <w:tc>
          <w:tcPr>
            <w:tcW w:w="1200" w:type="dxa"/>
            <w:vAlign w:val="bottom"/>
          </w:tcPr>
          <w:p>
            <w:pPr>
              <w:jc w:val="right"/>
              <w:spacing w:after="0" w:line="205" w:lineRule="exact"/>
              <w:rPr>
                <w:sz w:val="20"/>
                <w:szCs w:val="20"/>
                <w:color w:val="auto"/>
              </w:rPr>
            </w:pPr>
            <w:r>
              <w:rPr>
                <w:rFonts w:ascii="Calibri" w:cs="Calibri" w:eastAsia="Calibri" w:hAnsi="Calibri"/>
                <w:sz w:val="17"/>
                <w:szCs w:val="17"/>
                <w:color w:val="auto"/>
              </w:rPr>
              <w:t>2,390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line="205" w:lineRule="exact"/>
              <w:rPr>
                <w:sz w:val="20"/>
                <w:szCs w:val="20"/>
                <w:color w:val="auto"/>
              </w:rPr>
            </w:pPr>
            <w:r>
              <w:rPr>
                <w:rFonts w:ascii="Calibri" w:cs="Calibri" w:eastAsia="Calibri" w:hAnsi="Calibri"/>
                <w:sz w:val="17"/>
                <w:szCs w:val="17"/>
                <w:color w:val="auto"/>
              </w:rPr>
              <w:t>2,525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140" w:type="dxa"/>
            <w:vAlign w:val="bottom"/>
          </w:tcPr>
          <w:p>
            <w:pPr>
              <w:spacing w:after="0"/>
              <w:rPr>
                <w:sz w:val="17"/>
                <w:szCs w:val="17"/>
                <w:color w:val="auto"/>
              </w:rPr>
            </w:pPr>
          </w:p>
        </w:tc>
        <w:tc>
          <w:tcPr>
            <w:tcW w:w="132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10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 3 years and &lt; 5 years</w:t>
            </w:r>
          </w:p>
        </w:tc>
        <w:tc>
          <w:tcPr>
            <w:tcW w:w="240" w:type="dxa"/>
            <w:vAlign w:val="bottom"/>
            <w:shd w:val="clear" w:color="auto" w:fill="E6EEFF"/>
          </w:tcPr>
          <w:p>
            <w:pPr>
              <w:spacing w:after="0"/>
              <w:rPr>
                <w:sz w:val="20"/>
                <w:szCs w:val="20"/>
                <w:color w:val="auto"/>
              </w:rPr>
            </w:pPr>
          </w:p>
        </w:tc>
        <w:tc>
          <w:tcPr>
            <w:tcW w:w="12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11,541</w:t>
            </w:r>
          </w:p>
        </w:tc>
        <w:tc>
          <w:tcPr>
            <w:tcW w:w="100" w:type="dxa"/>
            <w:vAlign w:val="bottom"/>
            <w:shd w:val="clear" w:color="auto" w:fill="E6EEFF"/>
          </w:tcPr>
          <w:p>
            <w:pPr>
              <w:spacing w:after="0"/>
              <w:rPr>
                <w:sz w:val="20"/>
                <w:szCs w:val="20"/>
                <w:color w:val="auto"/>
              </w:rPr>
            </w:pPr>
          </w:p>
        </w:tc>
        <w:tc>
          <w:tcPr>
            <w:tcW w:w="140" w:type="dxa"/>
            <w:vAlign w:val="bottom"/>
            <w:shd w:val="clear" w:color="auto" w:fill="E6EEFF"/>
          </w:tcPr>
          <w:p>
            <w:pPr>
              <w:spacing w:after="0"/>
              <w:rPr>
                <w:sz w:val="20"/>
                <w:szCs w:val="20"/>
                <w:color w:val="auto"/>
              </w:rPr>
            </w:pPr>
          </w:p>
        </w:tc>
        <w:tc>
          <w:tcPr>
            <w:tcW w:w="13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12,171</w:t>
            </w:r>
          </w:p>
        </w:tc>
        <w:tc>
          <w:tcPr>
            <w:tcW w:w="100" w:type="dxa"/>
            <w:vAlign w:val="bottom"/>
            <w:shd w:val="clear" w:color="auto" w:fill="E6EEFF"/>
          </w:tcPr>
          <w:p>
            <w:pPr>
              <w:spacing w:after="0"/>
              <w:rPr>
                <w:sz w:val="20"/>
                <w:szCs w:val="20"/>
                <w:color w:val="auto"/>
              </w:rPr>
            </w:pPr>
          </w:p>
        </w:tc>
        <w:tc>
          <w:tcPr>
            <w:tcW w:w="240" w:type="dxa"/>
            <w:vAlign w:val="bottom"/>
            <w:shd w:val="clear" w:color="auto" w:fill="E6EEFF"/>
          </w:tcPr>
          <w:p>
            <w:pPr>
              <w:spacing w:after="0"/>
              <w:rPr>
                <w:sz w:val="20"/>
                <w:szCs w:val="20"/>
                <w:color w:val="auto"/>
              </w:rPr>
            </w:pPr>
          </w:p>
        </w:tc>
        <w:tc>
          <w:tcPr>
            <w:tcW w:w="1320" w:type="dxa"/>
            <w:vAlign w:val="bottom"/>
            <w:gridSpan w:val="2"/>
            <w:shd w:val="clear" w:color="auto" w:fill="E6EEFF"/>
          </w:tcPr>
          <w:p>
            <w:pPr>
              <w:jc w:val="right"/>
              <w:ind w:right="180"/>
              <w:spacing w:after="0"/>
              <w:rPr>
                <w:sz w:val="20"/>
                <w:szCs w:val="20"/>
                <w:color w:val="auto"/>
              </w:rPr>
            </w:pPr>
            <w:r>
              <w:rPr>
                <w:rFonts w:ascii="Calibri" w:cs="Calibri" w:eastAsia="Calibri" w:hAnsi="Calibri"/>
                <w:sz w:val="17"/>
                <w:szCs w:val="17"/>
                <w:color w:val="auto"/>
              </w:rPr>
              <w:t>—</w:t>
            </w:r>
          </w:p>
        </w:tc>
        <w:tc>
          <w:tcPr>
            <w:tcW w:w="140" w:type="dxa"/>
            <w:vAlign w:val="bottom"/>
            <w:shd w:val="clear" w:color="auto" w:fill="E6EEFF"/>
          </w:tcPr>
          <w:p>
            <w:pPr>
              <w:spacing w:after="0"/>
              <w:rPr>
                <w:sz w:val="20"/>
                <w:szCs w:val="20"/>
                <w:color w:val="auto"/>
              </w:rPr>
            </w:pPr>
          </w:p>
        </w:tc>
        <w:tc>
          <w:tcPr>
            <w:tcW w:w="13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100" w:type="dxa"/>
            <w:vAlign w:val="bottom"/>
            <w:tcBorders>
              <w:bottom w:val="single" w:sz="8" w:color="E6EEFF"/>
            </w:tcBorders>
            <w:gridSpan w:val="2"/>
          </w:tcPr>
          <w:p>
            <w:pPr>
              <w:ind w:left="20"/>
              <w:spacing w:after="0" w:line="205" w:lineRule="exact"/>
              <w:rPr>
                <w:sz w:val="20"/>
                <w:szCs w:val="20"/>
                <w:color w:val="auto"/>
              </w:rPr>
            </w:pPr>
            <w:r>
              <w:rPr>
                <w:rFonts w:ascii="Calibri" w:cs="Calibri" w:eastAsia="Calibri" w:hAnsi="Calibri"/>
                <w:sz w:val="17"/>
                <w:szCs w:val="17"/>
                <w:color w:val="auto"/>
              </w:rPr>
              <w:t>≥ 5 years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173,953</w:t>
            </w:r>
          </w:p>
        </w:tc>
        <w:tc>
          <w:tcPr>
            <w:tcW w:w="100" w:type="dxa"/>
            <w:vAlign w:val="bottom"/>
            <w:tcBorders>
              <w:bottom w:val="single" w:sz="8" w:color="E6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184,712</w:t>
            </w:r>
          </w:p>
        </w:tc>
        <w:tc>
          <w:tcPr>
            <w:tcW w:w="100" w:type="dxa"/>
            <w:vAlign w:val="bottom"/>
            <w:tcBorders>
              <w:bottom w:val="single" w:sz="8" w:color="E6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8,010,646</w:t>
            </w:r>
          </w:p>
        </w:tc>
        <w:tc>
          <w:tcPr>
            <w:tcW w:w="100" w:type="dxa"/>
            <w:vAlign w:val="bottom"/>
            <w:tcBorders>
              <w:bottom w:val="single" w:sz="8" w:color="E6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8,553,485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E6EEFF"/>
            </w:tcBorders>
            <w:gridSpan w:val="2"/>
            <w:shd w:val="clear" w:color="auto" w:fill="E6EEFF"/>
          </w:tcPr>
          <w:p>
            <w:pPr>
              <w:ind w:left="20"/>
              <w:spacing w:after="0"/>
              <w:rPr>
                <w:sz w:val="20"/>
                <w:szCs w:val="20"/>
                <w:color w:val="auto"/>
              </w:rPr>
            </w:pPr>
            <w:r>
              <w:rPr>
                <w:rFonts w:ascii="Calibri" w:cs="Calibri" w:eastAsia="Calibri" w:hAnsi="Calibri"/>
                <w:sz w:val="17"/>
                <w:szCs w:val="17"/>
                <w:b w:val="1"/>
                <w:bCs w:val="1"/>
                <w:color w:val="1C4787"/>
              </w:rPr>
              <w:t>Totals</w:t>
            </w:r>
          </w:p>
        </w:tc>
        <w:tc>
          <w:tcPr>
            <w:tcW w:w="240" w:type="dxa"/>
            <w:vAlign w:val="bottom"/>
            <w:tcBorders>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20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187,945</w:t>
            </w:r>
          </w:p>
        </w:tc>
        <w:tc>
          <w:tcPr>
            <w:tcW w:w="100" w:type="dxa"/>
            <w:vAlign w:val="bottom"/>
            <w:tcBorders>
              <w:bottom w:val="single" w:sz="8" w:color="E6EEFF"/>
            </w:tcBorders>
            <w:shd w:val="clear" w:color="auto" w:fill="E6EEFF"/>
          </w:tcPr>
          <w:p>
            <w:pPr>
              <w:spacing w:after="0"/>
              <w:rPr>
                <w:sz w:val="20"/>
                <w:szCs w:val="20"/>
                <w:color w:val="auto"/>
              </w:rPr>
            </w:pPr>
          </w:p>
        </w:tc>
        <w:tc>
          <w:tcPr>
            <w:tcW w:w="1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199,472</w:t>
            </w:r>
          </w:p>
        </w:tc>
        <w:tc>
          <w:tcPr>
            <w:tcW w:w="100" w:type="dxa"/>
            <w:vAlign w:val="bottom"/>
            <w:tcBorders>
              <w:bottom w:val="single" w:sz="8" w:color="E6EEFF"/>
            </w:tcBorders>
            <w:shd w:val="clear" w:color="auto" w:fill="E6EEFF"/>
          </w:tcPr>
          <w:p>
            <w:pPr>
              <w:spacing w:after="0"/>
              <w:rPr>
                <w:sz w:val="20"/>
                <w:szCs w:val="20"/>
                <w:color w:val="auto"/>
              </w:rPr>
            </w:pPr>
          </w:p>
        </w:tc>
        <w:tc>
          <w:tcPr>
            <w:tcW w:w="240" w:type="dxa"/>
            <w:vAlign w:val="bottom"/>
            <w:tcBorders>
              <w:bottom w:val="single" w:sz="8" w:color="auto"/>
            </w:tcBorders>
            <w:shd w:val="clear" w:color="auto" w:fill="E6EEFF"/>
          </w:tcPr>
          <w:p>
            <w:pPr>
              <w:jc w:val="right"/>
              <w:ind w:right="54"/>
              <w:spacing w:after="0" w:line="205" w:lineRule="exact"/>
              <w:rPr>
                <w:sz w:val="20"/>
                <w:szCs w:val="20"/>
                <w:color w:val="auto"/>
              </w:rPr>
            </w:pPr>
            <w:r>
              <w:rPr>
                <w:rFonts w:ascii="Calibri" w:cs="Calibri" w:eastAsia="Calibri" w:hAnsi="Calibri"/>
                <w:sz w:val="17"/>
                <w:szCs w:val="17"/>
                <w:color w:val="auto"/>
                <w:w w:val="92"/>
              </w:rPr>
              <w:t>$</w:t>
            </w:r>
          </w:p>
        </w:tc>
        <w:tc>
          <w:tcPr>
            <w:tcW w:w="12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8,010,646</w:t>
            </w:r>
          </w:p>
        </w:tc>
        <w:tc>
          <w:tcPr>
            <w:tcW w:w="100" w:type="dxa"/>
            <w:vAlign w:val="bottom"/>
            <w:tcBorders>
              <w:bottom w:val="single" w:sz="8" w:color="E6EEFF"/>
            </w:tcBorders>
            <w:shd w:val="clear" w:color="auto" w:fill="E6EEFF"/>
          </w:tcPr>
          <w:p>
            <w:pPr>
              <w:spacing w:after="0"/>
              <w:rPr>
                <w:sz w:val="20"/>
                <w:szCs w:val="20"/>
                <w:color w:val="auto"/>
              </w:rPr>
            </w:pPr>
          </w:p>
        </w:tc>
        <w:tc>
          <w:tcPr>
            <w:tcW w:w="1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8,553,485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240" w:type="dxa"/>
            <w:vAlign w:val="bottom"/>
            <w:tcBorders>
              <w:top w:val="single" w:sz="8" w:color="E6EEFF"/>
              <w:bottom w:val="single" w:sz="8" w:color="auto"/>
            </w:tcBorders>
          </w:tcPr>
          <w:p>
            <w:pPr>
              <w:spacing w:after="0" w:line="20" w:lineRule="exact"/>
              <w:rPr>
                <w:sz w:val="1"/>
                <w:szCs w:val="1"/>
                <w:color w:val="auto"/>
              </w:rPr>
            </w:pPr>
          </w:p>
        </w:tc>
        <w:tc>
          <w:tcPr>
            <w:tcW w:w="120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40" w:type="dxa"/>
            <w:vAlign w:val="bottom"/>
            <w:tcBorders>
              <w:top w:val="single" w:sz="8" w:color="E6EEFF"/>
              <w:bottom w:val="single" w:sz="8" w:color="auto"/>
            </w:tcBorders>
          </w:tcPr>
          <w:p>
            <w:pPr>
              <w:spacing w:after="0" w:line="20" w:lineRule="exact"/>
              <w:rPr>
                <w:sz w:val="1"/>
                <w:szCs w:val="1"/>
                <w:color w:val="auto"/>
              </w:rPr>
            </w:pPr>
          </w:p>
        </w:tc>
        <w:tc>
          <w:tcPr>
            <w:tcW w:w="132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240" w:type="dxa"/>
            <w:vAlign w:val="bottom"/>
            <w:tcBorders>
              <w:top w:val="single" w:sz="8" w:color="E6EEFF"/>
              <w:bottom w:val="single" w:sz="8" w:color="auto"/>
            </w:tcBorders>
          </w:tcPr>
          <w:p>
            <w:pPr>
              <w:spacing w:after="0" w:line="20" w:lineRule="exact"/>
              <w:rPr>
                <w:sz w:val="1"/>
                <w:szCs w:val="1"/>
                <w:color w:val="auto"/>
              </w:rPr>
            </w:pPr>
          </w:p>
        </w:tc>
        <w:tc>
          <w:tcPr>
            <w:tcW w:w="122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40" w:type="dxa"/>
            <w:vAlign w:val="bottom"/>
            <w:tcBorders>
              <w:top w:val="single" w:sz="8" w:color="E6EEFF"/>
              <w:bottom w:val="single" w:sz="8" w:color="auto"/>
            </w:tcBorders>
          </w:tcPr>
          <w:p>
            <w:pPr>
              <w:spacing w:after="0" w:line="20" w:lineRule="exact"/>
              <w:rPr>
                <w:sz w:val="1"/>
                <w:szCs w:val="1"/>
                <w:color w:val="auto"/>
              </w:rPr>
            </w:pPr>
          </w:p>
        </w:tc>
        <w:tc>
          <w:tcPr>
            <w:tcW w:w="1320" w:type="dxa"/>
            <w:vAlign w:val="bottom"/>
            <w:tcBorders>
              <w:top w:val="single" w:sz="8" w:color="E6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use a third-party model to calculate the weighted average lives of our investments in securites. Weighted average life is calculated based on expectatons for estmated prepayments for the underlying mortgage loans of our investments in securites. These estmated prepayments are based on assumptons such as interest rates, current and future home prices, housing policy and borrower incentves. The weighted average lives of our investments in securites at December 31, 2023 and December 31, 2022 in the tables above are based upon market factors, assumptons, models and estmates from the third-party model and also incorporate management’s judgment and experience. The actual weighted average lives of these securites could be longer or shorter than estmated.</w:t>
      </w:r>
    </w:p>
    <w:p>
      <w:pPr>
        <w:spacing w:after="0" w:line="180"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Available for Sale Securites</w:t>
      </w:r>
    </w:p>
    <w:p>
      <w:pPr>
        <w:spacing w:after="0" w:line="92" w:lineRule="exact"/>
        <w:rPr>
          <w:sz w:val="20"/>
          <w:szCs w:val="20"/>
          <w:color w:val="auto"/>
        </w:rPr>
      </w:pPr>
    </w:p>
    <w:p>
      <w:pPr>
        <w:jc w:val="both"/>
        <w:ind w:firstLine="619"/>
        <w:spacing w:after="0" w:line="223" w:lineRule="auto"/>
        <w:rPr>
          <w:sz w:val="20"/>
          <w:szCs w:val="20"/>
          <w:color w:val="auto"/>
        </w:rPr>
      </w:pPr>
      <w:r>
        <w:rPr>
          <w:rFonts w:ascii="Calibri" w:cs="Calibri" w:eastAsia="Calibri" w:hAnsi="Calibri"/>
          <w:sz w:val="17"/>
          <w:szCs w:val="17"/>
          <w:color w:val="auto"/>
        </w:rPr>
        <w:t>The following table presents the unrealized losses and estmated fair value of our available for sale securites by length of tme that such securites were in a contnuous unrealized loss positon at December 31, 2022. All of the available for sale securites were issued and guaranteed by GSEs (with a long term credit ratng of AA+) or Ginnie Mae at December 31, 2022.</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44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240" w:type="dxa"/>
            <w:vAlign w:val="bottom"/>
            <w:tcBorders>
              <w:bottom w:val="single" w:sz="8" w:color="auto"/>
            </w:tcBorders>
            <w:shd w:val="clear" w:color="auto" w:fill="E6EEFF"/>
          </w:tcPr>
          <w:p>
            <w:pPr>
              <w:spacing w:after="0"/>
              <w:rPr>
                <w:sz w:val="19"/>
                <w:szCs w:val="19"/>
                <w:color w:val="auto"/>
              </w:rPr>
            </w:pPr>
          </w:p>
        </w:tc>
        <w:tc>
          <w:tcPr>
            <w:tcW w:w="1180" w:type="dxa"/>
            <w:vAlign w:val="bottom"/>
            <w:tcBorders>
              <w:bottom w:val="single" w:sz="8" w:color="auto"/>
            </w:tcBorders>
            <w:shd w:val="clear" w:color="auto" w:fill="E6EEFF"/>
          </w:tcPr>
          <w:p>
            <w:pPr>
              <w:spacing w:after="0"/>
              <w:rPr>
                <w:sz w:val="19"/>
                <w:szCs w:val="19"/>
                <w:color w:val="auto"/>
              </w:rPr>
            </w:pPr>
          </w:p>
        </w:tc>
        <w:tc>
          <w:tcPr>
            <w:tcW w:w="100" w:type="dxa"/>
            <w:vAlign w:val="bottom"/>
            <w:tcBorders>
              <w:bottom w:val="single" w:sz="8" w:color="auto"/>
            </w:tcBorders>
            <w:shd w:val="clear" w:color="auto" w:fill="E6EEFF"/>
          </w:tcPr>
          <w:p>
            <w:pPr>
              <w:spacing w:after="0"/>
              <w:rPr>
                <w:sz w:val="19"/>
                <w:szCs w:val="19"/>
                <w:color w:val="auto"/>
              </w:rPr>
            </w:pPr>
          </w:p>
        </w:tc>
        <w:tc>
          <w:tcPr>
            <w:tcW w:w="220" w:type="dxa"/>
            <w:vAlign w:val="bottom"/>
            <w:tcBorders>
              <w:bottom w:val="single" w:sz="8" w:color="auto"/>
            </w:tcBorders>
            <w:shd w:val="clear" w:color="auto" w:fill="E6EEFF"/>
          </w:tcPr>
          <w:p>
            <w:pPr>
              <w:spacing w:after="0"/>
              <w:rPr>
                <w:sz w:val="19"/>
                <w:szCs w:val="19"/>
                <w:color w:val="auto"/>
              </w:rPr>
            </w:pPr>
          </w:p>
        </w:tc>
        <w:tc>
          <w:tcPr>
            <w:tcW w:w="1140" w:type="dxa"/>
            <w:vAlign w:val="bottom"/>
            <w:tcBorders>
              <w:bottom w:val="single" w:sz="8" w:color="auto"/>
            </w:tcBorders>
            <w:shd w:val="clear" w:color="auto" w:fill="E6EEFF"/>
          </w:tcPr>
          <w:p>
            <w:pPr>
              <w:spacing w:after="0"/>
              <w:rPr>
                <w:sz w:val="19"/>
                <w:szCs w:val="19"/>
                <w:color w:val="auto"/>
              </w:rPr>
            </w:pPr>
          </w:p>
        </w:tc>
        <w:tc>
          <w:tcPr>
            <w:tcW w:w="100" w:type="dxa"/>
            <w:vAlign w:val="bottom"/>
            <w:tcBorders>
              <w:bottom w:val="single" w:sz="8" w:color="auto"/>
            </w:tcBorders>
            <w:shd w:val="clear" w:color="auto" w:fill="E6EEFF"/>
          </w:tcPr>
          <w:p>
            <w:pPr>
              <w:spacing w:after="0"/>
              <w:rPr>
                <w:sz w:val="19"/>
                <w:szCs w:val="19"/>
                <w:color w:val="auto"/>
              </w:rPr>
            </w:pPr>
          </w:p>
        </w:tc>
        <w:tc>
          <w:tcPr>
            <w:tcW w:w="220" w:type="dxa"/>
            <w:vAlign w:val="bottom"/>
            <w:tcBorders>
              <w:bottom w:val="single" w:sz="8" w:color="auto"/>
            </w:tcBorders>
            <w:shd w:val="clear" w:color="auto" w:fill="E6EEFF"/>
          </w:tcPr>
          <w:p>
            <w:pPr>
              <w:spacing w:after="0"/>
              <w:rPr>
                <w:sz w:val="19"/>
                <w:szCs w:val="19"/>
                <w:color w:val="auto"/>
              </w:rPr>
            </w:pPr>
          </w:p>
        </w:tc>
        <w:tc>
          <w:tcPr>
            <w:tcW w:w="2280" w:type="dxa"/>
            <w:vAlign w:val="bottom"/>
            <w:tcBorders>
              <w:bottom w:val="single" w:sz="8" w:color="auto"/>
            </w:tcBorders>
            <w:gridSpan w:val="3"/>
            <w:shd w:val="clear" w:color="auto" w:fill="E6EEFF"/>
          </w:tcPr>
          <w:p>
            <w:pPr>
              <w:jc w:val="right"/>
              <w:ind w:right="54"/>
              <w:spacing w:after="0"/>
              <w:rPr>
                <w:sz w:val="20"/>
                <w:szCs w:val="20"/>
                <w:color w:val="auto"/>
              </w:rPr>
            </w:pPr>
            <w:r>
              <w:rPr>
                <w:rFonts w:ascii="Calibri" w:cs="Calibri" w:eastAsia="Calibri" w:hAnsi="Calibri"/>
                <w:sz w:val="17"/>
                <w:szCs w:val="17"/>
                <w:b w:val="1"/>
                <w:bCs w:val="1"/>
                <w:color w:val="1C4787"/>
              </w:rPr>
              <w:t>Unrealized Loss Positon For:</w:t>
            </w:r>
          </w:p>
        </w:tc>
        <w:tc>
          <w:tcPr>
            <w:tcW w:w="300" w:type="dxa"/>
            <w:vAlign w:val="bottom"/>
            <w:tcBorders>
              <w:bottom w:val="single" w:sz="8" w:color="auto"/>
            </w:tcBorders>
            <w:shd w:val="clear" w:color="auto" w:fill="E6EEFF"/>
          </w:tcPr>
          <w:p>
            <w:pPr>
              <w:spacing w:after="0"/>
              <w:rPr>
                <w:sz w:val="19"/>
                <w:szCs w:val="19"/>
                <w:color w:val="auto"/>
              </w:rPr>
            </w:pPr>
          </w:p>
        </w:tc>
        <w:tc>
          <w:tcPr>
            <w:tcW w:w="100" w:type="dxa"/>
            <w:vAlign w:val="bottom"/>
            <w:tcBorders>
              <w:bottom w:val="single" w:sz="8" w:color="auto"/>
            </w:tcBorders>
            <w:shd w:val="clear" w:color="auto" w:fill="E6EEFF"/>
          </w:tcPr>
          <w:p>
            <w:pPr>
              <w:spacing w:after="0"/>
              <w:rPr>
                <w:sz w:val="19"/>
                <w:szCs w:val="19"/>
                <w:color w:val="auto"/>
              </w:rPr>
            </w:pPr>
          </w:p>
        </w:tc>
        <w:tc>
          <w:tcPr>
            <w:tcW w:w="220" w:type="dxa"/>
            <w:vAlign w:val="bottom"/>
            <w:tcBorders>
              <w:bottom w:val="single" w:sz="8" w:color="auto"/>
            </w:tcBorders>
            <w:shd w:val="clear" w:color="auto" w:fill="E6EEFF"/>
          </w:tcPr>
          <w:p>
            <w:pPr>
              <w:spacing w:after="0"/>
              <w:rPr>
                <w:sz w:val="19"/>
                <w:szCs w:val="19"/>
                <w:color w:val="auto"/>
              </w:rPr>
            </w:pPr>
          </w:p>
        </w:tc>
        <w:tc>
          <w:tcPr>
            <w:tcW w:w="1120" w:type="dxa"/>
            <w:vAlign w:val="bottom"/>
            <w:tcBorders>
              <w:bottom w:val="single" w:sz="8" w:color="auto"/>
            </w:tcBorders>
            <w:shd w:val="clear" w:color="auto" w:fill="E6EEFF"/>
          </w:tcPr>
          <w:p>
            <w:pPr>
              <w:spacing w:after="0"/>
              <w:rPr>
                <w:sz w:val="19"/>
                <w:szCs w:val="19"/>
                <w:color w:val="auto"/>
              </w:rPr>
            </w:pPr>
          </w:p>
        </w:tc>
        <w:tc>
          <w:tcPr>
            <w:tcW w:w="120" w:type="dxa"/>
            <w:vAlign w:val="bottom"/>
            <w:tcBorders>
              <w:bottom w:val="single" w:sz="8" w:color="auto"/>
            </w:tcBorders>
            <w:shd w:val="clear" w:color="auto" w:fill="E6EEFF"/>
          </w:tcPr>
          <w:p>
            <w:pPr>
              <w:spacing w:after="0"/>
              <w:rPr>
                <w:sz w:val="19"/>
                <w:szCs w:val="19"/>
                <w:color w:val="auto"/>
              </w:rPr>
            </w:pPr>
          </w:p>
        </w:tc>
        <w:tc>
          <w:tcPr>
            <w:tcW w:w="200" w:type="dxa"/>
            <w:vAlign w:val="bottom"/>
            <w:tcBorders>
              <w:bottom w:val="single" w:sz="8" w:color="auto"/>
            </w:tcBorders>
            <w:shd w:val="clear" w:color="auto" w:fill="E6EEFF"/>
          </w:tcPr>
          <w:p>
            <w:pPr>
              <w:spacing w:after="0"/>
              <w:rPr>
                <w:sz w:val="19"/>
                <w:szCs w:val="19"/>
                <w:color w:val="auto"/>
              </w:rPr>
            </w:pPr>
          </w:p>
        </w:tc>
        <w:tc>
          <w:tcPr>
            <w:tcW w:w="1140" w:type="dxa"/>
            <w:vAlign w:val="bottom"/>
            <w:tcBorders>
              <w:bottom w:val="single" w:sz="8" w:color="auto"/>
            </w:tcBorders>
            <w:shd w:val="clear" w:color="auto" w:fill="E6EEFF"/>
          </w:tcPr>
          <w:p>
            <w:pPr>
              <w:spacing w:after="0"/>
              <w:rPr>
                <w:sz w:val="19"/>
                <w:szCs w:val="19"/>
                <w:color w:val="auto"/>
              </w:rPr>
            </w:pPr>
          </w:p>
        </w:tc>
      </w:tr>
      <w:tr>
        <w:trPr>
          <w:trHeight w:val="205"/>
        </w:trPr>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5"/>
          </w:tcPr>
          <w:p>
            <w:pPr>
              <w:ind w:left="760"/>
              <w:spacing w:after="0" w:line="205" w:lineRule="exact"/>
              <w:rPr>
                <w:sz w:val="20"/>
                <w:szCs w:val="20"/>
                <w:color w:val="auto"/>
              </w:rPr>
            </w:pPr>
            <w:r>
              <w:rPr>
                <w:rFonts w:ascii="Calibri" w:cs="Calibri" w:eastAsia="Calibri" w:hAnsi="Calibri"/>
                <w:sz w:val="17"/>
                <w:szCs w:val="17"/>
                <w:b w:val="1"/>
                <w:bCs w:val="1"/>
                <w:color w:val="1C4787"/>
              </w:rPr>
              <w:t>&lt; 12 Months</w:t>
            </w:r>
          </w:p>
        </w:tc>
        <w:tc>
          <w:tcPr>
            <w:tcW w:w="220" w:type="dxa"/>
            <w:vAlign w:val="bottom"/>
          </w:tcPr>
          <w:p>
            <w:pPr>
              <w:spacing w:after="0"/>
              <w:rPr>
                <w:sz w:val="17"/>
                <w:szCs w:val="17"/>
                <w:color w:val="auto"/>
              </w:rPr>
            </w:pPr>
          </w:p>
        </w:tc>
        <w:tc>
          <w:tcPr>
            <w:tcW w:w="2280" w:type="dxa"/>
            <w:vAlign w:val="bottom"/>
            <w:gridSpan w:val="3"/>
          </w:tcPr>
          <w:p>
            <w:pPr>
              <w:jc w:val="right"/>
              <w:ind w:right="574"/>
              <w:spacing w:after="0" w:line="205" w:lineRule="exact"/>
              <w:rPr>
                <w:sz w:val="20"/>
                <w:szCs w:val="20"/>
                <w:color w:val="auto"/>
              </w:rPr>
            </w:pPr>
            <w:r>
              <w:rPr>
                <w:rFonts w:ascii="Calibri" w:cs="Calibri" w:eastAsia="Calibri" w:hAnsi="Calibri"/>
                <w:sz w:val="17"/>
                <w:szCs w:val="17"/>
                <w:b w:val="1"/>
                <w:bCs w:val="1"/>
                <w:color w:val="1C4787"/>
              </w:rPr>
              <w:t>≥ 12 Months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3"/>
          </w:tcPr>
          <w:p>
            <w:pPr>
              <w:jc w:val="right"/>
              <w:spacing w:after="0" w:line="205" w:lineRule="exact"/>
              <w:rPr>
                <w:sz w:val="20"/>
                <w:szCs w:val="20"/>
                <w:color w:val="auto"/>
              </w:rPr>
            </w:pPr>
            <w:r>
              <w:rPr>
                <w:rFonts w:ascii="Calibri" w:cs="Calibri" w:eastAsia="Calibri" w:hAnsi="Calibri"/>
                <w:sz w:val="17"/>
                <w:szCs w:val="17"/>
                <w:b w:val="1"/>
                <w:bCs w:val="1"/>
                <w:color w:val="1C4787"/>
              </w:rPr>
              <w:t>Total</w:t>
            </w:r>
          </w:p>
        </w:tc>
        <w:tc>
          <w:tcPr>
            <w:tcW w:w="1140" w:type="dxa"/>
            <w:vAlign w:val="bottom"/>
          </w:tcPr>
          <w:p>
            <w:pPr>
              <w:spacing w:after="0"/>
              <w:rPr>
                <w:sz w:val="17"/>
                <w:szCs w:val="17"/>
                <w:color w:val="auto"/>
              </w:rPr>
            </w:pPr>
          </w:p>
        </w:tc>
      </w:tr>
      <w:tr>
        <w:trPr>
          <w:trHeight w:val="172"/>
        </w:trPr>
        <w:tc>
          <w:tcPr>
            <w:tcW w:w="2560" w:type="dxa"/>
            <w:vAlign w:val="bottom"/>
            <w:tcBorders>
              <w:top w:val="single" w:sz="8" w:color="E6EEFF"/>
            </w:tcBorders>
            <w:gridSpan w:val="2"/>
            <w:shd w:val="clear" w:color="auto" w:fill="E6EEFF"/>
          </w:tcPr>
          <w:p>
            <w:pPr>
              <w:jc w:val="center"/>
              <w:ind w:right="120"/>
              <w:spacing w:after="0" w:line="173" w:lineRule="exact"/>
              <w:rPr>
                <w:sz w:val="20"/>
                <w:szCs w:val="20"/>
                <w:color w:val="auto"/>
              </w:rPr>
            </w:pPr>
            <w:r>
              <w:rPr>
                <w:rFonts w:ascii="Calibri" w:cs="Calibri" w:eastAsia="Calibri" w:hAnsi="Calibri"/>
                <w:sz w:val="17"/>
                <w:szCs w:val="17"/>
                <w:b w:val="1"/>
                <w:bCs w:val="1"/>
                <w:color w:val="1C4787"/>
                <w:w w:val="99"/>
              </w:rPr>
              <w:t>Agency Securites Available for</w:t>
            </w:r>
          </w:p>
        </w:tc>
        <w:tc>
          <w:tcPr>
            <w:tcW w:w="240" w:type="dxa"/>
            <w:vAlign w:val="bottom"/>
            <w:tcBorders>
              <w:top w:val="single" w:sz="8" w:color="auto"/>
            </w:tcBorders>
            <w:shd w:val="clear" w:color="auto" w:fill="E6EEFF"/>
          </w:tcPr>
          <w:p>
            <w:pPr>
              <w:spacing w:after="0"/>
              <w:rPr>
                <w:sz w:val="14"/>
                <w:szCs w:val="14"/>
                <w:color w:val="auto"/>
              </w:rPr>
            </w:pPr>
          </w:p>
        </w:tc>
        <w:tc>
          <w:tcPr>
            <w:tcW w:w="1180" w:type="dxa"/>
            <w:vAlign w:val="bottom"/>
            <w:tcBorders>
              <w:top w:val="single" w:sz="8" w:color="auto"/>
            </w:tcBorders>
            <w:shd w:val="clear" w:color="auto" w:fill="E6EEFF"/>
          </w:tcPr>
          <w:p>
            <w:pPr>
              <w:spacing w:after="0"/>
              <w:rPr>
                <w:sz w:val="14"/>
                <w:szCs w:val="14"/>
                <w:color w:val="auto"/>
              </w:rPr>
            </w:pPr>
          </w:p>
        </w:tc>
        <w:tc>
          <w:tcPr>
            <w:tcW w:w="100" w:type="dxa"/>
            <w:vAlign w:val="bottom"/>
            <w:tcBorders>
              <w:top w:val="single" w:sz="8" w:color="auto"/>
            </w:tcBorders>
            <w:shd w:val="clear" w:color="auto" w:fill="E6EEFF"/>
          </w:tcPr>
          <w:p>
            <w:pPr>
              <w:spacing w:after="0"/>
              <w:rPr>
                <w:sz w:val="14"/>
                <w:szCs w:val="14"/>
                <w:color w:val="auto"/>
              </w:rPr>
            </w:pPr>
          </w:p>
        </w:tc>
        <w:tc>
          <w:tcPr>
            <w:tcW w:w="220" w:type="dxa"/>
            <w:vAlign w:val="bottom"/>
            <w:tcBorders>
              <w:top w:val="single" w:sz="8" w:color="auto"/>
            </w:tcBorders>
            <w:shd w:val="clear" w:color="auto" w:fill="E6EEFF"/>
          </w:tcPr>
          <w:p>
            <w:pPr>
              <w:spacing w:after="0"/>
              <w:rPr>
                <w:sz w:val="14"/>
                <w:szCs w:val="14"/>
                <w:color w:val="auto"/>
              </w:rPr>
            </w:pPr>
          </w:p>
        </w:tc>
        <w:tc>
          <w:tcPr>
            <w:tcW w:w="1140" w:type="dxa"/>
            <w:vAlign w:val="bottom"/>
            <w:tcBorders>
              <w:top w:val="single" w:sz="8" w:color="auto"/>
            </w:tcBorders>
            <w:shd w:val="clear" w:color="auto" w:fill="E6EEFF"/>
          </w:tcPr>
          <w:p>
            <w:pPr>
              <w:jc w:val="center"/>
              <w:ind w:right="134"/>
              <w:spacing w:after="0" w:line="173" w:lineRule="exact"/>
              <w:rPr>
                <w:sz w:val="20"/>
                <w:szCs w:val="20"/>
                <w:color w:val="auto"/>
              </w:rPr>
            </w:pPr>
            <w:r>
              <w:rPr>
                <w:rFonts w:ascii="Calibri" w:cs="Calibri" w:eastAsia="Calibri" w:hAnsi="Calibri"/>
                <w:sz w:val="17"/>
                <w:szCs w:val="17"/>
                <w:b w:val="1"/>
                <w:bCs w:val="1"/>
                <w:color w:val="1C4787"/>
                <w:w w:val="99"/>
              </w:rPr>
              <w:t>Unrealized</w:t>
            </w:r>
          </w:p>
        </w:tc>
        <w:tc>
          <w:tcPr>
            <w:tcW w:w="100" w:type="dxa"/>
            <w:vAlign w:val="bottom"/>
            <w:tcBorders>
              <w:top w:val="single" w:sz="8" w:color="E6EEFF"/>
            </w:tcBorders>
            <w:shd w:val="clear" w:color="auto" w:fill="E6EEFF"/>
          </w:tcPr>
          <w:p>
            <w:pPr>
              <w:spacing w:after="0"/>
              <w:rPr>
                <w:sz w:val="14"/>
                <w:szCs w:val="14"/>
                <w:color w:val="auto"/>
              </w:rPr>
            </w:pPr>
          </w:p>
        </w:tc>
        <w:tc>
          <w:tcPr>
            <w:tcW w:w="220" w:type="dxa"/>
            <w:vAlign w:val="bottom"/>
            <w:tcBorders>
              <w:top w:val="single" w:sz="8" w:color="auto"/>
            </w:tcBorders>
            <w:shd w:val="clear" w:color="auto" w:fill="E6EEFF"/>
          </w:tcPr>
          <w:p>
            <w:pPr>
              <w:spacing w:after="0"/>
              <w:rPr>
                <w:sz w:val="14"/>
                <w:szCs w:val="14"/>
                <w:color w:val="auto"/>
              </w:rPr>
            </w:pPr>
          </w:p>
        </w:tc>
        <w:tc>
          <w:tcPr>
            <w:tcW w:w="1120" w:type="dxa"/>
            <w:vAlign w:val="bottom"/>
            <w:tcBorders>
              <w:top w:val="single" w:sz="8" w:color="auto"/>
            </w:tcBorders>
            <w:shd w:val="clear" w:color="auto" w:fill="E6EEFF"/>
          </w:tcPr>
          <w:p>
            <w:pPr>
              <w:spacing w:after="0"/>
              <w:rPr>
                <w:sz w:val="14"/>
                <w:szCs w:val="14"/>
                <w:color w:val="auto"/>
              </w:rPr>
            </w:pPr>
          </w:p>
        </w:tc>
        <w:tc>
          <w:tcPr>
            <w:tcW w:w="120" w:type="dxa"/>
            <w:vAlign w:val="bottom"/>
            <w:tcBorders>
              <w:top w:val="single" w:sz="8" w:color="auto"/>
            </w:tcBorders>
            <w:shd w:val="clear" w:color="auto" w:fill="E6EEFF"/>
          </w:tcPr>
          <w:p>
            <w:pPr>
              <w:spacing w:after="0"/>
              <w:rPr>
                <w:sz w:val="14"/>
                <w:szCs w:val="14"/>
                <w:color w:val="auto"/>
              </w:rPr>
            </w:pPr>
          </w:p>
        </w:tc>
        <w:tc>
          <w:tcPr>
            <w:tcW w:w="1040" w:type="dxa"/>
            <w:vAlign w:val="bottom"/>
            <w:tcBorders>
              <w:top w:val="single" w:sz="8" w:color="auto"/>
            </w:tcBorders>
            <w:shd w:val="clear" w:color="auto" w:fill="E6EEFF"/>
          </w:tcPr>
          <w:p>
            <w:pPr>
              <w:jc w:val="center"/>
              <w:ind w:left="194"/>
              <w:spacing w:after="0" w:line="173" w:lineRule="exact"/>
              <w:rPr>
                <w:sz w:val="20"/>
                <w:szCs w:val="20"/>
                <w:color w:val="auto"/>
              </w:rPr>
            </w:pPr>
            <w:r>
              <w:rPr>
                <w:rFonts w:ascii="Calibri" w:cs="Calibri" w:eastAsia="Calibri" w:hAnsi="Calibri"/>
                <w:sz w:val="17"/>
                <w:szCs w:val="17"/>
                <w:b w:val="1"/>
                <w:bCs w:val="1"/>
                <w:color w:val="1C4787"/>
                <w:w w:val="99"/>
              </w:rPr>
              <w:t>Unrealized</w:t>
            </w:r>
          </w:p>
        </w:tc>
        <w:tc>
          <w:tcPr>
            <w:tcW w:w="300" w:type="dxa"/>
            <w:vAlign w:val="bottom"/>
            <w:tcBorders>
              <w:top w:val="single" w:sz="8" w:color="auto"/>
            </w:tcBorders>
            <w:shd w:val="clear" w:color="auto" w:fill="E6EEFF"/>
          </w:tcPr>
          <w:p>
            <w:pPr>
              <w:spacing w:after="0"/>
              <w:rPr>
                <w:sz w:val="14"/>
                <w:szCs w:val="14"/>
                <w:color w:val="auto"/>
              </w:rPr>
            </w:pPr>
          </w:p>
        </w:tc>
        <w:tc>
          <w:tcPr>
            <w:tcW w:w="100" w:type="dxa"/>
            <w:vAlign w:val="bottom"/>
            <w:tcBorders>
              <w:top w:val="single" w:sz="8" w:color="E6EEFF"/>
            </w:tcBorders>
            <w:shd w:val="clear" w:color="auto" w:fill="E6EEFF"/>
          </w:tcPr>
          <w:p>
            <w:pPr>
              <w:spacing w:after="0"/>
              <w:rPr>
                <w:sz w:val="14"/>
                <w:szCs w:val="14"/>
                <w:color w:val="auto"/>
              </w:rPr>
            </w:pPr>
          </w:p>
        </w:tc>
        <w:tc>
          <w:tcPr>
            <w:tcW w:w="220" w:type="dxa"/>
            <w:vAlign w:val="bottom"/>
            <w:tcBorders>
              <w:top w:val="single" w:sz="8" w:color="auto"/>
            </w:tcBorders>
            <w:shd w:val="clear" w:color="auto" w:fill="E6EEFF"/>
          </w:tcPr>
          <w:p>
            <w:pPr>
              <w:spacing w:after="0"/>
              <w:rPr>
                <w:sz w:val="14"/>
                <w:szCs w:val="14"/>
                <w:color w:val="auto"/>
              </w:rPr>
            </w:pPr>
          </w:p>
        </w:tc>
        <w:tc>
          <w:tcPr>
            <w:tcW w:w="1120" w:type="dxa"/>
            <w:vAlign w:val="bottom"/>
            <w:tcBorders>
              <w:top w:val="single" w:sz="8" w:color="auto"/>
            </w:tcBorders>
            <w:shd w:val="clear" w:color="auto" w:fill="E6EEFF"/>
          </w:tcPr>
          <w:p>
            <w:pPr>
              <w:spacing w:after="0"/>
              <w:rPr>
                <w:sz w:val="14"/>
                <w:szCs w:val="14"/>
                <w:color w:val="auto"/>
              </w:rPr>
            </w:pPr>
          </w:p>
        </w:tc>
        <w:tc>
          <w:tcPr>
            <w:tcW w:w="120" w:type="dxa"/>
            <w:vAlign w:val="bottom"/>
            <w:tcBorders>
              <w:top w:val="single" w:sz="8" w:color="auto"/>
            </w:tcBorders>
            <w:shd w:val="clear" w:color="auto" w:fill="E6EEFF"/>
          </w:tcPr>
          <w:p>
            <w:pPr>
              <w:spacing w:after="0"/>
              <w:rPr>
                <w:sz w:val="14"/>
                <w:szCs w:val="14"/>
                <w:color w:val="auto"/>
              </w:rPr>
            </w:pPr>
          </w:p>
        </w:tc>
        <w:tc>
          <w:tcPr>
            <w:tcW w:w="200" w:type="dxa"/>
            <w:vAlign w:val="bottom"/>
            <w:tcBorders>
              <w:top w:val="single" w:sz="8" w:color="auto"/>
            </w:tcBorders>
            <w:shd w:val="clear" w:color="auto" w:fill="E6EEFF"/>
          </w:tcPr>
          <w:p>
            <w:pPr>
              <w:spacing w:after="0"/>
              <w:rPr>
                <w:sz w:val="14"/>
                <w:szCs w:val="14"/>
                <w:color w:val="auto"/>
              </w:rPr>
            </w:pPr>
          </w:p>
        </w:tc>
        <w:tc>
          <w:tcPr>
            <w:tcW w:w="1140" w:type="dxa"/>
            <w:vAlign w:val="bottom"/>
            <w:tcBorders>
              <w:top w:val="single" w:sz="8" w:color="auto"/>
            </w:tcBorders>
            <w:shd w:val="clear" w:color="auto" w:fill="E6EEFF"/>
          </w:tcPr>
          <w:p>
            <w:pPr>
              <w:jc w:val="center"/>
              <w:ind w:right="114"/>
              <w:spacing w:after="0" w:line="173" w:lineRule="exact"/>
              <w:rPr>
                <w:sz w:val="20"/>
                <w:szCs w:val="20"/>
                <w:color w:val="auto"/>
              </w:rPr>
            </w:pPr>
            <w:r>
              <w:rPr>
                <w:rFonts w:ascii="Calibri" w:cs="Calibri" w:eastAsia="Calibri" w:hAnsi="Calibri"/>
                <w:sz w:val="17"/>
                <w:szCs w:val="17"/>
                <w:b w:val="1"/>
                <w:bCs w:val="1"/>
                <w:color w:val="1C4787"/>
                <w:w w:val="97"/>
              </w:rPr>
              <w:t>Unrealized</w:t>
            </w:r>
          </w:p>
        </w:tc>
      </w:tr>
      <w:tr>
        <w:trPr>
          <w:trHeight w:val="227"/>
        </w:trPr>
        <w:tc>
          <w:tcPr>
            <w:tcW w:w="2560" w:type="dxa"/>
            <w:vAlign w:val="bottom"/>
            <w:tcBorders>
              <w:bottom w:val="single" w:sz="8" w:color="E6EEFF"/>
            </w:tcBorders>
            <w:gridSpan w:val="2"/>
            <w:shd w:val="clear" w:color="auto" w:fill="E6EEFF"/>
          </w:tcPr>
          <w:p>
            <w:pPr>
              <w:jc w:val="center"/>
              <w:ind w:right="120"/>
              <w:spacing w:after="0" w:line="205" w:lineRule="exact"/>
              <w:rPr>
                <w:sz w:val="20"/>
                <w:szCs w:val="20"/>
                <w:color w:val="auto"/>
              </w:rPr>
            </w:pPr>
            <w:r>
              <w:rPr>
                <w:rFonts w:ascii="Calibri" w:cs="Calibri" w:eastAsia="Calibri" w:hAnsi="Calibri"/>
                <w:sz w:val="17"/>
                <w:szCs w:val="17"/>
                <w:b w:val="1"/>
                <w:bCs w:val="1"/>
                <w:color w:val="1C4787"/>
                <w:w w:val="95"/>
              </w:rPr>
              <w:t>Sale</w:t>
            </w:r>
          </w:p>
        </w:tc>
        <w:tc>
          <w:tcPr>
            <w:tcW w:w="240" w:type="dxa"/>
            <w:vAlign w:val="bottom"/>
            <w:tcBorders>
              <w:bottom w:val="single" w:sz="8" w:color="E6EEFF"/>
            </w:tcBorders>
            <w:shd w:val="clear" w:color="auto" w:fill="E6EEFF"/>
          </w:tcPr>
          <w:p>
            <w:pPr>
              <w:spacing w:after="0"/>
              <w:rPr>
                <w:sz w:val="19"/>
                <w:szCs w:val="19"/>
                <w:color w:val="auto"/>
              </w:rPr>
            </w:pPr>
          </w:p>
        </w:tc>
        <w:tc>
          <w:tcPr>
            <w:tcW w:w="1280" w:type="dxa"/>
            <w:vAlign w:val="bottom"/>
            <w:tcBorders>
              <w:bottom w:val="single" w:sz="8" w:color="E6EEFF"/>
            </w:tcBorders>
            <w:gridSpan w:val="2"/>
            <w:shd w:val="clear" w:color="auto" w:fill="E6EEFF"/>
          </w:tcPr>
          <w:p>
            <w:pPr>
              <w:ind w:left="120"/>
              <w:spacing w:after="0" w:line="205" w:lineRule="exact"/>
              <w:rPr>
                <w:sz w:val="20"/>
                <w:szCs w:val="20"/>
                <w:color w:val="auto"/>
              </w:rPr>
            </w:pPr>
            <w:r>
              <w:rPr>
                <w:rFonts w:ascii="Calibri" w:cs="Calibri" w:eastAsia="Calibri" w:hAnsi="Calibri"/>
                <w:sz w:val="17"/>
                <w:szCs w:val="17"/>
                <w:b w:val="1"/>
                <w:bCs w:val="1"/>
                <w:color w:val="1C4787"/>
              </w:rPr>
              <w:t>Fair Value</w:t>
            </w:r>
          </w:p>
        </w:tc>
        <w:tc>
          <w:tcPr>
            <w:tcW w:w="220" w:type="dxa"/>
            <w:vAlign w:val="bottom"/>
            <w:tcBorders>
              <w:bottom w:val="single" w:sz="8" w:color="E6EEFF"/>
            </w:tcBorders>
            <w:shd w:val="clear" w:color="auto" w:fill="E6EEFF"/>
          </w:tcPr>
          <w:p>
            <w:pPr>
              <w:spacing w:after="0"/>
              <w:rPr>
                <w:sz w:val="19"/>
                <w:szCs w:val="19"/>
                <w:color w:val="auto"/>
              </w:rPr>
            </w:pPr>
          </w:p>
        </w:tc>
        <w:tc>
          <w:tcPr>
            <w:tcW w:w="1240" w:type="dxa"/>
            <w:vAlign w:val="bottom"/>
            <w:tcBorders>
              <w:bottom w:val="single" w:sz="8" w:color="E6EEFF"/>
            </w:tcBorders>
            <w:gridSpan w:val="2"/>
            <w:shd w:val="clear" w:color="auto" w:fill="E6EEFF"/>
          </w:tcPr>
          <w:p>
            <w:pPr>
              <w:jc w:val="center"/>
              <w:ind w:right="320"/>
              <w:spacing w:after="0" w:line="205" w:lineRule="exact"/>
              <w:rPr>
                <w:sz w:val="20"/>
                <w:szCs w:val="20"/>
                <w:color w:val="auto"/>
              </w:rPr>
            </w:pPr>
            <w:r>
              <w:rPr>
                <w:rFonts w:ascii="Calibri" w:cs="Calibri" w:eastAsia="Calibri" w:hAnsi="Calibri"/>
                <w:sz w:val="17"/>
                <w:szCs w:val="17"/>
                <w:b w:val="1"/>
                <w:bCs w:val="1"/>
                <w:color w:val="1C4787"/>
                <w:w w:val="97"/>
              </w:rPr>
              <w:t>Losses</w:t>
            </w:r>
          </w:p>
        </w:tc>
        <w:tc>
          <w:tcPr>
            <w:tcW w:w="220" w:type="dxa"/>
            <w:vAlign w:val="bottom"/>
            <w:tcBorders>
              <w:bottom w:val="single" w:sz="8" w:color="E6EEFF"/>
            </w:tcBorders>
            <w:shd w:val="clear" w:color="auto" w:fill="E6EEFF"/>
          </w:tcPr>
          <w:p>
            <w:pPr>
              <w:spacing w:after="0"/>
              <w:rPr>
                <w:sz w:val="19"/>
                <w:szCs w:val="19"/>
                <w:color w:val="auto"/>
              </w:rPr>
            </w:pPr>
          </w:p>
        </w:tc>
        <w:tc>
          <w:tcPr>
            <w:tcW w:w="1240" w:type="dxa"/>
            <w:vAlign w:val="bottom"/>
            <w:tcBorders>
              <w:bottom w:val="single" w:sz="8" w:color="E6EEFF"/>
            </w:tcBorders>
            <w:gridSpan w:val="2"/>
            <w:shd w:val="clear" w:color="auto" w:fill="E6EEFF"/>
          </w:tcPr>
          <w:p>
            <w:pPr>
              <w:ind w:left="120"/>
              <w:spacing w:after="0" w:line="205" w:lineRule="exact"/>
              <w:rPr>
                <w:sz w:val="20"/>
                <w:szCs w:val="20"/>
                <w:color w:val="auto"/>
              </w:rPr>
            </w:pPr>
            <w:r>
              <w:rPr>
                <w:rFonts w:ascii="Calibri" w:cs="Calibri" w:eastAsia="Calibri" w:hAnsi="Calibri"/>
                <w:sz w:val="17"/>
                <w:szCs w:val="17"/>
                <w:b w:val="1"/>
                <w:bCs w:val="1"/>
                <w:color w:val="1C4787"/>
              </w:rPr>
              <w:t>Fair Value</w:t>
            </w:r>
          </w:p>
        </w:tc>
        <w:tc>
          <w:tcPr>
            <w:tcW w:w="1040" w:type="dxa"/>
            <w:vAlign w:val="bottom"/>
            <w:tcBorders>
              <w:bottom w:val="single" w:sz="8" w:color="E6EEFF"/>
            </w:tcBorders>
            <w:shd w:val="clear" w:color="auto" w:fill="E6EEFF"/>
          </w:tcPr>
          <w:p>
            <w:pPr>
              <w:jc w:val="center"/>
              <w:ind w:left="194"/>
              <w:spacing w:after="0" w:line="205" w:lineRule="exact"/>
              <w:rPr>
                <w:sz w:val="20"/>
                <w:szCs w:val="20"/>
                <w:color w:val="auto"/>
              </w:rPr>
            </w:pPr>
            <w:r>
              <w:rPr>
                <w:rFonts w:ascii="Calibri" w:cs="Calibri" w:eastAsia="Calibri" w:hAnsi="Calibri"/>
                <w:sz w:val="17"/>
                <w:szCs w:val="17"/>
                <w:b w:val="1"/>
                <w:bCs w:val="1"/>
                <w:color w:val="1C4787"/>
                <w:w w:val="97"/>
              </w:rPr>
              <w:t>Losses</w:t>
            </w:r>
          </w:p>
        </w:tc>
        <w:tc>
          <w:tcPr>
            <w:tcW w:w="300" w:type="dxa"/>
            <w:vAlign w:val="bottom"/>
            <w:tcBorders>
              <w:bottom w:val="single" w:sz="8" w:color="E6EEFF"/>
            </w:tcBorders>
            <w:shd w:val="clear" w:color="auto" w:fill="E6EEFF"/>
          </w:tcPr>
          <w:p>
            <w:pPr>
              <w:spacing w:after="0"/>
              <w:rPr>
                <w:sz w:val="19"/>
                <w:szCs w:val="19"/>
                <w:color w:val="auto"/>
              </w:rPr>
            </w:pPr>
          </w:p>
        </w:tc>
        <w:tc>
          <w:tcPr>
            <w:tcW w:w="100" w:type="dxa"/>
            <w:vAlign w:val="bottom"/>
            <w:tcBorders>
              <w:bottom w:val="single" w:sz="8" w:color="E6EEFF"/>
            </w:tcBorders>
            <w:shd w:val="clear" w:color="auto" w:fill="E6EEFF"/>
          </w:tcPr>
          <w:p>
            <w:pPr>
              <w:spacing w:after="0"/>
              <w:rPr>
                <w:sz w:val="19"/>
                <w:szCs w:val="19"/>
                <w:color w:val="auto"/>
              </w:rPr>
            </w:pPr>
          </w:p>
        </w:tc>
        <w:tc>
          <w:tcPr>
            <w:tcW w:w="220" w:type="dxa"/>
            <w:vAlign w:val="bottom"/>
            <w:tcBorders>
              <w:bottom w:val="single" w:sz="8" w:color="E6EEFF"/>
            </w:tcBorders>
            <w:shd w:val="clear" w:color="auto" w:fill="E6EEFF"/>
          </w:tcPr>
          <w:p>
            <w:pPr>
              <w:spacing w:after="0"/>
              <w:rPr>
                <w:sz w:val="19"/>
                <w:szCs w:val="19"/>
                <w:color w:val="auto"/>
              </w:rPr>
            </w:pPr>
          </w:p>
        </w:tc>
        <w:tc>
          <w:tcPr>
            <w:tcW w:w="1240" w:type="dxa"/>
            <w:vAlign w:val="bottom"/>
            <w:tcBorders>
              <w:bottom w:val="single" w:sz="8" w:color="E6EEFF"/>
            </w:tcBorders>
            <w:gridSpan w:val="2"/>
            <w:shd w:val="clear" w:color="auto" w:fill="E6EEFF"/>
          </w:tcPr>
          <w:p>
            <w:pPr>
              <w:ind w:left="120"/>
              <w:spacing w:after="0" w:line="205" w:lineRule="exact"/>
              <w:rPr>
                <w:sz w:val="20"/>
                <w:szCs w:val="20"/>
                <w:color w:val="auto"/>
              </w:rPr>
            </w:pPr>
            <w:r>
              <w:rPr>
                <w:rFonts w:ascii="Calibri" w:cs="Calibri" w:eastAsia="Calibri" w:hAnsi="Calibri"/>
                <w:sz w:val="17"/>
                <w:szCs w:val="17"/>
                <w:b w:val="1"/>
                <w:bCs w:val="1"/>
                <w:color w:val="1C4787"/>
              </w:rPr>
              <w:t>Fair Value</w:t>
            </w:r>
          </w:p>
        </w:tc>
        <w:tc>
          <w:tcPr>
            <w:tcW w:w="200" w:type="dxa"/>
            <w:vAlign w:val="bottom"/>
            <w:tcBorders>
              <w:bottom w:val="single" w:sz="8" w:color="E6EEFF"/>
            </w:tcBorders>
            <w:shd w:val="clear" w:color="auto" w:fill="E6EEFF"/>
          </w:tcPr>
          <w:p>
            <w:pPr>
              <w:spacing w:after="0"/>
              <w:rPr>
                <w:sz w:val="19"/>
                <w:szCs w:val="19"/>
                <w:color w:val="auto"/>
              </w:rPr>
            </w:pPr>
          </w:p>
        </w:tc>
        <w:tc>
          <w:tcPr>
            <w:tcW w:w="1140" w:type="dxa"/>
            <w:vAlign w:val="bottom"/>
            <w:tcBorders>
              <w:bottom w:val="single" w:sz="8" w:color="E6EEFF"/>
            </w:tcBorders>
            <w:shd w:val="clear" w:color="auto" w:fill="E6EEFF"/>
          </w:tcPr>
          <w:p>
            <w:pPr>
              <w:jc w:val="center"/>
              <w:ind w:right="94"/>
              <w:spacing w:after="0" w:line="205" w:lineRule="exact"/>
              <w:rPr>
                <w:sz w:val="20"/>
                <w:szCs w:val="20"/>
                <w:color w:val="auto"/>
              </w:rPr>
            </w:pPr>
            <w:r>
              <w:rPr>
                <w:rFonts w:ascii="Calibri" w:cs="Calibri" w:eastAsia="Calibri" w:hAnsi="Calibri"/>
                <w:sz w:val="17"/>
                <w:szCs w:val="17"/>
                <w:b w:val="1"/>
                <w:bCs w:val="1"/>
                <w:color w:val="1C4787"/>
                <w:w w:val="97"/>
              </w:rPr>
              <w:t>Losses</w:t>
            </w:r>
          </w:p>
        </w:tc>
      </w:tr>
      <w:tr>
        <w:trPr>
          <w:trHeight w:val="198"/>
        </w:trPr>
        <w:tc>
          <w:tcPr>
            <w:tcW w:w="2440" w:type="dxa"/>
            <w:vAlign w:val="bottom"/>
            <w:tcBorders>
              <w:top w:val="single" w:sz="8" w:color="auto"/>
            </w:tcBorders>
          </w:tcPr>
          <w:p>
            <w:pPr>
              <w:ind w:left="20"/>
              <w:spacing w:after="0" w:line="198" w:lineRule="exact"/>
              <w:rPr>
                <w:sz w:val="20"/>
                <w:szCs w:val="20"/>
                <w:color w:val="auto"/>
              </w:rPr>
            </w:pPr>
            <w:r>
              <w:rPr>
                <w:rFonts w:ascii="Calibri" w:cs="Calibri" w:eastAsia="Calibri" w:hAnsi="Calibri"/>
                <w:sz w:val="17"/>
                <w:szCs w:val="17"/>
                <w:color w:val="auto"/>
              </w:rPr>
              <w:t>December 31, 2022</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54"/>
              <w:spacing w:after="0" w:line="198" w:lineRule="exact"/>
              <w:rPr>
                <w:sz w:val="20"/>
                <w:szCs w:val="20"/>
                <w:color w:val="auto"/>
              </w:rPr>
            </w:pPr>
            <w:r>
              <w:rPr>
                <w:rFonts w:ascii="Calibri" w:cs="Calibri" w:eastAsia="Calibri" w:hAnsi="Calibri"/>
                <w:sz w:val="17"/>
                <w:szCs w:val="17"/>
                <w:color w:val="auto"/>
                <w:w w:val="92"/>
              </w:rPr>
              <w:t>$</w:t>
            </w:r>
          </w:p>
        </w:tc>
        <w:tc>
          <w:tcPr>
            <w:tcW w:w="118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187,397</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14"/>
              <w:spacing w:after="0" w:line="198" w:lineRule="exact"/>
              <w:rPr>
                <w:sz w:val="20"/>
                <w:szCs w:val="20"/>
                <w:color w:val="auto"/>
              </w:rPr>
            </w:pPr>
            <w:r>
              <w:rPr>
                <w:rFonts w:ascii="Calibri" w:cs="Calibri" w:eastAsia="Calibri" w:hAnsi="Calibri"/>
                <w:sz w:val="17"/>
                <w:szCs w:val="17"/>
                <w:color w:val="auto"/>
              </w:rPr>
              <w:t>$</w:t>
            </w:r>
          </w:p>
        </w:tc>
        <w:tc>
          <w:tcPr>
            <w:tcW w:w="114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(11,497)</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14"/>
              <w:spacing w:after="0" w:line="198" w:lineRule="exact"/>
              <w:rPr>
                <w:sz w:val="20"/>
                <w:szCs w:val="20"/>
                <w:color w:val="auto"/>
              </w:rPr>
            </w:pPr>
            <w:r>
              <w:rPr>
                <w:rFonts w:ascii="Calibri" w:cs="Calibri" w:eastAsia="Calibri" w:hAnsi="Calibri"/>
                <w:sz w:val="17"/>
                <w:szCs w:val="17"/>
                <w:color w:val="auto"/>
              </w:rPr>
              <w:t>$</w:t>
            </w:r>
          </w:p>
        </w:tc>
        <w:tc>
          <w:tcPr>
            <w:tcW w:w="112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548</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ind w:right="854"/>
              <w:spacing w:after="0" w:line="198" w:lineRule="exact"/>
              <w:rPr>
                <w:sz w:val="20"/>
                <w:szCs w:val="20"/>
                <w:color w:val="auto"/>
              </w:rPr>
            </w:pPr>
            <w:r>
              <w:rPr>
                <w:rFonts w:ascii="Calibri" w:cs="Calibri" w:eastAsia="Calibri" w:hAnsi="Calibri"/>
                <w:sz w:val="17"/>
                <w:szCs w:val="17"/>
                <w:color w:val="auto"/>
                <w:w w:val="92"/>
              </w:rPr>
              <w:t>$</w:t>
            </w:r>
          </w:p>
        </w:tc>
        <w:tc>
          <w:tcPr>
            <w:tcW w:w="30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w w:val="86"/>
              </w:rPr>
              <w:t>(30)</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14"/>
              <w:spacing w:after="0" w:line="198" w:lineRule="exact"/>
              <w:rPr>
                <w:sz w:val="20"/>
                <w:szCs w:val="20"/>
                <w:color w:val="auto"/>
              </w:rPr>
            </w:pPr>
            <w:r>
              <w:rPr>
                <w:rFonts w:ascii="Calibri" w:cs="Calibri" w:eastAsia="Calibri" w:hAnsi="Calibri"/>
                <w:sz w:val="17"/>
                <w:szCs w:val="17"/>
                <w:color w:val="auto"/>
              </w:rPr>
              <w:t>$</w:t>
            </w:r>
          </w:p>
        </w:tc>
        <w:tc>
          <w:tcPr>
            <w:tcW w:w="112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187,945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4"/>
              <w:spacing w:after="0" w:line="198" w:lineRule="exact"/>
              <w:rPr>
                <w:sz w:val="20"/>
                <w:szCs w:val="20"/>
                <w:color w:val="auto"/>
              </w:rPr>
            </w:pPr>
            <w:r>
              <w:rPr>
                <w:rFonts w:ascii="Calibri" w:cs="Calibri" w:eastAsia="Calibri" w:hAnsi="Calibri"/>
                <w:sz w:val="17"/>
                <w:szCs w:val="17"/>
                <w:color w:val="auto"/>
                <w:w w:val="92"/>
              </w:rPr>
              <w:t>$</w:t>
            </w:r>
          </w:p>
        </w:tc>
        <w:tc>
          <w:tcPr>
            <w:tcW w:w="114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(11,527)</w:t>
            </w:r>
          </w:p>
        </w:tc>
      </w:tr>
    </w:tbl>
    <w:p>
      <w:pPr>
        <w:spacing w:after="0" w:line="13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Note 6 - Repurchase Agreements, net</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At December 31, 2023, we had actve MRAs with 39 counterpartes and had $9,647,982 in outstanding borrowings with 14 of those counterpartes. At December 31, 2022, we had actve MRAs with 38 counterpartes and had $6,463,058 in outstanding borrowings with 16 of those counterpartes.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91" w:name="page92"/>
    <w:bookmarkEnd w:id="91"/>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90</w:t>
      </w:r>
    </w:p>
    <w:p>
      <w:pPr>
        <w:spacing w:after="0" w:line="200" w:lineRule="exact"/>
        <w:rPr>
          <w:sz w:val="20"/>
          <w:szCs w:val="20"/>
          <w:color w:val="auto"/>
        </w:rPr>
      </w:pPr>
    </w:p>
    <w:p>
      <w:pPr>
        <w:spacing w:after="0" w:line="318"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following table represents the contractual repricing regarding our repurchase agreements to fnance MBS purchases at December 31, 2023 and December 31, 2022. Our repurchase agreements require excess collateral, known as a "haircut." At December 31, 2023, the average haircut percentage was 2.74% compared to 3.85% at December 31, 2022. The haircut for our repurchase agreements vary by counterparty and therefore, the changes in the average haircut percentage will vary with the changes in our counterparty repurchase agreement balances.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2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300" w:type="dxa"/>
            <w:vAlign w:val="bottom"/>
            <w:shd w:val="clear" w:color="auto" w:fill="E6EEFF"/>
          </w:tcPr>
          <w:p>
            <w:pPr>
              <w:spacing w:after="0"/>
              <w:rPr>
                <w:sz w:val="18"/>
                <w:szCs w:val="18"/>
                <w:color w:val="auto"/>
              </w:rPr>
            </w:pPr>
          </w:p>
        </w:tc>
        <w:tc>
          <w:tcPr>
            <w:tcW w:w="128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2080" w:type="dxa"/>
            <w:vAlign w:val="bottom"/>
            <w:gridSpan w:val="2"/>
            <w:shd w:val="clear" w:color="auto" w:fill="E6EEFF"/>
          </w:tcPr>
          <w:p>
            <w:pPr>
              <w:jc w:val="center"/>
              <w:ind w:right="120"/>
              <w:spacing w:after="0"/>
              <w:rPr>
                <w:sz w:val="20"/>
                <w:szCs w:val="20"/>
                <w:color w:val="auto"/>
              </w:rPr>
            </w:pPr>
            <w:r>
              <w:rPr>
                <w:rFonts w:ascii="Calibri" w:cs="Calibri" w:eastAsia="Calibri" w:hAnsi="Calibri"/>
                <w:sz w:val="17"/>
                <w:szCs w:val="17"/>
                <w:b w:val="1"/>
                <w:bCs w:val="1"/>
                <w:color w:val="1C4787"/>
                <w:w w:val="97"/>
              </w:rPr>
              <w:t>Weighted Average</w:t>
            </w:r>
          </w:p>
        </w:tc>
        <w:tc>
          <w:tcPr>
            <w:tcW w:w="1920" w:type="dxa"/>
            <w:vAlign w:val="bottom"/>
            <w:shd w:val="clear" w:color="auto" w:fill="E6EEFF"/>
          </w:tcPr>
          <w:p>
            <w:pPr>
              <w:jc w:val="right"/>
              <w:ind w:right="234"/>
              <w:spacing w:after="0"/>
              <w:rPr>
                <w:sz w:val="20"/>
                <w:szCs w:val="20"/>
                <w:color w:val="auto"/>
              </w:rPr>
            </w:pPr>
            <w:r>
              <w:rPr>
                <w:rFonts w:ascii="Calibri" w:cs="Calibri" w:eastAsia="Calibri" w:hAnsi="Calibri"/>
                <w:sz w:val="17"/>
                <w:szCs w:val="17"/>
                <w:b w:val="1"/>
                <w:bCs w:val="1"/>
                <w:color w:val="1C4787"/>
              </w:rPr>
              <w:t>Weighted Average</w:t>
            </w:r>
          </w:p>
        </w:tc>
      </w:tr>
      <w:tr>
        <w:trPr>
          <w:trHeight w:val="240"/>
        </w:trPr>
        <w:tc>
          <w:tcPr>
            <w:tcW w:w="5540" w:type="dxa"/>
            <w:vAlign w:val="bottom"/>
            <w:tcBorders>
              <w:bottom w:val="single" w:sz="8" w:color="E6EEFF"/>
            </w:tcBorders>
            <w:gridSpan w:val="2"/>
            <w:shd w:val="clear" w:color="auto" w:fill="E6EEFF"/>
          </w:tcPr>
          <w:p>
            <w:pPr>
              <w:ind w:left="20"/>
              <w:spacing w:after="0"/>
              <w:rPr>
                <w:sz w:val="20"/>
                <w:szCs w:val="20"/>
                <w:color w:val="auto"/>
              </w:rPr>
            </w:pPr>
            <w:r>
              <w:rPr>
                <w:rFonts w:ascii="Calibri" w:cs="Calibri" w:eastAsia="Calibri" w:hAnsi="Calibri"/>
                <w:sz w:val="17"/>
                <w:szCs w:val="17"/>
                <w:b w:val="1"/>
                <w:bCs w:val="1"/>
                <w:color w:val="1C4787"/>
              </w:rPr>
              <w:t>December 31, 2023</w:t>
            </w:r>
          </w:p>
        </w:tc>
        <w:tc>
          <w:tcPr>
            <w:tcW w:w="300" w:type="dxa"/>
            <w:vAlign w:val="bottom"/>
            <w:tcBorders>
              <w:bottom w:val="single" w:sz="8" w:color="E6EEFF"/>
            </w:tcBorders>
            <w:shd w:val="clear" w:color="auto" w:fill="E6EEFF"/>
          </w:tcPr>
          <w:p>
            <w:pPr>
              <w:spacing w:after="0"/>
              <w:rPr>
                <w:sz w:val="20"/>
                <w:szCs w:val="20"/>
                <w:color w:val="auto"/>
              </w:rPr>
            </w:pPr>
          </w:p>
        </w:tc>
        <w:tc>
          <w:tcPr>
            <w:tcW w:w="1280" w:type="dxa"/>
            <w:vAlign w:val="bottom"/>
            <w:tcBorders>
              <w:bottom w:val="single" w:sz="8" w:color="E6EEFF"/>
            </w:tcBorders>
            <w:shd w:val="clear" w:color="auto" w:fill="E6EEFF"/>
          </w:tcPr>
          <w:p>
            <w:pPr>
              <w:jc w:val="right"/>
              <w:ind w:right="434"/>
              <w:spacing w:after="0"/>
              <w:rPr>
                <w:sz w:val="20"/>
                <w:szCs w:val="20"/>
                <w:color w:val="auto"/>
              </w:rPr>
            </w:pPr>
            <w:r>
              <w:rPr>
                <w:rFonts w:ascii="Calibri" w:cs="Calibri" w:eastAsia="Calibri" w:hAnsi="Calibri"/>
                <w:sz w:val="17"/>
                <w:szCs w:val="17"/>
                <w:b w:val="1"/>
                <w:bCs w:val="1"/>
                <w:color w:val="1C4787"/>
              </w:rPr>
              <w:t>Balance</w:t>
            </w:r>
          </w:p>
        </w:tc>
        <w:tc>
          <w:tcPr>
            <w:tcW w:w="120" w:type="dxa"/>
            <w:vAlign w:val="bottom"/>
            <w:tcBorders>
              <w:bottom w:val="single" w:sz="8" w:color="E6EEFF"/>
            </w:tcBorders>
            <w:shd w:val="clear" w:color="auto" w:fill="E6EEFF"/>
          </w:tcPr>
          <w:p>
            <w:pPr>
              <w:spacing w:after="0"/>
              <w:rPr>
                <w:sz w:val="20"/>
                <w:szCs w:val="20"/>
                <w:color w:val="auto"/>
              </w:rPr>
            </w:pPr>
          </w:p>
        </w:tc>
        <w:tc>
          <w:tcPr>
            <w:tcW w:w="2080" w:type="dxa"/>
            <w:vAlign w:val="bottom"/>
            <w:tcBorders>
              <w:bottom w:val="single" w:sz="8" w:color="E6EEFF"/>
            </w:tcBorders>
            <w:gridSpan w:val="2"/>
            <w:shd w:val="clear" w:color="auto" w:fill="E6EEFF"/>
          </w:tcPr>
          <w:p>
            <w:pPr>
              <w:jc w:val="center"/>
              <w:ind w:right="120"/>
              <w:spacing w:after="0" w:line="205" w:lineRule="exact"/>
              <w:rPr>
                <w:sz w:val="20"/>
                <w:szCs w:val="20"/>
                <w:color w:val="auto"/>
              </w:rPr>
            </w:pPr>
            <w:r>
              <w:rPr>
                <w:rFonts w:ascii="Calibri" w:cs="Calibri" w:eastAsia="Calibri" w:hAnsi="Calibri"/>
                <w:sz w:val="17"/>
                <w:szCs w:val="17"/>
                <w:b w:val="1"/>
                <w:bCs w:val="1"/>
                <w:color w:val="1C4787"/>
                <w:w w:val="97"/>
              </w:rPr>
              <w:t>Contractual Rate</w:t>
            </w:r>
          </w:p>
        </w:tc>
        <w:tc>
          <w:tcPr>
            <w:tcW w:w="1920" w:type="dxa"/>
            <w:vAlign w:val="bottom"/>
            <w:tcBorders>
              <w:bottom w:val="single" w:sz="8" w:color="E6EEFF"/>
            </w:tcBorders>
            <w:shd w:val="clear" w:color="auto" w:fill="E6EEFF"/>
          </w:tcPr>
          <w:p>
            <w:pPr>
              <w:jc w:val="right"/>
              <w:ind w:right="314"/>
              <w:spacing w:after="0" w:line="205" w:lineRule="exact"/>
              <w:rPr>
                <w:sz w:val="20"/>
                <w:szCs w:val="20"/>
                <w:color w:val="auto"/>
              </w:rPr>
            </w:pPr>
            <w:r>
              <w:rPr>
                <w:rFonts w:ascii="Calibri" w:cs="Calibri" w:eastAsia="Calibri" w:hAnsi="Calibri"/>
                <w:sz w:val="17"/>
                <w:szCs w:val="17"/>
                <w:b w:val="1"/>
                <w:bCs w:val="1"/>
                <w:color w:val="1C4787"/>
              </w:rPr>
              <w:t>Maturity in days</w:t>
            </w:r>
          </w:p>
        </w:tc>
      </w:tr>
      <w:tr>
        <w:trPr>
          <w:trHeight w:val="205"/>
        </w:trPr>
        <w:tc>
          <w:tcPr>
            <w:tcW w:w="542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1C4787"/>
              </w:rPr>
              <w:t>Agency Securites</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r>
      <w:tr>
        <w:trPr>
          <w:trHeight w:val="226"/>
        </w:trPr>
        <w:tc>
          <w:tcPr>
            <w:tcW w:w="5540" w:type="dxa"/>
            <w:vAlign w:val="bottom"/>
            <w:gridSpan w:val="2"/>
            <w:shd w:val="clear" w:color="auto" w:fill="E6EEFF"/>
          </w:tcPr>
          <w:p>
            <w:pPr>
              <w:ind w:left="220"/>
              <w:spacing w:after="0" w:line="227" w:lineRule="exact"/>
              <w:rPr>
                <w:sz w:val="20"/>
                <w:szCs w:val="20"/>
                <w:color w:val="auto"/>
              </w:rPr>
            </w:pPr>
            <w:r>
              <w:rPr>
                <w:rFonts w:ascii="Calibri" w:cs="Calibri" w:eastAsia="Calibri" w:hAnsi="Calibri"/>
                <w:sz w:val="17"/>
                <w:szCs w:val="17"/>
                <w:color w:val="auto"/>
              </w:rPr>
              <w:t xml:space="preserve">≤ 30 days </w:t>
            </w:r>
            <w:r>
              <w:rPr>
                <w:rFonts w:ascii="Calibri" w:cs="Calibri" w:eastAsia="Calibri" w:hAnsi="Calibri"/>
                <w:sz w:val="22"/>
                <w:szCs w:val="22"/>
                <w:color w:val="auto"/>
                <w:vertAlign w:val="superscript"/>
              </w:rPr>
              <w:t>(1)</w:t>
            </w:r>
          </w:p>
        </w:tc>
        <w:tc>
          <w:tcPr>
            <w:tcW w:w="300" w:type="dxa"/>
            <w:vAlign w:val="bottom"/>
            <w:tcBorders>
              <w:bottom w:val="single" w:sz="8" w:color="auto"/>
            </w:tcBorders>
            <w:shd w:val="clear" w:color="auto" w:fill="E6EEFF"/>
          </w:tcPr>
          <w:p>
            <w:pPr>
              <w:jc w:val="right"/>
              <w:ind w:right="114"/>
              <w:spacing w:after="0"/>
              <w:rPr>
                <w:sz w:val="20"/>
                <w:szCs w:val="20"/>
                <w:color w:val="auto"/>
              </w:rPr>
            </w:pPr>
            <w:r>
              <w:rPr>
                <w:rFonts w:ascii="Calibri" w:cs="Calibri" w:eastAsia="Calibri" w:hAnsi="Calibri"/>
                <w:sz w:val="17"/>
                <w:szCs w:val="17"/>
                <w:color w:val="auto"/>
                <w:w w:val="92"/>
              </w:rPr>
              <w:t>$</w:t>
            </w:r>
          </w:p>
        </w:tc>
        <w:tc>
          <w:tcPr>
            <w:tcW w:w="128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9,647,982</w:t>
            </w:r>
          </w:p>
        </w:tc>
        <w:tc>
          <w:tcPr>
            <w:tcW w:w="208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5.54 %</w:t>
            </w:r>
          </w:p>
        </w:tc>
        <w:tc>
          <w:tcPr>
            <w:tcW w:w="120" w:type="dxa"/>
            <w:vAlign w:val="bottom"/>
            <w:shd w:val="clear" w:color="auto" w:fill="E6EEFF"/>
          </w:tcPr>
          <w:p>
            <w:pPr>
              <w:spacing w:after="0"/>
              <w:rPr>
                <w:sz w:val="19"/>
                <w:szCs w:val="19"/>
                <w:color w:val="auto"/>
              </w:rPr>
            </w:pPr>
          </w:p>
        </w:tc>
        <w:tc>
          <w:tcPr>
            <w:tcW w:w="1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12</w:t>
            </w:r>
          </w:p>
        </w:tc>
      </w:tr>
      <w:tr>
        <w:trPr>
          <w:trHeight w:val="212"/>
        </w:trPr>
        <w:tc>
          <w:tcPr>
            <w:tcW w:w="5540" w:type="dxa"/>
            <w:vAlign w:val="bottom"/>
            <w:gridSpan w:val="2"/>
          </w:tcPr>
          <w:p>
            <w:pPr>
              <w:ind w:left="20"/>
              <w:spacing w:after="0"/>
              <w:rPr>
                <w:sz w:val="20"/>
                <w:szCs w:val="20"/>
                <w:color w:val="auto"/>
              </w:rPr>
            </w:pPr>
            <w:r>
              <w:rPr>
                <w:rFonts w:ascii="Calibri" w:cs="Calibri" w:eastAsia="Calibri" w:hAnsi="Calibri"/>
                <w:sz w:val="17"/>
                <w:szCs w:val="17"/>
                <w:b w:val="1"/>
                <w:bCs w:val="1"/>
                <w:color w:val="1C4787"/>
              </w:rPr>
              <w:t>Total or Weighted Average</w:t>
            </w:r>
          </w:p>
        </w:tc>
        <w:tc>
          <w:tcPr>
            <w:tcW w:w="300" w:type="dxa"/>
            <w:vAlign w:val="bottom"/>
            <w:tcBorders>
              <w:bottom w:val="single" w:sz="8" w:color="auto"/>
            </w:tcBorders>
          </w:tcPr>
          <w:p>
            <w:pPr>
              <w:jc w:val="right"/>
              <w:ind w:right="114"/>
              <w:spacing w:after="0" w:line="205" w:lineRule="exact"/>
              <w:rPr>
                <w:sz w:val="20"/>
                <w:szCs w:val="20"/>
                <w:color w:val="auto"/>
              </w:rPr>
            </w:pPr>
            <w:r>
              <w:rPr>
                <w:rFonts w:ascii="Calibri" w:cs="Calibri" w:eastAsia="Calibri" w:hAnsi="Calibri"/>
                <w:sz w:val="17"/>
                <w:szCs w:val="17"/>
                <w:color w:val="auto"/>
                <w:w w:val="92"/>
              </w:rPr>
              <w:t>$</w:t>
            </w:r>
          </w:p>
        </w:tc>
        <w:tc>
          <w:tcPr>
            <w:tcW w:w="12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9,647,982</w:t>
            </w:r>
          </w:p>
        </w:tc>
        <w:tc>
          <w:tcPr>
            <w:tcW w:w="2080" w:type="dxa"/>
            <w:vAlign w:val="bottom"/>
            <w:gridSpan w:val="2"/>
          </w:tcPr>
          <w:p>
            <w:pPr>
              <w:jc w:val="right"/>
              <w:spacing w:after="0"/>
              <w:rPr>
                <w:sz w:val="20"/>
                <w:szCs w:val="20"/>
                <w:color w:val="auto"/>
              </w:rPr>
            </w:pPr>
            <w:r>
              <w:rPr>
                <w:rFonts w:ascii="Calibri" w:cs="Calibri" w:eastAsia="Calibri" w:hAnsi="Calibri"/>
                <w:sz w:val="17"/>
                <w:szCs w:val="17"/>
                <w:color w:val="auto"/>
              </w:rPr>
              <w:t>5.54 %</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Calibri" w:cs="Calibri" w:eastAsia="Calibri" w:hAnsi="Calibri"/>
                <w:sz w:val="17"/>
                <w:szCs w:val="17"/>
                <w:color w:val="auto"/>
              </w:rPr>
              <w:t>12</w:t>
            </w:r>
          </w:p>
        </w:tc>
      </w:tr>
      <w:tr>
        <w:trPr>
          <w:trHeight w:val="20"/>
        </w:trPr>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08" w:lineRule="exact"/>
        <w:rPr>
          <w:sz w:val="20"/>
          <w:szCs w:val="20"/>
          <w:color w:val="auto"/>
        </w:rPr>
      </w:pPr>
    </w:p>
    <w:p>
      <w:pPr>
        <w:ind w:left="240" w:hanging="237"/>
        <w:spacing w:after="0" w:line="237" w:lineRule="auto"/>
        <w:tabs>
          <w:tab w:leader="none" w:pos="250" w:val="left"/>
        </w:tabs>
        <w:numPr>
          <w:ilvl w:val="0"/>
          <w:numId w:val="32"/>
        </w:numPr>
        <w:rPr>
          <w:rFonts w:ascii="Calibri" w:cs="Calibri" w:eastAsia="Calibri" w:hAnsi="Calibri"/>
          <w:sz w:val="17"/>
          <w:szCs w:val="17"/>
          <w:color w:val="auto"/>
        </w:rPr>
      </w:pPr>
      <w:r>
        <w:rPr>
          <w:rFonts w:ascii="Calibri" w:cs="Calibri" w:eastAsia="Calibri" w:hAnsi="Calibri"/>
          <w:sz w:val="17"/>
          <w:szCs w:val="17"/>
          <w:color w:val="auto"/>
        </w:rPr>
        <w:t>Net of reverse repurchase agreements of $353,937. Obligatons to return securites received as collateral of $350,273 associated with the reverse repurchase agreements are all due within 30 days.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2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300" w:type="dxa"/>
            <w:vAlign w:val="bottom"/>
            <w:shd w:val="clear" w:color="auto" w:fill="E6EEFF"/>
          </w:tcPr>
          <w:p>
            <w:pPr>
              <w:spacing w:after="0"/>
              <w:rPr>
                <w:sz w:val="18"/>
                <w:szCs w:val="18"/>
                <w:color w:val="auto"/>
              </w:rPr>
            </w:pPr>
          </w:p>
        </w:tc>
        <w:tc>
          <w:tcPr>
            <w:tcW w:w="128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2080" w:type="dxa"/>
            <w:vAlign w:val="bottom"/>
            <w:gridSpan w:val="2"/>
            <w:shd w:val="clear" w:color="auto" w:fill="E6EEFF"/>
          </w:tcPr>
          <w:p>
            <w:pPr>
              <w:jc w:val="center"/>
              <w:ind w:right="120"/>
              <w:spacing w:after="0"/>
              <w:rPr>
                <w:sz w:val="20"/>
                <w:szCs w:val="20"/>
                <w:color w:val="auto"/>
              </w:rPr>
            </w:pPr>
            <w:r>
              <w:rPr>
                <w:rFonts w:ascii="Calibri" w:cs="Calibri" w:eastAsia="Calibri" w:hAnsi="Calibri"/>
                <w:sz w:val="17"/>
                <w:szCs w:val="17"/>
                <w:b w:val="1"/>
                <w:bCs w:val="1"/>
                <w:color w:val="1C4787"/>
                <w:w w:val="97"/>
              </w:rPr>
              <w:t>Weighted Average</w:t>
            </w:r>
          </w:p>
        </w:tc>
        <w:tc>
          <w:tcPr>
            <w:tcW w:w="1920" w:type="dxa"/>
            <w:vAlign w:val="bottom"/>
            <w:shd w:val="clear" w:color="auto" w:fill="E6EEFF"/>
          </w:tcPr>
          <w:p>
            <w:pPr>
              <w:jc w:val="right"/>
              <w:ind w:right="234"/>
              <w:spacing w:after="0"/>
              <w:rPr>
                <w:sz w:val="20"/>
                <w:szCs w:val="20"/>
                <w:color w:val="auto"/>
              </w:rPr>
            </w:pPr>
            <w:r>
              <w:rPr>
                <w:rFonts w:ascii="Calibri" w:cs="Calibri" w:eastAsia="Calibri" w:hAnsi="Calibri"/>
                <w:sz w:val="17"/>
                <w:szCs w:val="17"/>
                <w:b w:val="1"/>
                <w:bCs w:val="1"/>
                <w:color w:val="1C4787"/>
              </w:rPr>
              <w:t>Weighted Average</w:t>
            </w:r>
          </w:p>
        </w:tc>
      </w:tr>
      <w:tr>
        <w:trPr>
          <w:trHeight w:val="240"/>
        </w:trPr>
        <w:tc>
          <w:tcPr>
            <w:tcW w:w="5540" w:type="dxa"/>
            <w:vAlign w:val="bottom"/>
            <w:tcBorders>
              <w:bottom w:val="single" w:sz="8" w:color="E6EEFF"/>
            </w:tcBorders>
            <w:gridSpan w:val="2"/>
            <w:shd w:val="clear" w:color="auto" w:fill="E6EEFF"/>
          </w:tcPr>
          <w:p>
            <w:pPr>
              <w:ind w:left="20"/>
              <w:spacing w:after="0"/>
              <w:rPr>
                <w:sz w:val="20"/>
                <w:szCs w:val="20"/>
                <w:color w:val="auto"/>
              </w:rPr>
            </w:pPr>
            <w:r>
              <w:rPr>
                <w:rFonts w:ascii="Calibri" w:cs="Calibri" w:eastAsia="Calibri" w:hAnsi="Calibri"/>
                <w:sz w:val="17"/>
                <w:szCs w:val="17"/>
                <w:b w:val="1"/>
                <w:bCs w:val="1"/>
                <w:color w:val="1C4787"/>
              </w:rPr>
              <w:t>December 31, 2022</w:t>
            </w:r>
          </w:p>
        </w:tc>
        <w:tc>
          <w:tcPr>
            <w:tcW w:w="300" w:type="dxa"/>
            <w:vAlign w:val="bottom"/>
            <w:tcBorders>
              <w:bottom w:val="single" w:sz="8" w:color="E6EEFF"/>
            </w:tcBorders>
            <w:shd w:val="clear" w:color="auto" w:fill="E6EEFF"/>
          </w:tcPr>
          <w:p>
            <w:pPr>
              <w:spacing w:after="0"/>
              <w:rPr>
                <w:sz w:val="20"/>
                <w:szCs w:val="20"/>
                <w:color w:val="auto"/>
              </w:rPr>
            </w:pPr>
          </w:p>
        </w:tc>
        <w:tc>
          <w:tcPr>
            <w:tcW w:w="1280" w:type="dxa"/>
            <w:vAlign w:val="bottom"/>
            <w:tcBorders>
              <w:bottom w:val="single" w:sz="8" w:color="E6EEFF"/>
            </w:tcBorders>
            <w:shd w:val="clear" w:color="auto" w:fill="E6EEFF"/>
          </w:tcPr>
          <w:p>
            <w:pPr>
              <w:jc w:val="right"/>
              <w:ind w:right="434"/>
              <w:spacing w:after="0"/>
              <w:rPr>
                <w:sz w:val="20"/>
                <w:szCs w:val="20"/>
                <w:color w:val="auto"/>
              </w:rPr>
            </w:pPr>
            <w:r>
              <w:rPr>
                <w:rFonts w:ascii="Calibri" w:cs="Calibri" w:eastAsia="Calibri" w:hAnsi="Calibri"/>
                <w:sz w:val="17"/>
                <w:szCs w:val="17"/>
                <w:b w:val="1"/>
                <w:bCs w:val="1"/>
                <w:color w:val="1C4787"/>
              </w:rPr>
              <w:t>Balance</w:t>
            </w:r>
          </w:p>
        </w:tc>
        <w:tc>
          <w:tcPr>
            <w:tcW w:w="120" w:type="dxa"/>
            <w:vAlign w:val="bottom"/>
            <w:tcBorders>
              <w:bottom w:val="single" w:sz="8" w:color="E6EEFF"/>
            </w:tcBorders>
            <w:shd w:val="clear" w:color="auto" w:fill="E6EEFF"/>
          </w:tcPr>
          <w:p>
            <w:pPr>
              <w:spacing w:after="0"/>
              <w:rPr>
                <w:sz w:val="20"/>
                <w:szCs w:val="20"/>
                <w:color w:val="auto"/>
              </w:rPr>
            </w:pPr>
          </w:p>
        </w:tc>
        <w:tc>
          <w:tcPr>
            <w:tcW w:w="2080" w:type="dxa"/>
            <w:vAlign w:val="bottom"/>
            <w:tcBorders>
              <w:bottom w:val="single" w:sz="8" w:color="E6EEFF"/>
            </w:tcBorders>
            <w:gridSpan w:val="2"/>
            <w:shd w:val="clear" w:color="auto" w:fill="E6EEFF"/>
          </w:tcPr>
          <w:p>
            <w:pPr>
              <w:jc w:val="center"/>
              <w:ind w:right="120"/>
              <w:spacing w:after="0" w:line="205" w:lineRule="exact"/>
              <w:rPr>
                <w:sz w:val="20"/>
                <w:szCs w:val="20"/>
                <w:color w:val="auto"/>
              </w:rPr>
            </w:pPr>
            <w:r>
              <w:rPr>
                <w:rFonts w:ascii="Calibri" w:cs="Calibri" w:eastAsia="Calibri" w:hAnsi="Calibri"/>
                <w:sz w:val="17"/>
                <w:szCs w:val="17"/>
                <w:b w:val="1"/>
                <w:bCs w:val="1"/>
                <w:color w:val="1C4787"/>
                <w:w w:val="97"/>
              </w:rPr>
              <w:t>Contractual Rate</w:t>
            </w:r>
          </w:p>
        </w:tc>
        <w:tc>
          <w:tcPr>
            <w:tcW w:w="1920" w:type="dxa"/>
            <w:vAlign w:val="bottom"/>
            <w:tcBorders>
              <w:bottom w:val="single" w:sz="8" w:color="E6EEFF"/>
            </w:tcBorders>
            <w:shd w:val="clear" w:color="auto" w:fill="E6EEFF"/>
          </w:tcPr>
          <w:p>
            <w:pPr>
              <w:jc w:val="right"/>
              <w:ind w:right="314"/>
              <w:spacing w:after="0" w:line="205" w:lineRule="exact"/>
              <w:rPr>
                <w:sz w:val="20"/>
                <w:szCs w:val="20"/>
                <w:color w:val="auto"/>
              </w:rPr>
            </w:pPr>
            <w:r>
              <w:rPr>
                <w:rFonts w:ascii="Calibri" w:cs="Calibri" w:eastAsia="Calibri" w:hAnsi="Calibri"/>
                <w:sz w:val="17"/>
                <w:szCs w:val="17"/>
                <w:b w:val="1"/>
                <w:bCs w:val="1"/>
                <w:color w:val="1C4787"/>
              </w:rPr>
              <w:t>Maturity in days</w:t>
            </w:r>
          </w:p>
        </w:tc>
      </w:tr>
      <w:tr>
        <w:trPr>
          <w:trHeight w:val="205"/>
        </w:trPr>
        <w:tc>
          <w:tcPr>
            <w:tcW w:w="542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1C4787"/>
              </w:rPr>
              <w:t>Agency Securites</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r>
      <w:tr>
        <w:trPr>
          <w:trHeight w:val="226"/>
        </w:trPr>
        <w:tc>
          <w:tcPr>
            <w:tcW w:w="5540" w:type="dxa"/>
            <w:vAlign w:val="bottom"/>
            <w:gridSpan w:val="2"/>
            <w:shd w:val="clear" w:color="auto" w:fill="E6EEFF"/>
          </w:tcPr>
          <w:p>
            <w:pPr>
              <w:ind w:left="220"/>
              <w:spacing w:after="0" w:line="227" w:lineRule="exact"/>
              <w:rPr>
                <w:sz w:val="20"/>
                <w:szCs w:val="20"/>
                <w:color w:val="auto"/>
              </w:rPr>
            </w:pPr>
            <w:r>
              <w:rPr>
                <w:rFonts w:ascii="Calibri" w:cs="Calibri" w:eastAsia="Calibri" w:hAnsi="Calibri"/>
                <w:sz w:val="17"/>
                <w:szCs w:val="17"/>
                <w:color w:val="auto"/>
              </w:rPr>
              <w:t xml:space="preserve">≤ 30 days </w:t>
            </w:r>
            <w:r>
              <w:rPr>
                <w:rFonts w:ascii="Calibri" w:cs="Calibri" w:eastAsia="Calibri" w:hAnsi="Calibri"/>
                <w:sz w:val="22"/>
                <w:szCs w:val="22"/>
                <w:color w:val="auto"/>
                <w:vertAlign w:val="superscript"/>
              </w:rPr>
              <w:t>(1)</w:t>
            </w:r>
          </w:p>
        </w:tc>
        <w:tc>
          <w:tcPr>
            <w:tcW w:w="300" w:type="dxa"/>
            <w:vAlign w:val="bottom"/>
            <w:shd w:val="clear" w:color="auto" w:fill="E6EEFF"/>
          </w:tcPr>
          <w:p>
            <w:pPr>
              <w:jc w:val="right"/>
              <w:ind w:right="114"/>
              <w:spacing w:after="0"/>
              <w:rPr>
                <w:sz w:val="20"/>
                <w:szCs w:val="20"/>
                <w:color w:val="auto"/>
              </w:rPr>
            </w:pPr>
            <w:r>
              <w:rPr>
                <w:rFonts w:ascii="Calibri" w:cs="Calibri" w:eastAsia="Calibri" w:hAnsi="Calibri"/>
                <w:sz w:val="17"/>
                <w:szCs w:val="17"/>
                <w:color w:val="auto"/>
                <w:w w:val="92"/>
              </w:rPr>
              <w:t>$</w:t>
            </w:r>
          </w:p>
        </w:tc>
        <w:tc>
          <w:tcPr>
            <w:tcW w:w="12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5,912,572</w:t>
            </w:r>
          </w:p>
        </w:tc>
        <w:tc>
          <w:tcPr>
            <w:tcW w:w="208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4.43 %</w:t>
            </w:r>
          </w:p>
        </w:tc>
        <w:tc>
          <w:tcPr>
            <w:tcW w:w="120" w:type="dxa"/>
            <w:vAlign w:val="bottom"/>
            <w:shd w:val="clear" w:color="auto" w:fill="E6EEFF"/>
          </w:tcPr>
          <w:p>
            <w:pPr>
              <w:spacing w:after="0"/>
              <w:rPr>
                <w:sz w:val="19"/>
                <w:szCs w:val="19"/>
                <w:color w:val="auto"/>
              </w:rPr>
            </w:pPr>
          </w:p>
        </w:tc>
        <w:tc>
          <w:tcPr>
            <w:tcW w:w="1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15</w:t>
            </w:r>
          </w:p>
        </w:tc>
      </w:tr>
      <w:tr>
        <w:trPr>
          <w:trHeight w:val="212"/>
        </w:trPr>
        <w:tc>
          <w:tcPr>
            <w:tcW w:w="5540" w:type="dxa"/>
            <w:vAlign w:val="bottom"/>
            <w:tcBorders>
              <w:bottom w:val="single" w:sz="8" w:color="E6EEFF"/>
            </w:tcBorders>
            <w:gridSpan w:val="2"/>
          </w:tcPr>
          <w:p>
            <w:pPr>
              <w:ind w:left="220"/>
              <w:spacing w:after="0" w:line="205" w:lineRule="exact"/>
              <w:rPr>
                <w:sz w:val="20"/>
                <w:szCs w:val="20"/>
                <w:color w:val="auto"/>
              </w:rPr>
            </w:pPr>
            <w:r>
              <w:rPr>
                <w:rFonts w:ascii="Calibri" w:cs="Calibri" w:eastAsia="Calibri" w:hAnsi="Calibri"/>
                <w:sz w:val="17"/>
                <w:szCs w:val="17"/>
                <w:color w:val="auto"/>
              </w:rPr>
              <w:t>&gt; 30 days to ≤ 60 days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550,486</w:t>
            </w:r>
          </w:p>
        </w:tc>
        <w:tc>
          <w:tcPr>
            <w:tcW w:w="2080" w:type="dxa"/>
            <w:vAlign w:val="bottom"/>
            <w:tcBorders>
              <w:bottom w:val="single" w:sz="8" w:color="E6EEFF"/>
            </w:tcBorders>
            <w:gridSpan w:val="2"/>
          </w:tcPr>
          <w:p>
            <w:pPr>
              <w:jc w:val="right"/>
              <w:spacing w:after="0" w:line="205" w:lineRule="exact"/>
              <w:rPr>
                <w:sz w:val="20"/>
                <w:szCs w:val="20"/>
                <w:color w:val="auto"/>
              </w:rPr>
            </w:pPr>
            <w:r>
              <w:rPr>
                <w:rFonts w:ascii="Calibri" w:cs="Calibri" w:eastAsia="Calibri" w:hAnsi="Calibri"/>
                <w:sz w:val="17"/>
                <w:szCs w:val="17"/>
                <w:color w:val="auto"/>
              </w:rPr>
              <w:t>4.48 %</w:t>
            </w:r>
          </w:p>
        </w:tc>
        <w:tc>
          <w:tcPr>
            <w:tcW w:w="120" w:type="dxa"/>
            <w:vAlign w:val="bottom"/>
            <w:tcBorders>
              <w:bottom w:val="single" w:sz="8" w:color="E6EEFF"/>
            </w:tcBorders>
          </w:tcPr>
          <w:p>
            <w:pPr>
              <w:spacing w:after="0"/>
              <w:rPr>
                <w:sz w:val="18"/>
                <w:szCs w:val="18"/>
                <w:color w:val="auto"/>
              </w:rPr>
            </w:pPr>
          </w:p>
        </w:tc>
        <w:tc>
          <w:tcPr>
            <w:tcW w:w="1920" w:type="dxa"/>
            <w:vAlign w:val="bottom"/>
            <w:tcBorders>
              <w:bottom w:val="single" w:sz="8" w:color="E6EEFF"/>
            </w:tcBorders>
          </w:tcPr>
          <w:p>
            <w:pPr>
              <w:jc w:val="right"/>
              <w:spacing w:after="0" w:line="205" w:lineRule="exact"/>
              <w:rPr>
                <w:sz w:val="20"/>
                <w:szCs w:val="20"/>
                <w:color w:val="auto"/>
              </w:rPr>
            </w:pPr>
            <w:r>
              <w:rPr>
                <w:rFonts w:ascii="Calibri" w:cs="Calibri" w:eastAsia="Calibri" w:hAnsi="Calibri"/>
                <w:sz w:val="17"/>
                <w:szCs w:val="17"/>
                <w:color w:val="auto"/>
              </w:rPr>
              <w:t>34</w:t>
            </w:r>
          </w:p>
        </w:tc>
      </w:tr>
      <w:tr>
        <w:trPr>
          <w:trHeight w:val="244"/>
        </w:trPr>
        <w:tc>
          <w:tcPr>
            <w:tcW w:w="5540" w:type="dxa"/>
            <w:vAlign w:val="bottom"/>
            <w:tcBorders>
              <w:bottom w:val="single" w:sz="8" w:color="E6EEFF"/>
            </w:tcBorders>
            <w:gridSpan w:val="2"/>
            <w:shd w:val="clear" w:color="auto" w:fill="E6EEFF"/>
          </w:tcPr>
          <w:p>
            <w:pPr>
              <w:ind w:left="20"/>
              <w:spacing w:after="0"/>
              <w:rPr>
                <w:sz w:val="20"/>
                <w:szCs w:val="20"/>
                <w:color w:val="auto"/>
              </w:rPr>
            </w:pPr>
            <w:r>
              <w:rPr>
                <w:rFonts w:ascii="Calibri" w:cs="Calibri" w:eastAsia="Calibri" w:hAnsi="Calibri"/>
                <w:sz w:val="17"/>
                <w:szCs w:val="17"/>
                <w:b w:val="1"/>
                <w:bCs w:val="1"/>
                <w:color w:val="1C4787"/>
              </w:rPr>
              <w:t>Total or Weighted Average</w:t>
            </w:r>
          </w:p>
        </w:tc>
        <w:tc>
          <w:tcPr>
            <w:tcW w:w="300" w:type="dxa"/>
            <w:vAlign w:val="bottom"/>
            <w:tcBorders>
              <w:bottom w:val="single" w:sz="8" w:color="auto"/>
            </w:tcBorders>
            <w:shd w:val="clear" w:color="auto" w:fill="E6EEFF"/>
          </w:tcPr>
          <w:p>
            <w:pPr>
              <w:jc w:val="right"/>
              <w:ind w:right="114"/>
              <w:spacing w:after="0" w:line="205" w:lineRule="exact"/>
              <w:rPr>
                <w:sz w:val="20"/>
                <w:szCs w:val="20"/>
                <w:color w:val="auto"/>
              </w:rPr>
            </w:pPr>
            <w:r>
              <w:rPr>
                <w:rFonts w:ascii="Calibri" w:cs="Calibri" w:eastAsia="Calibri" w:hAnsi="Calibri"/>
                <w:sz w:val="17"/>
                <w:szCs w:val="17"/>
                <w:color w:val="auto"/>
                <w:w w:val="92"/>
              </w:rPr>
              <w:t>$</w:t>
            </w:r>
          </w:p>
        </w:tc>
        <w:tc>
          <w:tcPr>
            <w:tcW w:w="128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6,463,058</w:t>
            </w:r>
          </w:p>
        </w:tc>
        <w:tc>
          <w:tcPr>
            <w:tcW w:w="2080" w:type="dxa"/>
            <w:vAlign w:val="bottom"/>
            <w:tcBorders>
              <w:bottom w:val="single" w:sz="8" w:color="E6EEFF"/>
            </w:tcBorders>
            <w:gridSpan w:val="2"/>
            <w:shd w:val="clear" w:color="auto" w:fill="E6EEFF"/>
          </w:tcPr>
          <w:p>
            <w:pPr>
              <w:jc w:val="right"/>
              <w:spacing w:after="0"/>
              <w:rPr>
                <w:sz w:val="20"/>
                <w:szCs w:val="20"/>
                <w:color w:val="auto"/>
              </w:rPr>
            </w:pPr>
            <w:r>
              <w:rPr>
                <w:rFonts w:ascii="Calibri" w:cs="Calibri" w:eastAsia="Calibri" w:hAnsi="Calibri"/>
                <w:sz w:val="17"/>
                <w:szCs w:val="17"/>
                <w:color w:val="auto"/>
              </w:rPr>
              <w:t>4.43 %</w:t>
            </w:r>
          </w:p>
        </w:tc>
        <w:tc>
          <w:tcPr>
            <w:tcW w:w="120" w:type="dxa"/>
            <w:vAlign w:val="bottom"/>
            <w:tcBorders>
              <w:bottom w:val="single" w:sz="8" w:color="E6EEFF"/>
            </w:tcBorders>
            <w:shd w:val="clear" w:color="auto" w:fill="E6EEFF"/>
          </w:tcPr>
          <w:p>
            <w:pPr>
              <w:spacing w:after="0"/>
              <w:rPr>
                <w:sz w:val="20"/>
                <w:szCs w:val="20"/>
                <w:color w:val="auto"/>
              </w:rPr>
            </w:pPr>
          </w:p>
        </w:tc>
        <w:tc>
          <w:tcPr>
            <w:tcW w:w="192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16</w:t>
            </w:r>
          </w:p>
        </w:tc>
      </w:tr>
      <w:tr>
        <w:trPr>
          <w:trHeight w:val="20"/>
        </w:trPr>
        <w:tc>
          <w:tcPr>
            <w:tcW w:w="542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300" w:type="dxa"/>
            <w:vAlign w:val="bottom"/>
            <w:tcBorders>
              <w:top w:val="single" w:sz="8" w:color="E6EEFF"/>
              <w:bottom w:val="single" w:sz="8" w:color="auto"/>
            </w:tcBorders>
          </w:tcPr>
          <w:p>
            <w:pPr>
              <w:spacing w:after="0" w:line="20" w:lineRule="exact"/>
              <w:rPr>
                <w:sz w:val="1"/>
                <w:szCs w:val="1"/>
                <w:color w:val="auto"/>
              </w:rPr>
            </w:pPr>
          </w:p>
        </w:tc>
        <w:tc>
          <w:tcPr>
            <w:tcW w:w="128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96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920" w:type="dxa"/>
            <w:vAlign w:val="bottom"/>
            <w:tcBorders>
              <w:top w:val="single" w:sz="8" w:color="E6EEFF"/>
            </w:tcBorders>
          </w:tcPr>
          <w:p>
            <w:pPr>
              <w:spacing w:after="0" w:line="20" w:lineRule="exact"/>
              <w:rPr>
                <w:sz w:val="1"/>
                <w:szCs w:val="1"/>
                <w:color w:val="auto"/>
              </w:rPr>
            </w:pPr>
          </w:p>
        </w:tc>
      </w:tr>
    </w:tbl>
    <w:p>
      <w:pPr>
        <w:spacing w:after="0" w:line="82" w:lineRule="exact"/>
        <w:rPr>
          <w:sz w:val="20"/>
          <w:szCs w:val="20"/>
          <w:color w:val="auto"/>
        </w:rPr>
      </w:pPr>
    </w:p>
    <w:p>
      <w:pPr>
        <w:ind w:left="240" w:hanging="237"/>
        <w:spacing w:after="0" w:line="237" w:lineRule="auto"/>
        <w:tabs>
          <w:tab w:leader="none" w:pos="250" w:val="left"/>
        </w:tabs>
        <w:numPr>
          <w:ilvl w:val="0"/>
          <w:numId w:val="33"/>
        </w:numPr>
        <w:rPr>
          <w:rFonts w:ascii="Calibri" w:cs="Calibri" w:eastAsia="Calibri" w:hAnsi="Calibri"/>
          <w:sz w:val="17"/>
          <w:szCs w:val="17"/>
          <w:color w:val="auto"/>
        </w:rPr>
      </w:pPr>
      <w:r>
        <w:rPr>
          <w:rFonts w:ascii="Calibri" w:cs="Calibri" w:eastAsia="Calibri" w:hAnsi="Calibri"/>
          <w:sz w:val="17"/>
          <w:szCs w:val="17"/>
          <w:color w:val="auto"/>
        </w:rPr>
        <w:t>Net of reverse repurchase agreements of $704,276. Obligatons to return securites received as collateral of $502,656 associated with the reverse repurchase agreements all matured in January 2023.</w:t>
      </w:r>
    </w:p>
    <w:p>
      <w:pPr>
        <w:spacing w:after="0" w:line="183" w:lineRule="exact"/>
        <w:rPr>
          <w:sz w:val="20"/>
          <w:szCs w:val="20"/>
          <w:color w:val="auto"/>
        </w:rPr>
      </w:pPr>
    </w:p>
    <w:p>
      <w:pPr>
        <w:ind w:firstLine="619"/>
        <w:spacing w:after="0" w:line="237" w:lineRule="auto"/>
        <w:rPr>
          <w:sz w:val="20"/>
          <w:szCs w:val="20"/>
          <w:color w:val="auto"/>
        </w:rPr>
      </w:pPr>
      <w:r>
        <w:rPr>
          <w:rFonts w:ascii="Calibri" w:cs="Calibri" w:eastAsia="Calibri" w:hAnsi="Calibri"/>
          <w:sz w:val="17"/>
          <w:szCs w:val="17"/>
          <w:color w:val="auto"/>
        </w:rPr>
        <w:t>The following tables present informaton about the gross and net securites purchased and sold under our repurchase agreements, net on the accompanying consolidated balance sheets at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92" w:name="page93"/>
    <w:bookmarkEnd w:id="92"/>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91</w:t>
      </w:r>
    </w:p>
    <w:p>
      <w:pPr>
        <w:spacing w:after="0" w:line="200" w:lineRule="exact"/>
        <w:rPr>
          <w:sz w:val="20"/>
          <w:szCs w:val="20"/>
          <w:color w:val="auto"/>
        </w:rPr>
      </w:pPr>
    </w:p>
    <w:p>
      <w:pPr>
        <w:spacing w:after="0" w:line="364" w:lineRule="exact"/>
        <w:rPr>
          <w:sz w:val="20"/>
          <w:szCs w:val="20"/>
          <w:color w:val="auto"/>
        </w:rPr>
      </w:pPr>
    </w:p>
    <w:tbl>
      <w:tblPr>
        <w:tblLayout w:type="fixed"/>
        <w:tblInd w:w="180" w:type="dxa"/>
        <w:tblCellMar>
          <w:top w:w="0" w:type="dxa"/>
          <w:left w:w="0" w:type="dxa"/>
          <w:bottom w:w="0" w:type="dxa"/>
          <w:right w:w="0" w:type="dxa"/>
        </w:tblCellMar>
      </w:tblPr>
      <w:tr>
        <w:trPr>
          <w:trHeight w:val="219"/>
        </w:trPr>
        <w:tc>
          <w:tcPr>
            <w:tcW w:w="2200" w:type="dxa"/>
            <w:vAlign w:val="bottom"/>
            <w:gridSpan w:val="2"/>
            <w:shd w:val="clear" w:color="auto" w:fill="E6EEFF"/>
          </w:tcPr>
          <w:p>
            <w:pPr>
              <w:spacing w:after="0"/>
              <w:rPr>
                <w:sz w:val="20"/>
                <w:szCs w:val="20"/>
                <w:color w:val="auto"/>
              </w:rPr>
            </w:pPr>
            <w:r>
              <w:rPr>
                <w:rFonts w:ascii="Calibri" w:cs="Calibri" w:eastAsia="Calibri" w:hAnsi="Calibri"/>
                <w:sz w:val="17"/>
                <w:szCs w:val="17"/>
                <w:b w:val="1"/>
                <w:bCs w:val="1"/>
                <w:color w:val="1C4787"/>
              </w:rPr>
              <w:t>December 31, 2023</w:t>
            </w:r>
          </w:p>
        </w:tc>
        <w:tc>
          <w:tcPr>
            <w:tcW w:w="140" w:type="dxa"/>
            <w:vAlign w:val="bottom"/>
            <w:shd w:val="clear" w:color="auto" w:fill="E6EEFF"/>
          </w:tcPr>
          <w:p>
            <w:pPr>
              <w:spacing w:after="0"/>
              <w:rPr>
                <w:sz w:val="19"/>
                <w:szCs w:val="19"/>
                <w:color w:val="auto"/>
              </w:rPr>
            </w:pPr>
          </w:p>
        </w:tc>
        <w:tc>
          <w:tcPr>
            <w:tcW w:w="126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160" w:type="dxa"/>
            <w:vAlign w:val="bottom"/>
            <w:shd w:val="clear" w:color="auto" w:fill="E6EEFF"/>
          </w:tcPr>
          <w:p>
            <w:pPr>
              <w:spacing w:after="0"/>
              <w:rPr>
                <w:sz w:val="19"/>
                <w:szCs w:val="19"/>
                <w:color w:val="auto"/>
              </w:rPr>
            </w:pPr>
          </w:p>
        </w:tc>
        <w:tc>
          <w:tcPr>
            <w:tcW w:w="132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60" w:type="dxa"/>
            <w:vAlign w:val="bottom"/>
            <w:shd w:val="clear" w:color="auto" w:fill="E6EEFF"/>
          </w:tcPr>
          <w:p>
            <w:pPr>
              <w:spacing w:after="0"/>
              <w:rPr>
                <w:sz w:val="19"/>
                <w:szCs w:val="19"/>
                <w:color w:val="auto"/>
              </w:rPr>
            </w:pPr>
          </w:p>
        </w:tc>
        <w:tc>
          <w:tcPr>
            <w:tcW w:w="144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80" w:type="dxa"/>
            <w:vAlign w:val="bottom"/>
            <w:tcBorders>
              <w:bottom w:val="single" w:sz="8" w:color="auto"/>
            </w:tcBorders>
            <w:shd w:val="clear" w:color="auto" w:fill="E6EEFF"/>
          </w:tcPr>
          <w:p>
            <w:pPr>
              <w:spacing w:after="0"/>
              <w:rPr>
                <w:sz w:val="19"/>
                <w:szCs w:val="19"/>
                <w:color w:val="auto"/>
              </w:rPr>
            </w:pPr>
          </w:p>
        </w:tc>
        <w:tc>
          <w:tcPr>
            <w:tcW w:w="2180" w:type="dxa"/>
            <w:vAlign w:val="bottom"/>
            <w:tcBorders>
              <w:bottom w:val="single" w:sz="8" w:color="auto"/>
            </w:tcBorders>
            <w:gridSpan w:val="3"/>
            <w:shd w:val="clear" w:color="auto" w:fill="E6EEFF"/>
          </w:tcPr>
          <w:p>
            <w:pPr>
              <w:ind w:left="280"/>
              <w:spacing w:after="0"/>
              <w:rPr>
                <w:sz w:val="20"/>
                <w:szCs w:val="20"/>
                <w:color w:val="auto"/>
              </w:rPr>
            </w:pPr>
            <w:r>
              <w:rPr>
                <w:rFonts w:ascii="Calibri" w:cs="Calibri" w:eastAsia="Calibri" w:hAnsi="Calibri"/>
                <w:sz w:val="17"/>
                <w:szCs w:val="17"/>
                <w:b w:val="1"/>
                <w:bCs w:val="1"/>
                <w:color w:val="1C4787"/>
              </w:rPr>
              <w:t>Gross Amounts Not Ofset</w:t>
            </w:r>
          </w:p>
        </w:tc>
        <w:tc>
          <w:tcPr>
            <w:tcW w:w="380" w:type="dxa"/>
            <w:vAlign w:val="bottom"/>
            <w:tcBorders>
              <w:bottom w:val="single" w:sz="8" w:color="auto"/>
            </w:tcBorders>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40" w:type="dxa"/>
            <w:vAlign w:val="bottom"/>
            <w:shd w:val="clear" w:color="auto" w:fill="E6EEFF"/>
          </w:tcPr>
          <w:p>
            <w:pPr>
              <w:spacing w:after="0"/>
              <w:rPr>
                <w:sz w:val="19"/>
                <w:szCs w:val="19"/>
                <w:color w:val="auto"/>
              </w:rPr>
            </w:pPr>
          </w:p>
        </w:tc>
        <w:tc>
          <w:tcPr>
            <w:tcW w:w="880" w:type="dxa"/>
            <w:vAlign w:val="bottom"/>
            <w:shd w:val="clear" w:color="auto" w:fill="E6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Calibri" w:cs="Calibri" w:eastAsia="Calibri" w:hAnsi="Calibri"/>
                <w:sz w:val="16"/>
                <w:szCs w:val="16"/>
                <w:b w:val="1"/>
                <w:bCs w:val="1"/>
                <w:color w:val="1C4787"/>
              </w:rPr>
              <w:t>Gross Amounts</w:t>
            </w:r>
          </w:p>
        </w:tc>
        <w:tc>
          <w:tcPr>
            <w:tcW w:w="160" w:type="dxa"/>
            <w:vAlign w:val="bottom"/>
          </w:tcPr>
          <w:p>
            <w:pPr>
              <w:spacing w:after="0"/>
              <w:rPr>
                <w:sz w:val="13"/>
                <w:szCs w:val="13"/>
                <w:color w:val="auto"/>
              </w:rPr>
            </w:pPr>
          </w:p>
        </w:tc>
        <w:tc>
          <w:tcPr>
            <w:tcW w:w="1560" w:type="dxa"/>
            <w:vAlign w:val="bottom"/>
            <w:gridSpan w:val="2"/>
          </w:tcPr>
          <w:p>
            <w:pPr>
              <w:jc w:val="center"/>
              <w:ind w:right="280"/>
              <w:spacing w:after="0" w:line="153" w:lineRule="exact"/>
              <w:rPr>
                <w:sz w:val="20"/>
                <w:szCs w:val="20"/>
                <w:color w:val="auto"/>
              </w:rPr>
            </w:pPr>
            <w:r>
              <w:rPr>
                <w:rFonts w:ascii="Calibri" w:cs="Calibri" w:eastAsia="Calibri" w:hAnsi="Calibri"/>
                <w:sz w:val="16"/>
                <w:szCs w:val="16"/>
                <w:b w:val="1"/>
                <w:bCs w:val="1"/>
                <w:color w:val="1C4787"/>
              </w:rPr>
              <w:t>Net Amounts</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80"/>
              <w:spacing w:after="0" w:line="167" w:lineRule="exact"/>
              <w:rPr>
                <w:sz w:val="20"/>
                <w:szCs w:val="20"/>
                <w:color w:val="auto"/>
              </w:rPr>
            </w:pPr>
            <w:r>
              <w:rPr>
                <w:rFonts w:ascii="Calibri" w:cs="Calibri" w:eastAsia="Calibri" w:hAnsi="Calibri"/>
                <w:sz w:val="17"/>
                <w:szCs w:val="17"/>
                <w:b w:val="1"/>
                <w:bCs w:val="1"/>
                <w:color w:val="1C4787"/>
              </w:rPr>
              <w:t>ofset in the</w:t>
            </w:r>
          </w:p>
        </w:tc>
        <w:tc>
          <w:tcPr>
            <w:tcW w:w="160" w:type="dxa"/>
            <w:vAlign w:val="bottom"/>
          </w:tcPr>
          <w:p>
            <w:pPr>
              <w:spacing w:after="0"/>
              <w:rPr>
                <w:sz w:val="14"/>
                <w:szCs w:val="14"/>
                <w:color w:val="auto"/>
              </w:rPr>
            </w:pPr>
          </w:p>
        </w:tc>
        <w:tc>
          <w:tcPr>
            <w:tcW w:w="1560" w:type="dxa"/>
            <w:vAlign w:val="bottom"/>
            <w:gridSpan w:val="2"/>
          </w:tcPr>
          <w:p>
            <w:pPr>
              <w:jc w:val="center"/>
              <w:ind w:right="260"/>
              <w:spacing w:after="0" w:line="167" w:lineRule="exact"/>
              <w:rPr>
                <w:sz w:val="20"/>
                <w:szCs w:val="20"/>
                <w:color w:val="auto"/>
              </w:rPr>
            </w:pPr>
            <w:r>
              <w:rPr>
                <w:rFonts w:ascii="Calibri" w:cs="Calibri" w:eastAsia="Calibri" w:hAnsi="Calibri"/>
                <w:sz w:val="17"/>
                <w:szCs w:val="17"/>
                <w:b w:val="1"/>
                <w:bCs w:val="1"/>
                <w:color w:val="1C4787"/>
                <w:w w:val="98"/>
              </w:rPr>
              <w:t>Presented in the</w:t>
            </w:r>
          </w:p>
        </w:tc>
        <w:tc>
          <w:tcPr>
            <w:tcW w:w="180" w:type="dxa"/>
            <w:vAlign w:val="bottom"/>
          </w:tcPr>
          <w:p>
            <w:pPr>
              <w:spacing w:after="0"/>
              <w:rPr>
                <w:sz w:val="14"/>
                <w:szCs w:val="14"/>
                <w:color w:val="auto"/>
              </w:rPr>
            </w:pPr>
          </w:p>
        </w:tc>
        <w:tc>
          <w:tcPr>
            <w:tcW w:w="1460" w:type="dxa"/>
            <w:vAlign w:val="bottom"/>
            <w:gridSpan w:val="2"/>
            <w:vMerge w:val="restart"/>
          </w:tcPr>
          <w:p>
            <w:pPr>
              <w:ind w:left="280"/>
              <w:spacing w:after="0"/>
              <w:rPr>
                <w:sz w:val="20"/>
                <w:szCs w:val="20"/>
                <w:color w:val="auto"/>
              </w:rPr>
            </w:pPr>
            <w:r>
              <w:rPr>
                <w:rFonts w:ascii="Calibri" w:cs="Calibri" w:eastAsia="Calibri" w:hAnsi="Calibri"/>
                <w:sz w:val="17"/>
                <w:szCs w:val="17"/>
                <w:b w:val="1"/>
                <w:bCs w:val="1"/>
                <w:color w:val="1C4787"/>
              </w:rPr>
              <w:t>Financial</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80"/>
              <w:spacing w:after="0" w:line="163" w:lineRule="exact"/>
              <w:rPr>
                <w:sz w:val="20"/>
                <w:szCs w:val="20"/>
                <w:color w:val="auto"/>
              </w:rPr>
            </w:pPr>
            <w:r>
              <w:rPr>
                <w:rFonts w:ascii="Calibri" w:cs="Calibri" w:eastAsia="Calibri" w:hAnsi="Calibri"/>
                <w:sz w:val="17"/>
                <w:szCs w:val="17"/>
                <w:b w:val="1"/>
                <w:bCs w:val="1"/>
                <w:color w:val="1C4787"/>
                <w:w w:val="99"/>
              </w:rPr>
              <w:t>Consolidated</w:t>
            </w:r>
          </w:p>
        </w:tc>
        <w:tc>
          <w:tcPr>
            <w:tcW w:w="1720" w:type="dxa"/>
            <w:vAlign w:val="bottom"/>
            <w:gridSpan w:val="3"/>
          </w:tcPr>
          <w:p>
            <w:pPr>
              <w:jc w:val="center"/>
              <w:ind w:right="120"/>
              <w:spacing w:after="0" w:line="163" w:lineRule="exact"/>
              <w:rPr>
                <w:sz w:val="20"/>
                <w:szCs w:val="20"/>
                <w:color w:val="auto"/>
              </w:rPr>
            </w:pPr>
            <w:r>
              <w:rPr>
                <w:rFonts w:ascii="Calibri" w:cs="Calibri" w:eastAsia="Calibri" w:hAnsi="Calibri"/>
                <w:sz w:val="17"/>
                <w:szCs w:val="17"/>
                <w:b w:val="1"/>
                <w:bCs w:val="1"/>
                <w:color w:val="1C4787"/>
                <w:w w:val="97"/>
              </w:rPr>
              <w:t>Consolidated Balance</w:t>
            </w: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Calibri" w:cs="Calibri" w:eastAsia="Calibri" w:hAnsi="Calibri"/>
                <w:sz w:val="17"/>
                <w:szCs w:val="17"/>
                <w:b w:val="1"/>
                <w:bCs w:val="1"/>
                <w:color w:val="1C4787"/>
              </w:rPr>
              <w:t>Gross Amounts</w:t>
            </w:r>
          </w:p>
        </w:tc>
        <w:tc>
          <w:tcPr>
            <w:tcW w:w="16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Calibri" w:cs="Calibri" w:eastAsia="Calibri" w:hAnsi="Calibri"/>
                <w:sz w:val="17"/>
                <w:szCs w:val="17"/>
                <w:b w:val="1"/>
                <w:bCs w:val="1"/>
                <w:color w:val="1C4787"/>
                <w:w w:val="98"/>
              </w:rPr>
              <w:t>Balance Sheet</w:t>
            </w:r>
          </w:p>
        </w:tc>
        <w:tc>
          <w:tcPr>
            <w:tcW w:w="16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Calibri" w:cs="Calibri" w:eastAsia="Calibri" w:hAnsi="Calibri"/>
                <w:sz w:val="17"/>
                <w:szCs w:val="17"/>
                <w:b w:val="1"/>
                <w:bCs w:val="1"/>
                <w:color w:val="1C4787"/>
                <w:w w:val="99"/>
              </w:rPr>
              <w:t>Sheet</w:t>
            </w:r>
          </w:p>
        </w:tc>
        <w:tc>
          <w:tcPr>
            <w:tcW w:w="180" w:type="dxa"/>
            <w:vAlign w:val="bottom"/>
          </w:tcPr>
          <w:p>
            <w:pPr>
              <w:spacing w:after="0"/>
              <w:rPr>
                <w:sz w:val="20"/>
                <w:szCs w:val="20"/>
                <w:color w:val="auto"/>
              </w:rPr>
            </w:pPr>
          </w:p>
        </w:tc>
        <w:tc>
          <w:tcPr>
            <w:tcW w:w="1460" w:type="dxa"/>
            <w:vAlign w:val="bottom"/>
            <w:gridSpan w:val="2"/>
          </w:tcPr>
          <w:p>
            <w:pPr>
              <w:ind w:left="80"/>
              <w:spacing w:after="0" w:line="232" w:lineRule="exact"/>
              <w:rPr>
                <w:sz w:val="20"/>
                <w:szCs w:val="20"/>
                <w:color w:val="auto"/>
              </w:rPr>
            </w:pPr>
            <w:r>
              <w:rPr>
                <w:rFonts w:ascii="Calibri" w:cs="Calibri" w:eastAsia="Calibri" w:hAnsi="Calibri"/>
                <w:sz w:val="17"/>
                <w:szCs w:val="17"/>
                <w:b w:val="1"/>
                <w:bCs w:val="1"/>
                <w:color w:val="1C4787"/>
              </w:rPr>
              <w:t xml:space="preserve">Instruments </w:t>
            </w:r>
            <w:r>
              <w:rPr>
                <w:rFonts w:ascii="Calibri" w:cs="Calibri" w:eastAsia="Calibri" w:hAnsi="Calibri"/>
                <w:sz w:val="22"/>
                <w:szCs w:val="22"/>
                <w:b w:val="1"/>
                <w:bCs w:val="1"/>
                <w:color w:val="1C4787"/>
                <w:vertAlign w:val="superscript"/>
              </w:rPr>
              <w:t>(1)</w:t>
            </w:r>
          </w:p>
        </w:tc>
        <w:tc>
          <w:tcPr>
            <w:tcW w:w="1220" w:type="dxa"/>
            <w:vAlign w:val="bottom"/>
            <w:gridSpan w:val="3"/>
          </w:tcPr>
          <w:p>
            <w:pPr>
              <w:ind w:left="40"/>
              <w:spacing w:after="0"/>
              <w:rPr>
                <w:sz w:val="20"/>
                <w:szCs w:val="20"/>
                <w:color w:val="auto"/>
              </w:rPr>
            </w:pPr>
            <w:r>
              <w:rPr>
                <w:rFonts w:ascii="Calibri" w:cs="Calibri" w:eastAsia="Calibri" w:hAnsi="Calibri"/>
                <w:sz w:val="17"/>
                <w:szCs w:val="17"/>
                <w:b w:val="1"/>
                <w:bCs w:val="1"/>
                <w:color w:val="1C4787"/>
              </w:rPr>
              <w:t>Cash Collateral</w:t>
            </w:r>
          </w:p>
        </w:tc>
        <w:tc>
          <w:tcPr>
            <w:tcW w:w="140" w:type="dxa"/>
            <w:vAlign w:val="bottom"/>
          </w:tcPr>
          <w:p>
            <w:pPr>
              <w:spacing w:after="0"/>
              <w:rPr>
                <w:sz w:val="20"/>
                <w:szCs w:val="20"/>
                <w:color w:val="auto"/>
              </w:rPr>
            </w:pP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color w:val="1C4787"/>
              </w:rPr>
              <w:t>Total Net</w:t>
            </w:r>
          </w:p>
        </w:tc>
        <w:tc>
          <w:tcPr>
            <w:tcW w:w="0" w:type="dxa"/>
            <w:vAlign w:val="bottom"/>
          </w:tcPr>
          <w:p>
            <w:pPr>
              <w:spacing w:after="0"/>
              <w:rPr>
                <w:sz w:val="1"/>
                <w:szCs w:val="1"/>
                <w:color w:val="auto"/>
              </w:rPr>
            </w:pPr>
          </w:p>
        </w:tc>
      </w:tr>
      <w:tr>
        <w:trPr>
          <w:trHeight w:val="199"/>
        </w:trPr>
        <w:tc>
          <w:tcPr>
            <w:tcW w:w="2200" w:type="dxa"/>
            <w:vAlign w:val="bottom"/>
            <w:tcBorders>
              <w:top w:val="single" w:sz="8" w:color="E6EEFF"/>
            </w:tcBorders>
            <w:gridSpan w:val="2"/>
            <w:shd w:val="clear" w:color="auto" w:fill="E6EEFF"/>
          </w:tcPr>
          <w:p>
            <w:pPr>
              <w:spacing w:after="0" w:line="185" w:lineRule="exact"/>
              <w:rPr>
                <w:sz w:val="20"/>
                <w:szCs w:val="20"/>
                <w:color w:val="auto"/>
              </w:rPr>
            </w:pPr>
            <w:r>
              <w:rPr>
                <w:rFonts w:ascii="Calibri" w:cs="Calibri" w:eastAsia="Calibri" w:hAnsi="Calibri"/>
                <w:sz w:val="17"/>
                <w:szCs w:val="17"/>
                <w:b w:val="1"/>
                <w:bCs w:val="1"/>
                <w:color w:val="1C4787"/>
              </w:rPr>
              <w:t>Assets</w:t>
            </w:r>
          </w:p>
        </w:tc>
        <w:tc>
          <w:tcPr>
            <w:tcW w:w="140" w:type="dxa"/>
            <w:vAlign w:val="bottom"/>
            <w:tcBorders>
              <w:top w:val="single" w:sz="8" w:color="auto"/>
            </w:tcBorders>
            <w:shd w:val="clear" w:color="auto" w:fill="E6EEFF"/>
          </w:tcPr>
          <w:p>
            <w:pPr>
              <w:spacing w:after="0"/>
              <w:rPr>
                <w:sz w:val="17"/>
                <w:szCs w:val="17"/>
                <w:color w:val="auto"/>
              </w:rPr>
            </w:pPr>
          </w:p>
        </w:tc>
        <w:tc>
          <w:tcPr>
            <w:tcW w:w="1260" w:type="dxa"/>
            <w:vAlign w:val="bottom"/>
            <w:tcBorders>
              <w:top w:val="single" w:sz="8" w:color="auto"/>
            </w:tcBorders>
            <w:shd w:val="clear" w:color="auto" w:fill="E6EEFF"/>
          </w:tcPr>
          <w:p>
            <w:pPr>
              <w:spacing w:after="0"/>
              <w:rPr>
                <w:sz w:val="17"/>
                <w:szCs w:val="17"/>
                <w:color w:val="auto"/>
              </w:rPr>
            </w:pPr>
          </w:p>
        </w:tc>
        <w:tc>
          <w:tcPr>
            <w:tcW w:w="100" w:type="dxa"/>
            <w:vAlign w:val="bottom"/>
            <w:tcBorders>
              <w:top w:val="single" w:sz="8" w:color="E6EEFF"/>
            </w:tcBorders>
            <w:shd w:val="clear" w:color="auto" w:fill="E6EEFF"/>
          </w:tcPr>
          <w:p>
            <w:pPr>
              <w:spacing w:after="0"/>
              <w:rPr>
                <w:sz w:val="17"/>
                <w:szCs w:val="17"/>
                <w:color w:val="auto"/>
              </w:rPr>
            </w:pPr>
          </w:p>
        </w:tc>
        <w:tc>
          <w:tcPr>
            <w:tcW w:w="160" w:type="dxa"/>
            <w:vAlign w:val="bottom"/>
            <w:tcBorders>
              <w:top w:val="single" w:sz="8" w:color="auto"/>
            </w:tcBorders>
            <w:shd w:val="clear" w:color="auto" w:fill="E6EEFF"/>
          </w:tcPr>
          <w:p>
            <w:pPr>
              <w:spacing w:after="0"/>
              <w:rPr>
                <w:sz w:val="17"/>
                <w:szCs w:val="17"/>
                <w:color w:val="auto"/>
              </w:rPr>
            </w:pPr>
          </w:p>
        </w:tc>
        <w:tc>
          <w:tcPr>
            <w:tcW w:w="1320" w:type="dxa"/>
            <w:vAlign w:val="bottom"/>
            <w:tcBorders>
              <w:top w:val="single" w:sz="8" w:color="auto"/>
            </w:tcBorders>
            <w:shd w:val="clear" w:color="auto" w:fill="E6EEFF"/>
          </w:tcPr>
          <w:p>
            <w:pPr>
              <w:spacing w:after="0"/>
              <w:rPr>
                <w:sz w:val="17"/>
                <w:szCs w:val="17"/>
                <w:color w:val="auto"/>
              </w:rPr>
            </w:pPr>
          </w:p>
        </w:tc>
        <w:tc>
          <w:tcPr>
            <w:tcW w:w="120" w:type="dxa"/>
            <w:vAlign w:val="bottom"/>
            <w:tcBorders>
              <w:top w:val="single" w:sz="8" w:color="E6EEFF"/>
            </w:tcBorders>
            <w:shd w:val="clear" w:color="auto" w:fill="E6EEFF"/>
          </w:tcPr>
          <w:p>
            <w:pPr>
              <w:spacing w:after="0"/>
              <w:rPr>
                <w:sz w:val="17"/>
                <w:szCs w:val="17"/>
                <w:color w:val="auto"/>
              </w:rPr>
            </w:pPr>
          </w:p>
        </w:tc>
        <w:tc>
          <w:tcPr>
            <w:tcW w:w="160" w:type="dxa"/>
            <w:vAlign w:val="bottom"/>
            <w:tcBorders>
              <w:top w:val="single" w:sz="8" w:color="auto"/>
            </w:tcBorders>
            <w:shd w:val="clear" w:color="auto" w:fill="E6EEFF"/>
          </w:tcPr>
          <w:p>
            <w:pPr>
              <w:spacing w:after="0"/>
              <w:rPr>
                <w:sz w:val="17"/>
                <w:szCs w:val="17"/>
                <w:color w:val="auto"/>
              </w:rPr>
            </w:pPr>
          </w:p>
        </w:tc>
        <w:tc>
          <w:tcPr>
            <w:tcW w:w="1440" w:type="dxa"/>
            <w:vAlign w:val="bottom"/>
            <w:tcBorders>
              <w:top w:val="single" w:sz="8" w:color="auto"/>
            </w:tcBorders>
            <w:shd w:val="clear" w:color="auto" w:fill="E6EEFF"/>
          </w:tcPr>
          <w:p>
            <w:pPr>
              <w:spacing w:after="0"/>
              <w:rPr>
                <w:sz w:val="17"/>
                <w:szCs w:val="17"/>
                <w:color w:val="auto"/>
              </w:rPr>
            </w:pPr>
          </w:p>
        </w:tc>
        <w:tc>
          <w:tcPr>
            <w:tcW w:w="120" w:type="dxa"/>
            <w:vAlign w:val="bottom"/>
            <w:tcBorders>
              <w:top w:val="single" w:sz="8" w:color="E6EEFF"/>
            </w:tcBorders>
            <w:shd w:val="clear" w:color="auto" w:fill="E6EEFF"/>
          </w:tcPr>
          <w:p>
            <w:pPr>
              <w:spacing w:after="0"/>
              <w:rPr>
                <w:sz w:val="17"/>
                <w:szCs w:val="17"/>
                <w:color w:val="auto"/>
              </w:rPr>
            </w:pPr>
          </w:p>
        </w:tc>
        <w:tc>
          <w:tcPr>
            <w:tcW w:w="180" w:type="dxa"/>
            <w:vAlign w:val="bottom"/>
            <w:tcBorders>
              <w:top w:val="single" w:sz="8" w:color="auto"/>
            </w:tcBorders>
            <w:shd w:val="clear" w:color="auto" w:fill="E6EEFF"/>
          </w:tcPr>
          <w:p>
            <w:pPr>
              <w:spacing w:after="0"/>
              <w:rPr>
                <w:sz w:val="17"/>
                <w:szCs w:val="17"/>
                <w:color w:val="auto"/>
              </w:rPr>
            </w:pPr>
          </w:p>
        </w:tc>
        <w:tc>
          <w:tcPr>
            <w:tcW w:w="1360" w:type="dxa"/>
            <w:vAlign w:val="bottom"/>
            <w:tcBorders>
              <w:top w:val="single" w:sz="8" w:color="auto"/>
            </w:tcBorders>
            <w:shd w:val="clear" w:color="auto" w:fill="E6EEFF"/>
          </w:tcPr>
          <w:p>
            <w:pPr>
              <w:spacing w:after="0"/>
              <w:rPr>
                <w:sz w:val="17"/>
                <w:szCs w:val="17"/>
                <w:color w:val="auto"/>
              </w:rPr>
            </w:pPr>
          </w:p>
        </w:tc>
        <w:tc>
          <w:tcPr>
            <w:tcW w:w="100" w:type="dxa"/>
            <w:vAlign w:val="bottom"/>
            <w:tcBorders>
              <w:top w:val="single" w:sz="8" w:color="E6EEFF"/>
            </w:tcBorders>
            <w:shd w:val="clear" w:color="auto" w:fill="E6EEFF"/>
          </w:tcPr>
          <w:p>
            <w:pPr>
              <w:spacing w:after="0"/>
              <w:rPr>
                <w:sz w:val="17"/>
                <w:szCs w:val="17"/>
                <w:color w:val="auto"/>
              </w:rPr>
            </w:pPr>
          </w:p>
        </w:tc>
        <w:tc>
          <w:tcPr>
            <w:tcW w:w="720" w:type="dxa"/>
            <w:vAlign w:val="bottom"/>
            <w:tcBorders>
              <w:top w:val="single" w:sz="8" w:color="auto"/>
            </w:tcBorders>
            <w:shd w:val="clear" w:color="auto" w:fill="E6EEFF"/>
          </w:tcPr>
          <w:p>
            <w:pPr>
              <w:spacing w:after="0"/>
              <w:rPr>
                <w:sz w:val="17"/>
                <w:szCs w:val="17"/>
                <w:color w:val="auto"/>
              </w:rPr>
            </w:pPr>
          </w:p>
        </w:tc>
        <w:tc>
          <w:tcPr>
            <w:tcW w:w="380" w:type="dxa"/>
            <w:vAlign w:val="bottom"/>
            <w:tcBorders>
              <w:top w:val="single" w:sz="8" w:color="auto"/>
            </w:tcBorders>
            <w:shd w:val="clear" w:color="auto" w:fill="E6EEFF"/>
          </w:tcPr>
          <w:p>
            <w:pPr>
              <w:spacing w:after="0"/>
              <w:rPr>
                <w:sz w:val="17"/>
                <w:szCs w:val="17"/>
                <w:color w:val="auto"/>
              </w:rPr>
            </w:pPr>
          </w:p>
        </w:tc>
        <w:tc>
          <w:tcPr>
            <w:tcW w:w="120" w:type="dxa"/>
            <w:vAlign w:val="bottom"/>
            <w:tcBorders>
              <w:top w:val="single" w:sz="8" w:color="E6EEFF"/>
            </w:tcBorders>
            <w:shd w:val="clear" w:color="auto" w:fill="E6EEFF"/>
          </w:tcPr>
          <w:p>
            <w:pPr>
              <w:spacing w:after="0"/>
              <w:rPr>
                <w:sz w:val="17"/>
                <w:szCs w:val="17"/>
                <w:color w:val="auto"/>
              </w:rPr>
            </w:pPr>
          </w:p>
        </w:tc>
        <w:tc>
          <w:tcPr>
            <w:tcW w:w="140" w:type="dxa"/>
            <w:vAlign w:val="bottom"/>
            <w:tcBorders>
              <w:top w:val="single" w:sz="8" w:color="auto"/>
            </w:tcBorders>
            <w:shd w:val="clear" w:color="auto" w:fill="E6EEFF"/>
          </w:tcPr>
          <w:p>
            <w:pPr>
              <w:spacing w:after="0"/>
              <w:rPr>
                <w:sz w:val="17"/>
                <w:szCs w:val="17"/>
                <w:color w:val="auto"/>
              </w:rPr>
            </w:pPr>
          </w:p>
        </w:tc>
        <w:tc>
          <w:tcPr>
            <w:tcW w:w="880" w:type="dxa"/>
            <w:vAlign w:val="bottom"/>
            <w:tcBorders>
              <w:top w:val="single" w:sz="8" w:color="auto"/>
            </w:tcBorders>
            <w:shd w:val="clear" w:color="auto" w:fill="E6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100" w:type="dxa"/>
            <w:vAlign w:val="bottom"/>
            <w:tcBorders>
              <w:top w:val="single" w:sz="8" w:color="auto"/>
            </w:tcBorders>
          </w:tcPr>
          <w:p>
            <w:pPr>
              <w:spacing w:after="0" w:line="166" w:lineRule="exact"/>
              <w:rPr>
                <w:sz w:val="20"/>
                <w:szCs w:val="20"/>
                <w:color w:val="auto"/>
              </w:rPr>
            </w:pPr>
            <w:r>
              <w:rPr>
                <w:rFonts w:ascii="Calibri" w:cs="Calibri" w:eastAsia="Calibri" w:hAnsi="Calibri"/>
                <w:sz w:val="17"/>
                <w:szCs w:val="17"/>
                <w:color w:val="auto"/>
              </w:rPr>
              <w:t>Reverse Repurchase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200" w:type="dxa"/>
            <w:vAlign w:val="bottom"/>
            <w:gridSpan w:val="2"/>
          </w:tcPr>
          <w:p>
            <w:pPr>
              <w:spacing w:after="0" w:line="205" w:lineRule="exact"/>
              <w:rPr>
                <w:sz w:val="20"/>
                <w:szCs w:val="20"/>
                <w:color w:val="auto"/>
              </w:rPr>
            </w:pPr>
            <w:r>
              <w:rPr>
                <w:rFonts w:ascii="Calibri" w:cs="Calibri" w:eastAsia="Calibri" w:hAnsi="Calibri"/>
                <w:sz w:val="17"/>
                <w:szCs w:val="17"/>
                <w:color w:val="auto"/>
              </w:rPr>
              <w:t>Agreements</w:t>
            </w:r>
          </w:p>
        </w:tc>
        <w:tc>
          <w:tcPr>
            <w:tcW w:w="14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1260" w:type="dxa"/>
            <w:vAlign w:val="bottom"/>
          </w:tcPr>
          <w:p>
            <w:pPr>
              <w:jc w:val="right"/>
              <w:spacing w:after="0" w:line="205" w:lineRule="exact"/>
              <w:rPr>
                <w:sz w:val="20"/>
                <w:szCs w:val="20"/>
                <w:color w:val="auto"/>
              </w:rPr>
            </w:pPr>
            <w:r>
              <w:rPr>
                <w:rFonts w:ascii="Calibri" w:cs="Calibri" w:eastAsia="Calibri" w:hAnsi="Calibri"/>
                <w:sz w:val="17"/>
                <w:szCs w:val="17"/>
                <w:color w:val="auto"/>
              </w:rPr>
              <w:t>353,937</w:t>
            </w:r>
          </w:p>
        </w:tc>
        <w:tc>
          <w:tcPr>
            <w:tcW w:w="100" w:type="dxa"/>
            <w:vAlign w:val="bottom"/>
          </w:tcPr>
          <w:p>
            <w:pPr>
              <w:spacing w:after="0"/>
              <w:rPr>
                <w:sz w:val="17"/>
                <w:szCs w:val="17"/>
                <w:color w:val="auto"/>
              </w:rPr>
            </w:pP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Pr>
          <w:p>
            <w:pPr>
              <w:jc w:val="center"/>
              <w:ind w:left="535"/>
              <w:spacing w:after="0" w:line="205" w:lineRule="exact"/>
              <w:rPr>
                <w:sz w:val="20"/>
                <w:szCs w:val="20"/>
                <w:color w:val="auto"/>
              </w:rPr>
            </w:pPr>
            <w:r>
              <w:rPr>
                <w:rFonts w:ascii="Calibri" w:cs="Calibri" w:eastAsia="Calibri" w:hAnsi="Calibri"/>
                <w:sz w:val="17"/>
                <w:szCs w:val="17"/>
                <w:color w:val="auto"/>
                <w:w w:val="99"/>
              </w:rPr>
              <w:t>(353,937)</w:t>
            </w:r>
          </w:p>
        </w:tc>
        <w:tc>
          <w:tcPr>
            <w:tcW w:w="120" w:type="dxa"/>
            <w:vAlign w:val="bottom"/>
          </w:tcPr>
          <w:p>
            <w:pPr>
              <w:spacing w:after="0"/>
              <w:rPr>
                <w:sz w:val="17"/>
                <w:szCs w:val="17"/>
                <w:color w:val="auto"/>
              </w:rPr>
            </w:pP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560" w:type="dxa"/>
            <w:vAlign w:val="bottom"/>
            <w:gridSpan w:val="2"/>
          </w:tcPr>
          <w:p>
            <w:pPr>
              <w:ind w:left="1220"/>
              <w:spacing w:after="0" w:line="205" w:lineRule="exact"/>
              <w:rPr>
                <w:sz w:val="20"/>
                <w:szCs w:val="20"/>
                <w:color w:val="auto"/>
              </w:rPr>
            </w:pPr>
            <w:r>
              <w:rPr>
                <w:rFonts w:ascii="Calibri" w:cs="Calibri" w:eastAsia="Calibri" w:hAnsi="Calibri"/>
                <w:sz w:val="17"/>
                <w:szCs w:val="17"/>
                <w:color w:val="auto"/>
              </w:rPr>
              <w:t>—</w:t>
            </w:r>
          </w:p>
        </w:tc>
        <w:tc>
          <w:tcPr>
            <w:tcW w:w="18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6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720" w:type="dxa"/>
            <w:vAlign w:val="bottom"/>
          </w:tcPr>
          <w:p>
            <w:pPr>
              <w:ind w:left="20"/>
              <w:spacing w:after="0" w:line="205" w:lineRule="exact"/>
              <w:rPr>
                <w:sz w:val="20"/>
                <w:szCs w:val="20"/>
                <w:color w:val="auto"/>
              </w:rPr>
            </w:pPr>
            <w:r>
              <w:rPr>
                <w:rFonts w:ascii="Calibri" w:cs="Calibri" w:eastAsia="Calibri" w:hAnsi="Calibri"/>
                <w:sz w:val="17"/>
                <w:szCs w:val="17"/>
                <w:color w:val="auto"/>
              </w:rPr>
              <w:t>$</w:t>
            </w:r>
          </w:p>
        </w:tc>
        <w:tc>
          <w:tcPr>
            <w:tcW w:w="5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14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88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2"/>
        </w:trPr>
        <w:tc>
          <w:tcPr>
            <w:tcW w:w="2100" w:type="dxa"/>
            <w:vAlign w:val="bottom"/>
            <w:tcBorders>
              <w:bottom w:val="single" w:sz="8" w:color="E6EEFF"/>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E6EEFF"/>
            </w:tcBorders>
            <w:gridSpan w:val="2"/>
            <w:shd w:val="clear" w:color="auto" w:fill="E6EEFF"/>
          </w:tcPr>
          <w:p>
            <w:pPr>
              <w:spacing w:after="0"/>
              <w:rPr>
                <w:sz w:val="20"/>
                <w:szCs w:val="20"/>
                <w:color w:val="auto"/>
              </w:rPr>
            </w:pPr>
            <w:r>
              <w:rPr>
                <w:rFonts w:ascii="Calibri" w:cs="Calibri" w:eastAsia="Calibri" w:hAnsi="Calibri"/>
                <w:sz w:val="17"/>
                <w:szCs w:val="17"/>
                <w:b w:val="1"/>
                <w:bCs w:val="1"/>
                <w:color w:val="1C4787"/>
              </w:rPr>
              <w:t>Totals</w:t>
            </w:r>
          </w:p>
        </w:tc>
        <w:tc>
          <w:tcPr>
            <w:tcW w:w="1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353,937</w:t>
            </w:r>
          </w:p>
        </w:tc>
        <w:tc>
          <w:tcPr>
            <w:tcW w:w="100" w:type="dxa"/>
            <w:vAlign w:val="bottom"/>
            <w:tcBorders>
              <w:bottom w:val="single" w:sz="8" w:color="E6EEFF"/>
            </w:tcBorders>
            <w:shd w:val="clear" w:color="auto" w:fill="E6EEFF"/>
          </w:tcPr>
          <w:p>
            <w:pPr>
              <w:spacing w:after="0"/>
              <w:rPr>
                <w:sz w:val="20"/>
                <w:szCs w:val="20"/>
                <w:color w:val="auto"/>
              </w:rPr>
            </w:pPr>
          </w:p>
        </w:tc>
        <w:tc>
          <w:tcPr>
            <w:tcW w:w="1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bottom w:val="single" w:sz="8" w:color="auto"/>
            </w:tcBorders>
            <w:shd w:val="clear" w:color="auto" w:fill="E6EEFF"/>
          </w:tcPr>
          <w:p>
            <w:pPr>
              <w:jc w:val="center"/>
              <w:ind w:left="535"/>
              <w:spacing w:after="0" w:line="205" w:lineRule="exact"/>
              <w:rPr>
                <w:sz w:val="20"/>
                <w:szCs w:val="20"/>
                <w:color w:val="auto"/>
              </w:rPr>
            </w:pPr>
            <w:r>
              <w:rPr>
                <w:rFonts w:ascii="Calibri" w:cs="Calibri" w:eastAsia="Calibri" w:hAnsi="Calibri"/>
                <w:sz w:val="17"/>
                <w:szCs w:val="17"/>
                <w:color w:val="auto"/>
                <w:w w:val="99"/>
              </w:rPr>
              <w:t>(353,937)</w:t>
            </w:r>
          </w:p>
        </w:tc>
        <w:tc>
          <w:tcPr>
            <w:tcW w:w="120" w:type="dxa"/>
            <w:vAlign w:val="bottom"/>
            <w:tcBorders>
              <w:bottom w:val="single" w:sz="8" w:color="E6EEFF"/>
            </w:tcBorders>
            <w:shd w:val="clear" w:color="auto" w:fill="E6EEFF"/>
          </w:tcPr>
          <w:p>
            <w:pPr>
              <w:spacing w:after="0"/>
              <w:rPr>
                <w:sz w:val="20"/>
                <w:szCs w:val="20"/>
                <w:color w:val="auto"/>
              </w:rPr>
            </w:pPr>
          </w:p>
        </w:tc>
        <w:tc>
          <w:tcPr>
            <w:tcW w:w="1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Borders>
              <w:bottom w:val="single" w:sz="8" w:color="E6EEFF"/>
            </w:tcBorders>
            <w:shd w:val="clear" w:color="auto" w:fill="E6EEFF"/>
          </w:tcPr>
          <w:p>
            <w:pPr>
              <w:spacing w:after="0"/>
              <w:rPr>
                <w:sz w:val="20"/>
                <w:szCs w:val="20"/>
                <w:color w:val="auto"/>
              </w:rPr>
            </w:pPr>
          </w:p>
        </w:tc>
        <w:tc>
          <w:tcPr>
            <w:tcW w:w="18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100" w:type="dxa"/>
            <w:vAlign w:val="bottom"/>
            <w:tcBorders>
              <w:bottom w:val="single" w:sz="8" w:color="E6EEFF"/>
            </w:tcBorders>
            <w:shd w:val="clear" w:color="auto" w:fill="E6EEFF"/>
          </w:tcPr>
          <w:p>
            <w:pPr>
              <w:spacing w:after="0"/>
              <w:rPr>
                <w:sz w:val="20"/>
                <w:szCs w:val="20"/>
                <w:color w:val="auto"/>
              </w:rPr>
            </w:pPr>
          </w:p>
        </w:tc>
        <w:tc>
          <w:tcPr>
            <w:tcW w:w="720" w:type="dxa"/>
            <w:vAlign w:val="bottom"/>
            <w:tcBorders>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Borders>
              <w:bottom w:val="single" w:sz="8" w:color="E6EEFF"/>
            </w:tcBorders>
            <w:shd w:val="clear" w:color="auto" w:fill="E6EEFF"/>
          </w:tcPr>
          <w:p>
            <w:pPr>
              <w:spacing w:after="0"/>
              <w:rPr>
                <w:sz w:val="20"/>
                <w:szCs w:val="20"/>
                <w:color w:val="auto"/>
              </w:rPr>
            </w:pPr>
          </w:p>
        </w:tc>
        <w:tc>
          <w:tcPr>
            <w:tcW w:w="1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88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0"/>
        </w:trPr>
        <w:tc>
          <w:tcPr>
            <w:tcW w:w="2100" w:type="dxa"/>
            <w:vAlign w:val="bottom"/>
            <w:tcBorders>
              <w:top w:val="single" w:sz="8" w:color="E6EEFF"/>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40" w:type="dxa"/>
            <w:vAlign w:val="bottom"/>
            <w:tcBorders>
              <w:top w:val="single" w:sz="8" w:color="E6EEFF"/>
              <w:bottom w:val="single" w:sz="8" w:color="auto"/>
            </w:tcBorders>
          </w:tcPr>
          <w:p>
            <w:pPr>
              <w:spacing w:after="0" w:line="20" w:lineRule="exact"/>
              <w:rPr>
                <w:sz w:val="1"/>
                <w:szCs w:val="1"/>
                <w:color w:val="auto"/>
              </w:rPr>
            </w:pPr>
          </w:p>
        </w:tc>
        <w:tc>
          <w:tcPr>
            <w:tcW w:w="126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60" w:type="dxa"/>
            <w:vAlign w:val="bottom"/>
            <w:tcBorders>
              <w:top w:val="single" w:sz="8" w:color="E6EEFF"/>
              <w:bottom w:val="single" w:sz="8" w:color="auto"/>
            </w:tcBorders>
          </w:tcPr>
          <w:p>
            <w:pPr>
              <w:spacing w:after="0" w:line="20" w:lineRule="exact"/>
              <w:rPr>
                <w:sz w:val="1"/>
                <w:szCs w:val="1"/>
                <w:color w:val="auto"/>
              </w:rPr>
            </w:pPr>
          </w:p>
        </w:tc>
        <w:tc>
          <w:tcPr>
            <w:tcW w:w="132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60" w:type="dxa"/>
            <w:vAlign w:val="bottom"/>
            <w:tcBorders>
              <w:top w:val="single" w:sz="8" w:color="E6EEFF"/>
              <w:bottom w:val="single" w:sz="8" w:color="auto"/>
            </w:tcBorders>
          </w:tcPr>
          <w:p>
            <w:pPr>
              <w:spacing w:after="0" w:line="20" w:lineRule="exact"/>
              <w:rPr>
                <w:sz w:val="1"/>
                <w:szCs w:val="1"/>
                <w:color w:val="auto"/>
              </w:rPr>
            </w:pPr>
          </w:p>
        </w:tc>
        <w:tc>
          <w:tcPr>
            <w:tcW w:w="144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80" w:type="dxa"/>
            <w:vAlign w:val="bottom"/>
            <w:tcBorders>
              <w:top w:val="single" w:sz="8" w:color="E6EEFF"/>
              <w:bottom w:val="single" w:sz="8" w:color="auto"/>
            </w:tcBorders>
          </w:tcPr>
          <w:p>
            <w:pPr>
              <w:spacing w:after="0" w:line="20" w:lineRule="exact"/>
              <w:rPr>
                <w:sz w:val="1"/>
                <w:szCs w:val="1"/>
                <w:color w:val="auto"/>
              </w:rPr>
            </w:pPr>
          </w:p>
        </w:tc>
        <w:tc>
          <w:tcPr>
            <w:tcW w:w="136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720" w:type="dxa"/>
            <w:vAlign w:val="bottom"/>
            <w:tcBorders>
              <w:top w:val="single" w:sz="8" w:color="E6EEFF"/>
              <w:bottom w:val="single" w:sz="8" w:color="auto"/>
            </w:tcBorders>
          </w:tcPr>
          <w:p>
            <w:pPr>
              <w:spacing w:after="0" w:line="20" w:lineRule="exact"/>
              <w:rPr>
                <w:sz w:val="1"/>
                <w:szCs w:val="1"/>
                <w:color w:val="auto"/>
              </w:rPr>
            </w:pPr>
          </w:p>
        </w:tc>
        <w:tc>
          <w:tcPr>
            <w:tcW w:w="38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40" w:type="dxa"/>
            <w:vAlign w:val="bottom"/>
            <w:tcBorders>
              <w:top w:val="single" w:sz="8" w:color="E6EEFF"/>
              <w:bottom w:val="single" w:sz="8" w:color="auto"/>
            </w:tcBorders>
          </w:tcPr>
          <w:p>
            <w:pPr>
              <w:spacing w:after="0" w:line="20" w:lineRule="exact"/>
              <w:rPr>
                <w:sz w:val="1"/>
                <w:szCs w:val="1"/>
                <w:color w:val="auto"/>
              </w:rPr>
            </w:pPr>
          </w:p>
        </w:tc>
        <w:tc>
          <w:tcPr>
            <w:tcW w:w="880" w:type="dxa"/>
            <w:vAlign w:val="bottom"/>
            <w:tcBorders>
              <w:top w:val="single" w:sz="8" w:color="E6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200" w:type="dxa"/>
            <w:vAlign w:val="bottom"/>
            <w:gridSpan w:val="2"/>
            <w:shd w:val="clear" w:color="auto" w:fill="E6EEFF"/>
          </w:tcPr>
          <w:p>
            <w:pPr>
              <w:spacing w:after="0" w:line="205" w:lineRule="exact"/>
              <w:rPr>
                <w:sz w:val="20"/>
                <w:szCs w:val="20"/>
                <w:color w:val="auto"/>
              </w:rPr>
            </w:pPr>
            <w:r>
              <w:rPr>
                <w:rFonts w:ascii="Calibri" w:cs="Calibri" w:eastAsia="Calibri" w:hAnsi="Calibri"/>
                <w:sz w:val="17"/>
                <w:szCs w:val="17"/>
                <w:b w:val="1"/>
                <w:bCs w:val="1"/>
                <w:color w:val="1C4787"/>
              </w:rPr>
              <w:t>Liabilites</w:t>
            </w:r>
          </w:p>
        </w:tc>
        <w:tc>
          <w:tcPr>
            <w:tcW w:w="140" w:type="dxa"/>
            <w:vAlign w:val="bottom"/>
            <w:shd w:val="clear" w:color="auto" w:fill="E6EEFF"/>
          </w:tcPr>
          <w:p>
            <w:pPr>
              <w:spacing w:after="0"/>
              <w:rPr>
                <w:sz w:val="19"/>
                <w:szCs w:val="19"/>
                <w:color w:val="auto"/>
              </w:rPr>
            </w:pPr>
          </w:p>
        </w:tc>
        <w:tc>
          <w:tcPr>
            <w:tcW w:w="126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160" w:type="dxa"/>
            <w:vAlign w:val="bottom"/>
            <w:shd w:val="clear" w:color="auto" w:fill="E6EEFF"/>
          </w:tcPr>
          <w:p>
            <w:pPr>
              <w:spacing w:after="0"/>
              <w:rPr>
                <w:sz w:val="19"/>
                <w:szCs w:val="19"/>
                <w:color w:val="auto"/>
              </w:rPr>
            </w:pPr>
          </w:p>
        </w:tc>
        <w:tc>
          <w:tcPr>
            <w:tcW w:w="132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60" w:type="dxa"/>
            <w:vAlign w:val="bottom"/>
            <w:shd w:val="clear" w:color="auto" w:fill="E6EEFF"/>
          </w:tcPr>
          <w:p>
            <w:pPr>
              <w:spacing w:after="0"/>
              <w:rPr>
                <w:sz w:val="19"/>
                <w:szCs w:val="19"/>
                <w:color w:val="auto"/>
              </w:rPr>
            </w:pPr>
          </w:p>
        </w:tc>
        <w:tc>
          <w:tcPr>
            <w:tcW w:w="144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80" w:type="dxa"/>
            <w:vAlign w:val="bottom"/>
            <w:shd w:val="clear" w:color="auto" w:fill="E6EEFF"/>
          </w:tcPr>
          <w:p>
            <w:pPr>
              <w:spacing w:after="0"/>
              <w:rPr>
                <w:sz w:val="19"/>
                <w:szCs w:val="19"/>
                <w:color w:val="auto"/>
              </w:rPr>
            </w:pPr>
          </w:p>
        </w:tc>
        <w:tc>
          <w:tcPr>
            <w:tcW w:w="136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720" w:type="dxa"/>
            <w:vAlign w:val="bottom"/>
            <w:shd w:val="clear" w:color="auto" w:fill="E6EEFF"/>
          </w:tcPr>
          <w:p>
            <w:pPr>
              <w:spacing w:after="0"/>
              <w:rPr>
                <w:sz w:val="19"/>
                <w:szCs w:val="19"/>
                <w:color w:val="auto"/>
              </w:rPr>
            </w:pPr>
          </w:p>
        </w:tc>
        <w:tc>
          <w:tcPr>
            <w:tcW w:w="38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40" w:type="dxa"/>
            <w:vAlign w:val="bottom"/>
            <w:shd w:val="clear" w:color="auto" w:fill="E6EEFF"/>
          </w:tcPr>
          <w:p>
            <w:pPr>
              <w:spacing w:after="0"/>
              <w:rPr>
                <w:sz w:val="19"/>
                <w:szCs w:val="19"/>
                <w:color w:val="auto"/>
              </w:rPr>
            </w:pPr>
          </w:p>
        </w:tc>
        <w:tc>
          <w:tcPr>
            <w:tcW w:w="880" w:type="dxa"/>
            <w:vAlign w:val="bottom"/>
            <w:shd w:val="clear" w:color="auto" w:fill="E6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100" w:type="dxa"/>
            <w:vAlign w:val="bottom"/>
            <w:tcBorders>
              <w:top w:val="single" w:sz="8" w:color="auto"/>
            </w:tcBorders>
          </w:tcPr>
          <w:p>
            <w:pPr>
              <w:spacing w:after="0" w:line="205" w:lineRule="exact"/>
              <w:rPr>
                <w:sz w:val="20"/>
                <w:szCs w:val="20"/>
                <w:color w:val="auto"/>
              </w:rPr>
            </w:pPr>
            <w:r>
              <w:rPr>
                <w:rFonts w:ascii="Calibri" w:cs="Calibri" w:eastAsia="Calibri" w:hAnsi="Calibri"/>
                <w:sz w:val="17"/>
                <w:szCs w:val="17"/>
                <w:color w:val="auto"/>
              </w:rPr>
              <w:t>Repurchase Agreements</w:t>
            </w:r>
          </w:p>
        </w:tc>
        <w:tc>
          <w:tcPr>
            <w:tcW w:w="100" w:type="dxa"/>
            <w:vAlign w:val="bottom"/>
          </w:tcPr>
          <w:p>
            <w:pPr>
              <w:spacing w:after="0"/>
              <w:rPr>
                <w:sz w:val="17"/>
                <w:szCs w:val="17"/>
                <w:color w:val="auto"/>
              </w:rPr>
            </w:pPr>
          </w:p>
        </w:tc>
        <w:tc>
          <w:tcPr>
            <w:tcW w:w="140" w:type="dxa"/>
            <w:vAlign w:val="bottom"/>
          </w:tcPr>
          <w:p>
            <w:pPr>
              <w:jc w:val="right"/>
              <w:spacing w:after="0" w:line="190" w:lineRule="exact"/>
              <w:rPr>
                <w:sz w:val="20"/>
                <w:szCs w:val="20"/>
                <w:color w:val="auto"/>
              </w:rPr>
            </w:pPr>
            <w:r>
              <w:rPr>
                <w:rFonts w:ascii="Calibri" w:cs="Calibri" w:eastAsia="Calibri" w:hAnsi="Calibri"/>
                <w:sz w:val="17"/>
                <w:szCs w:val="17"/>
                <w:color w:val="auto"/>
              </w:rPr>
              <w:t>$</w:t>
            </w:r>
          </w:p>
        </w:tc>
        <w:tc>
          <w:tcPr>
            <w:tcW w:w="1260" w:type="dxa"/>
            <w:vAlign w:val="bottom"/>
          </w:tcPr>
          <w:p>
            <w:pPr>
              <w:jc w:val="right"/>
              <w:spacing w:after="0" w:line="190" w:lineRule="exact"/>
              <w:rPr>
                <w:sz w:val="20"/>
                <w:szCs w:val="20"/>
                <w:color w:val="auto"/>
              </w:rPr>
            </w:pPr>
            <w:r>
              <w:rPr>
                <w:rFonts w:ascii="Calibri" w:cs="Calibri" w:eastAsia="Calibri" w:hAnsi="Calibri"/>
                <w:sz w:val="17"/>
                <w:szCs w:val="17"/>
                <w:color w:val="auto"/>
              </w:rPr>
              <w:t>(10,001,919)</w:t>
            </w:r>
          </w:p>
        </w:tc>
        <w:tc>
          <w:tcPr>
            <w:tcW w:w="100" w:type="dxa"/>
            <w:vAlign w:val="bottom"/>
          </w:tcPr>
          <w:p>
            <w:pPr>
              <w:spacing w:after="0"/>
              <w:rPr>
                <w:sz w:val="17"/>
                <w:szCs w:val="17"/>
                <w:color w:val="auto"/>
              </w:rPr>
            </w:pPr>
          </w:p>
        </w:tc>
        <w:tc>
          <w:tcPr>
            <w:tcW w:w="160" w:type="dxa"/>
            <w:vAlign w:val="bottom"/>
          </w:tcPr>
          <w:p>
            <w:pPr>
              <w:jc w:val="right"/>
              <w:spacing w:after="0" w:line="190" w:lineRule="exact"/>
              <w:rPr>
                <w:sz w:val="20"/>
                <w:szCs w:val="20"/>
                <w:color w:val="auto"/>
              </w:rPr>
            </w:pPr>
            <w:r>
              <w:rPr>
                <w:rFonts w:ascii="Calibri" w:cs="Calibri" w:eastAsia="Calibri" w:hAnsi="Calibri"/>
                <w:sz w:val="17"/>
                <w:szCs w:val="17"/>
                <w:color w:val="auto"/>
                <w:w w:val="92"/>
              </w:rPr>
              <w:t>$</w:t>
            </w:r>
          </w:p>
        </w:tc>
        <w:tc>
          <w:tcPr>
            <w:tcW w:w="1320" w:type="dxa"/>
            <w:vAlign w:val="bottom"/>
          </w:tcPr>
          <w:p>
            <w:pPr>
              <w:jc w:val="center"/>
              <w:ind w:left="575"/>
              <w:spacing w:after="0" w:line="190" w:lineRule="exact"/>
              <w:rPr>
                <w:sz w:val="20"/>
                <w:szCs w:val="20"/>
                <w:color w:val="auto"/>
              </w:rPr>
            </w:pPr>
            <w:r>
              <w:rPr>
                <w:rFonts w:ascii="Calibri" w:cs="Calibri" w:eastAsia="Calibri" w:hAnsi="Calibri"/>
                <w:sz w:val="17"/>
                <w:szCs w:val="17"/>
                <w:color w:val="auto"/>
                <w:w w:val="96"/>
              </w:rPr>
              <w:t>353,937</w:t>
            </w:r>
          </w:p>
        </w:tc>
        <w:tc>
          <w:tcPr>
            <w:tcW w:w="120" w:type="dxa"/>
            <w:vAlign w:val="bottom"/>
          </w:tcPr>
          <w:p>
            <w:pPr>
              <w:spacing w:after="0"/>
              <w:rPr>
                <w:sz w:val="17"/>
                <w:szCs w:val="17"/>
                <w:color w:val="auto"/>
              </w:rPr>
            </w:pPr>
          </w:p>
        </w:tc>
        <w:tc>
          <w:tcPr>
            <w:tcW w:w="160" w:type="dxa"/>
            <w:vAlign w:val="bottom"/>
          </w:tcPr>
          <w:p>
            <w:pPr>
              <w:jc w:val="right"/>
              <w:spacing w:after="0" w:line="190" w:lineRule="exact"/>
              <w:rPr>
                <w:sz w:val="20"/>
                <w:szCs w:val="20"/>
                <w:color w:val="auto"/>
              </w:rPr>
            </w:pPr>
            <w:r>
              <w:rPr>
                <w:rFonts w:ascii="Calibri" w:cs="Calibri" w:eastAsia="Calibri" w:hAnsi="Calibri"/>
                <w:sz w:val="17"/>
                <w:szCs w:val="17"/>
                <w:color w:val="auto"/>
                <w:w w:val="92"/>
              </w:rPr>
              <w:t>$</w:t>
            </w:r>
          </w:p>
        </w:tc>
        <w:tc>
          <w:tcPr>
            <w:tcW w:w="1440" w:type="dxa"/>
            <w:vAlign w:val="bottom"/>
          </w:tcPr>
          <w:p>
            <w:pPr>
              <w:jc w:val="right"/>
              <w:spacing w:after="0" w:line="190" w:lineRule="exact"/>
              <w:rPr>
                <w:sz w:val="20"/>
                <w:szCs w:val="20"/>
                <w:color w:val="auto"/>
              </w:rPr>
            </w:pPr>
            <w:r>
              <w:rPr>
                <w:rFonts w:ascii="Calibri" w:cs="Calibri" w:eastAsia="Calibri" w:hAnsi="Calibri"/>
                <w:sz w:val="17"/>
                <w:szCs w:val="17"/>
                <w:color w:val="auto"/>
              </w:rPr>
              <w:t>(9,647,982)</w:t>
            </w:r>
          </w:p>
        </w:tc>
        <w:tc>
          <w:tcPr>
            <w:tcW w:w="120" w:type="dxa"/>
            <w:vAlign w:val="bottom"/>
          </w:tcPr>
          <w:p>
            <w:pPr>
              <w:spacing w:after="0"/>
              <w:rPr>
                <w:sz w:val="17"/>
                <w:szCs w:val="17"/>
                <w:color w:val="auto"/>
              </w:rPr>
            </w:pPr>
          </w:p>
        </w:tc>
        <w:tc>
          <w:tcPr>
            <w:tcW w:w="180" w:type="dxa"/>
            <w:vAlign w:val="bottom"/>
          </w:tcPr>
          <w:p>
            <w:pPr>
              <w:jc w:val="right"/>
              <w:spacing w:after="0" w:line="190" w:lineRule="exact"/>
              <w:rPr>
                <w:sz w:val="20"/>
                <w:szCs w:val="20"/>
                <w:color w:val="auto"/>
              </w:rPr>
            </w:pPr>
            <w:r>
              <w:rPr>
                <w:rFonts w:ascii="Calibri" w:cs="Calibri" w:eastAsia="Calibri" w:hAnsi="Calibri"/>
                <w:sz w:val="17"/>
                <w:szCs w:val="17"/>
                <w:color w:val="auto"/>
                <w:w w:val="92"/>
              </w:rPr>
              <w:t>$</w:t>
            </w:r>
          </w:p>
        </w:tc>
        <w:tc>
          <w:tcPr>
            <w:tcW w:w="1360" w:type="dxa"/>
            <w:vAlign w:val="bottom"/>
          </w:tcPr>
          <w:p>
            <w:pPr>
              <w:jc w:val="right"/>
              <w:spacing w:after="0" w:line="190" w:lineRule="exact"/>
              <w:rPr>
                <w:sz w:val="20"/>
                <w:szCs w:val="20"/>
                <w:color w:val="auto"/>
              </w:rPr>
            </w:pPr>
            <w:r>
              <w:rPr>
                <w:rFonts w:ascii="Calibri" w:cs="Calibri" w:eastAsia="Calibri" w:hAnsi="Calibri"/>
                <w:sz w:val="17"/>
                <w:szCs w:val="17"/>
                <w:color w:val="auto"/>
              </w:rPr>
              <w:t>9,647,982</w:t>
            </w:r>
          </w:p>
        </w:tc>
        <w:tc>
          <w:tcPr>
            <w:tcW w:w="100" w:type="dxa"/>
            <w:vAlign w:val="bottom"/>
          </w:tcPr>
          <w:p>
            <w:pPr>
              <w:spacing w:after="0"/>
              <w:rPr>
                <w:sz w:val="17"/>
                <w:szCs w:val="17"/>
                <w:color w:val="auto"/>
              </w:rPr>
            </w:pPr>
          </w:p>
        </w:tc>
        <w:tc>
          <w:tcPr>
            <w:tcW w:w="720" w:type="dxa"/>
            <w:vAlign w:val="bottom"/>
          </w:tcPr>
          <w:p>
            <w:pPr>
              <w:ind w:left="20"/>
              <w:spacing w:after="0" w:line="190" w:lineRule="exact"/>
              <w:rPr>
                <w:sz w:val="20"/>
                <w:szCs w:val="20"/>
                <w:color w:val="auto"/>
              </w:rPr>
            </w:pPr>
            <w:r>
              <w:rPr>
                <w:rFonts w:ascii="Calibri" w:cs="Calibri" w:eastAsia="Calibri" w:hAnsi="Calibri"/>
                <w:sz w:val="17"/>
                <w:szCs w:val="17"/>
                <w:color w:val="auto"/>
              </w:rPr>
              <w:t>$</w:t>
            </w:r>
          </w:p>
        </w:tc>
        <w:tc>
          <w:tcPr>
            <w:tcW w:w="500" w:type="dxa"/>
            <w:vAlign w:val="bottom"/>
            <w:gridSpan w:val="2"/>
          </w:tcPr>
          <w:p>
            <w:pPr>
              <w:jc w:val="right"/>
              <w:ind w:right="180"/>
              <w:spacing w:after="0" w:line="190" w:lineRule="exact"/>
              <w:rPr>
                <w:sz w:val="20"/>
                <w:szCs w:val="20"/>
                <w:color w:val="auto"/>
              </w:rPr>
            </w:pPr>
            <w:r>
              <w:rPr>
                <w:rFonts w:ascii="Calibri" w:cs="Calibri" w:eastAsia="Calibri" w:hAnsi="Calibri"/>
                <w:sz w:val="17"/>
                <w:szCs w:val="17"/>
                <w:color w:val="auto"/>
              </w:rPr>
              <w:t>—</w:t>
            </w:r>
          </w:p>
        </w:tc>
        <w:tc>
          <w:tcPr>
            <w:tcW w:w="140" w:type="dxa"/>
            <w:vAlign w:val="bottom"/>
          </w:tcPr>
          <w:p>
            <w:pPr>
              <w:jc w:val="right"/>
              <w:spacing w:after="0" w:line="190" w:lineRule="exact"/>
              <w:rPr>
                <w:sz w:val="20"/>
                <w:szCs w:val="20"/>
                <w:color w:val="auto"/>
              </w:rPr>
            </w:pPr>
            <w:r>
              <w:rPr>
                <w:rFonts w:ascii="Calibri" w:cs="Calibri" w:eastAsia="Calibri" w:hAnsi="Calibri"/>
                <w:sz w:val="17"/>
                <w:szCs w:val="17"/>
                <w:color w:val="auto"/>
                <w:w w:val="92"/>
              </w:rPr>
              <w:t>$</w:t>
            </w:r>
          </w:p>
        </w:tc>
        <w:tc>
          <w:tcPr>
            <w:tcW w:w="880" w:type="dxa"/>
            <w:vAlign w:val="bottom"/>
          </w:tcPr>
          <w:p>
            <w:pPr>
              <w:jc w:val="right"/>
              <w:spacing w:after="0" w:line="190"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44"/>
        </w:trPr>
        <w:tc>
          <w:tcPr>
            <w:tcW w:w="2200" w:type="dxa"/>
            <w:vAlign w:val="bottom"/>
            <w:tcBorders>
              <w:top w:val="single" w:sz="8" w:color="E6EEFF"/>
              <w:bottom w:val="single" w:sz="8" w:color="E6EEFF"/>
            </w:tcBorders>
            <w:gridSpan w:val="2"/>
            <w:shd w:val="clear" w:color="auto" w:fill="E6EEFF"/>
          </w:tcPr>
          <w:p>
            <w:pPr>
              <w:spacing w:after="0"/>
              <w:rPr>
                <w:sz w:val="20"/>
                <w:szCs w:val="20"/>
                <w:color w:val="auto"/>
              </w:rPr>
            </w:pPr>
            <w:r>
              <w:rPr>
                <w:rFonts w:ascii="Calibri" w:cs="Calibri" w:eastAsia="Calibri" w:hAnsi="Calibri"/>
                <w:sz w:val="17"/>
                <w:szCs w:val="17"/>
                <w:b w:val="1"/>
                <w:bCs w:val="1"/>
                <w:color w:val="1C4787"/>
              </w:rPr>
              <w:t>Totals</w:t>
            </w:r>
          </w:p>
        </w:tc>
        <w:tc>
          <w:tcPr>
            <w:tcW w:w="14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6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(10,001,919)</w:t>
            </w:r>
          </w:p>
        </w:tc>
        <w:tc>
          <w:tcPr>
            <w:tcW w:w="100" w:type="dxa"/>
            <w:vAlign w:val="bottom"/>
            <w:tcBorders>
              <w:top w:val="single" w:sz="8" w:color="E6EEFF"/>
              <w:bottom w:val="single" w:sz="8" w:color="E6EEFF"/>
            </w:tcBorders>
            <w:shd w:val="clear" w:color="auto" w:fill="E6EEFF"/>
          </w:tcPr>
          <w:p>
            <w:pPr>
              <w:spacing w:after="0"/>
              <w:rPr>
                <w:sz w:val="20"/>
                <w:szCs w:val="20"/>
                <w:color w:val="auto"/>
              </w:rPr>
            </w:pPr>
          </w:p>
        </w:tc>
        <w:tc>
          <w:tcPr>
            <w:tcW w:w="16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top w:val="single" w:sz="8" w:color="auto"/>
              <w:bottom w:val="single" w:sz="8" w:color="auto"/>
            </w:tcBorders>
            <w:shd w:val="clear" w:color="auto" w:fill="E6EEFF"/>
          </w:tcPr>
          <w:p>
            <w:pPr>
              <w:jc w:val="center"/>
              <w:ind w:left="575"/>
              <w:spacing w:after="0" w:line="205" w:lineRule="exact"/>
              <w:rPr>
                <w:sz w:val="20"/>
                <w:szCs w:val="20"/>
                <w:color w:val="auto"/>
              </w:rPr>
            </w:pPr>
            <w:r>
              <w:rPr>
                <w:rFonts w:ascii="Calibri" w:cs="Calibri" w:eastAsia="Calibri" w:hAnsi="Calibri"/>
                <w:sz w:val="17"/>
                <w:szCs w:val="17"/>
                <w:color w:val="auto"/>
                <w:w w:val="96"/>
              </w:rPr>
              <w:t>353,937</w:t>
            </w:r>
          </w:p>
        </w:tc>
        <w:tc>
          <w:tcPr>
            <w:tcW w:w="120" w:type="dxa"/>
            <w:vAlign w:val="bottom"/>
            <w:tcBorders>
              <w:top w:val="single" w:sz="8" w:color="E6EEFF"/>
              <w:bottom w:val="single" w:sz="8" w:color="E6EEFF"/>
            </w:tcBorders>
            <w:shd w:val="clear" w:color="auto" w:fill="E6EEFF"/>
          </w:tcPr>
          <w:p>
            <w:pPr>
              <w:spacing w:after="0"/>
              <w:rPr>
                <w:sz w:val="20"/>
                <w:szCs w:val="20"/>
                <w:color w:val="auto"/>
              </w:rPr>
            </w:pPr>
          </w:p>
        </w:tc>
        <w:tc>
          <w:tcPr>
            <w:tcW w:w="16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4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(9,647,982)</w:t>
            </w:r>
          </w:p>
        </w:tc>
        <w:tc>
          <w:tcPr>
            <w:tcW w:w="120" w:type="dxa"/>
            <w:vAlign w:val="bottom"/>
            <w:tcBorders>
              <w:top w:val="single" w:sz="8" w:color="E6EEFF"/>
              <w:bottom w:val="single" w:sz="8" w:color="E6EEFF"/>
            </w:tcBorders>
            <w:shd w:val="clear" w:color="auto" w:fill="E6EEFF"/>
          </w:tcPr>
          <w:p>
            <w:pPr>
              <w:spacing w:after="0"/>
              <w:rPr>
                <w:sz w:val="20"/>
                <w:szCs w:val="20"/>
                <w:color w:val="auto"/>
              </w:rPr>
            </w:pPr>
          </w:p>
        </w:tc>
        <w:tc>
          <w:tcPr>
            <w:tcW w:w="18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6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9,647,982</w:t>
            </w:r>
          </w:p>
        </w:tc>
        <w:tc>
          <w:tcPr>
            <w:tcW w:w="100" w:type="dxa"/>
            <w:vAlign w:val="bottom"/>
            <w:tcBorders>
              <w:top w:val="single" w:sz="8" w:color="E6EEFF"/>
              <w:bottom w:val="single" w:sz="8" w:color="E6EEFF"/>
            </w:tcBorders>
            <w:shd w:val="clear" w:color="auto" w:fill="E6EEFF"/>
          </w:tcPr>
          <w:p>
            <w:pPr>
              <w:spacing w:after="0"/>
              <w:rPr>
                <w:sz w:val="20"/>
                <w:szCs w:val="20"/>
                <w:color w:val="auto"/>
              </w:rPr>
            </w:pPr>
          </w:p>
        </w:tc>
        <w:tc>
          <w:tcPr>
            <w:tcW w:w="720" w:type="dxa"/>
            <w:vAlign w:val="bottom"/>
            <w:tcBorders>
              <w:top w:val="single" w:sz="8" w:color="auto"/>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Borders>
              <w:top w:val="single" w:sz="8" w:color="E6EEFF"/>
              <w:bottom w:val="single" w:sz="8" w:color="E6EEFF"/>
            </w:tcBorders>
            <w:shd w:val="clear" w:color="auto" w:fill="E6EEFF"/>
          </w:tcPr>
          <w:p>
            <w:pPr>
              <w:spacing w:after="0"/>
              <w:rPr>
                <w:sz w:val="20"/>
                <w:szCs w:val="20"/>
                <w:color w:val="auto"/>
              </w:rPr>
            </w:pPr>
          </w:p>
        </w:tc>
        <w:tc>
          <w:tcPr>
            <w:tcW w:w="14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88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0"/>
        </w:trPr>
        <w:tc>
          <w:tcPr>
            <w:tcW w:w="2100" w:type="dxa"/>
            <w:vAlign w:val="bottom"/>
            <w:tcBorders>
              <w:top w:val="single" w:sz="8" w:color="E6EEFF"/>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40" w:type="dxa"/>
            <w:vAlign w:val="bottom"/>
            <w:tcBorders>
              <w:top w:val="single" w:sz="8" w:color="E6EEFF"/>
            </w:tcBorders>
          </w:tcPr>
          <w:p>
            <w:pPr>
              <w:spacing w:after="0" w:line="20" w:lineRule="exact"/>
              <w:rPr>
                <w:sz w:val="1"/>
                <w:szCs w:val="1"/>
                <w:color w:val="auto"/>
              </w:rPr>
            </w:pPr>
          </w:p>
        </w:tc>
        <w:tc>
          <w:tcPr>
            <w:tcW w:w="1260" w:type="dxa"/>
            <w:vAlign w:val="bottom"/>
            <w:tcBorders>
              <w:top w:val="single" w:sz="8" w:color="E6EEFF"/>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60" w:type="dxa"/>
            <w:vAlign w:val="bottom"/>
            <w:tcBorders>
              <w:top w:val="single" w:sz="8" w:color="E6EEFF"/>
            </w:tcBorders>
          </w:tcPr>
          <w:p>
            <w:pPr>
              <w:spacing w:after="0" w:line="20" w:lineRule="exact"/>
              <w:rPr>
                <w:sz w:val="1"/>
                <w:szCs w:val="1"/>
                <w:color w:val="auto"/>
              </w:rPr>
            </w:pPr>
          </w:p>
        </w:tc>
        <w:tc>
          <w:tcPr>
            <w:tcW w:w="132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60" w:type="dxa"/>
            <w:vAlign w:val="bottom"/>
            <w:tcBorders>
              <w:top w:val="single" w:sz="8" w:color="E6EEFF"/>
            </w:tcBorders>
          </w:tcPr>
          <w:p>
            <w:pPr>
              <w:spacing w:after="0" w:line="20" w:lineRule="exact"/>
              <w:rPr>
                <w:sz w:val="1"/>
                <w:szCs w:val="1"/>
                <w:color w:val="auto"/>
              </w:rPr>
            </w:pPr>
          </w:p>
        </w:tc>
        <w:tc>
          <w:tcPr>
            <w:tcW w:w="144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80" w:type="dxa"/>
            <w:vAlign w:val="bottom"/>
            <w:tcBorders>
              <w:top w:val="single" w:sz="8" w:color="E6EEFF"/>
            </w:tcBorders>
          </w:tcPr>
          <w:p>
            <w:pPr>
              <w:spacing w:after="0" w:line="20" w:lineRule="exact"/>
              <w:rPr>
                <w:sz w:val="1"/>
                <w:szCs w:val="1"/>
                <w:color w:val="auto"/>
              </w:rPr>
            </w:pPr>
          </w:p>
        </w:tc>
        <w:tc>
          <w:tcPr>
            <w:tcW w:w="1360" w:type="dxa"/>
            <w:vAlign w:val="bottom"/>
            <w:tcBorders>
              <w:top w:val="single" w:sz="8" w:color="E6EEFF"/>
            </w:tcBorders>
          </w:tcPr>
          <w:p>
            <w:pPr>
              <w:spacing w:after="0" w:line="20" w:lineRule="exact"/>
              <w:rPr>
                <w:sz w:val="1"/>
                <w:szCs w:val="1"/>
                <w:color w:val="auto"/>
              </w:rPr>
            </w:pPr>
          </w:p>
        </w:tc>
        <w:tc>
          <w:tcPr>
            <w:tcW w:w="820" w:type="dxa"/>
            <w:vAlign w:val="bottom"/>
            <w:tcBorders>
              <w:top w:val="single" w:sz="8" w:color="E6EEFF"/>
            </w:tcBorders>
            <w:gridSpan w:val="2"/>
          </w:tcPr>
          <w:p>
            <w:pPr>
              <w:spacing w:after="0" w:line="20" w:lineRule="exact"/>
              <w:rPr>
                <w:sz w:val="1"/>
                <w:szCs w:val="1"/>
                <w:color w:val="auto"/>
              </w:rPr>
            </w:pPr>
          </w:p>
        </w:tc>
        <w:tc>
          <w:tcPr>
            <w:tcW w:w="38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40" w:type="dxa"/>
            <w:vAlign w:val="bottom"/>
            <w:tcBorders>
              <w:top w:val="single" w:sz="8" w:color="E6EEFF"/>
            </w:tcBorders>
          </w:tcPr>
          <w:p>
            <w:pPr>
              <w:spacing w:after="0" w:line="20" w:lineRule="exact"/>
              <w:rPr>
                <w:sz w:val="1"/>
                <w:szCs w:val="1"/>
                <w:color w:val="auto"/>
              </w:rPr>
            </w:pPr>
          </w:p>
        </w:tc>
        <w:tc>
          <w:tcPr>
            <w:tcW w:w="880" w:type="dxa"/>
            <w:vAlign w:val="bottom"/>
            <w:tcBorders>
              <w:top w:val="single" w:sz="8" w:color="E6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200" w:type="dxa"/>
            <w:vAlign w:val="bottom"/>
            <w:gridSpan w:val="2"/>
            <w:shd w:val="clear" w:color="auto" w:fill="E6EEFF"/>
          </w:tcPr>
          <w:p>
            <w:pPr>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40" w:type="dxa"/>
            <w:vAlign w:val="bottom"/>
            <w:shd w:val="clear" w:color="auto" w:fill="E6EEFF"/>
          </w:tcPr>
          <w:p>
            <w:pPr>
              <w:spacing w:after="0"/>
              <w:rPr>
                <w:sz w:val="19"/>
                <w:szCs w:val="19"/>
                <w:color w:val="auto"/>
              </w:rPr>
            </w:pPr>
          </w:p>
        </w:tc>
        <w:tc>
          <w:tcPr>
            <w:tcW w:w="126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160" w:type="dxa"/>
            <w:vAlign w:val="bottom"/>
            <w:shd w:val="clear" w:color="auto" w:fill="E6EEFF"/>
          </w:tcPr>
          <w:p>
            <w:pPr>
              <w:spacing w:after="0"/>
              <w:rPr>
                <w:sz w:val="19"/>
                <w:szCs w:val="19"/>
                <w:color w:val="auto"/>
              </w:rPr>
            </w:pPr>
          </w:p>
        </w:tc>
        <w:tc>
          <w:tcPr>
            <w:tcW w:w="132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60" w:type="dxa"/>
            <w:vAlign w:val="bottom"/>
            <w:shd w:val="clear" w:color="auto" w:fill="E6EEFF"/>
          </w:tcPr>
          <w:p>
            <w:pPr>
              <w:spacing w:after="0"/>
              <w:rPr>
                <w:sz w:val="19"/>
                <w:szCs w:val="19"/>
                <w:color w:val="auto"/>
              </w:rPr>
            </w:pPr>
          </w:p>
        </w:tc>
        <w:tc>
          <w:tcPr>
            <w:tcW w:w="144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80" w:type="dxa"/>
            <w:vAlign w:val="bottom"/>
            <w:shd w:val="clear" w:color="auto" w:fill="E6EEFF"/>
          </w:tcPr>
          <w:p>
            <w:pPr>
              <w:spacing w:after="0"/>
              <w:rPr>
                <w:sz w:val="19"/>
                <w:szCs w:val="19"/>
                <w:color w:val="auto"/>
              </w:rPr>
            </w:pPr>
          </w:p>
        </w:tc>
        <w:tc>
          <w:tcPr>
            <w:tcW w:w="2180" w:type="dxa"/>
            <w:vAlign w:val="bottom"/>
            <w:gridSpan w:val="3"/>
            <w:shd w:val="clear" w:color="auto" w:fill="E6EEFF"/>
          </w:tcPr>
          <w:p>
            <w:pPr>
              <w:ind w:left="280"/>
              <w:spacing w:after="0" w:line="205" w:lineRule="exact"/>
              <w:rPr>
                <w:sz w:val="20"/>
                <w:szCs w:val="20"/>
                <w:color w:val="auto"/>
              </w:rPr>
            </w:pPr>
            <w:r>
              <w:rPr>
                <w:rFonts w:ascii="Calibri" w:cs="Calibri" w:eastAsia="Calibri" w:hAnsi="Calibri"/>
                <w:sz w:val="17"/>
                <w:szCs w:val="17"/>
                <w:b w:val="1"/>
                <w:bCs w:val="1"/>
                <w:color w:val="1C4787"/>
              </w:rPr>
              <w:t>Gross Amounts Not Ofset</w:t>
            </w:r>
          </w:p>
        </w:tc>
        <w:tc>
          <w:tcPr>
            <w:tcW w:w="38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40" w:type="dxa"/>
            <w:vAlign w:val="bottom"/>
            <w:shd w:val="clear" w:color="auto" w:fill="E6EEFF"/>
          </w:tcPr>
          <w:p>
            <w:pPr>
              <w:spacing w:after="0"/>
              <w:rPr>
                <w:sz w:val="19"/>
                <w:szCs w:val="19"/>
                <w:color w:val="auto"/>
              </w:rPr>
            </w:pPr>
          </w:p>
        </w:tc>
        <w:tc>
          <w:tcPr>
            <w:tcW w:w="880" w:type="dxa"/>
            <w:vAlign w:val="bottom"/>
            <w:shd w:val="clear" w:color="auto" w:fill="E6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Calibri" w:cs="Calibri" w:eastAsia="Calibri" w:hAnsi="Calibri"/>
                <w:sz w:val="16"/>
                <w:szCs w:val="16"/>
                <w:b w:val="1"/>
                <w:bCs w:val="1"/>
                <w:color w:val="1C4787"/>
              </w:rPr>
              <w:t>Gross Amounts</w:t>
            </w:r>
          </w:p>
        </w:tc>
        <w:tc>
          <w:tcPr>
            <w:tcW w:w="160" w:type="dxa"/>
            <w:vAlign w:val="bottom"/>
          </w:tcPr>
          <w:p>
            <w:pPr>
              <w:spacing w:after="0"/>
              <w:rPr>
                <w:sz w:val="13"/>
                <w:szCs w:val="13"/>
                <w:color w:val="auto"/>
              </w:rPr>
            </w:pPr>
          </w:p>
        </w:tc>
        <w:tc>
          <w:tcPr>
            <w:tcW w:w="1560" w:type="dxa"/>
            <w:vAlign w:val="bottom"/>
            <w:gridSpan w:val="2"/>
          </w:tcPr>
          <w:p>
            <w:pPr>
              <w:jc w:val="center"/>
              <w:ind w:right="280"/>
              <w:spacing w:after="0" w:line="153" w:lineRule="exact"/>
              <w:rPr>
                <w:sz w:val="20"/>
                <w:szCs w:val="20"/>
                <w:color w:val="auto"/>
              </w:rPr>
            </w:pPr>
            <w:r>
              <w:rPr>
                <w:rFonts w:ascii="Calibri" w:cs="Calibri" w:eastAsia="Calibri" w:hAnsi="Calibri"/>
                <w:sz w:val="16"/>
                <w:szCs w:val="16"/>
                <w:b w:val="1"/>
                <w:bCs w:val="1"/>
                <w:color w:val="1C4787"/>
              </w:rPr>
              <w:t>Net Amounts</w:t>
            </w: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80"/>
              <w:spacing w:after="0" w:line="167" w:lineRule="exact"/>
              <w:rPr>
                <w:sz w:val="20"/>
                <w:szCs w:val="20"/>
                <w:color w:val="auto"/>
              </w:rPr>
            </w:pPr>
            <w:r>
              <w:rPr>
                <w:rFonts w:ascii="Calibri" w:cs="Calibri" w:eastAsia="Calibri" w:hAnsi="Calibri"/>
                <w:sz w:val="17"/>
                <w:szCs w:val="17"/>
                <w:b w:val="1"/>
                <w:bCs w:val="1"/>
                <w:color w:val="1C4787"/>
              </w:rPr>
              <w:t>ofset in the</w:t>
            </w:r>
          </w:p>
        </w:tc>
        <w:tc>
          <w:tcPr>
            <w:tcW w:w="160" w:type="dxa"/>
            <w:vAlign w:val="bottom"/>
          </w:tcPr>
          <w:p>
            <w:pPr>
              <w:spacing w:after="0"/>
              <w:rPr>
                <w:sz w:val="14"/>
                <w:szCs w:val="14"/>
                <w:color w:val="auto"/>
              </w:rPr>
            </w:pPr>
          </w:p>
        </w:tc>
        <w:tc>
          <w:tcPr>
            <w:tcW w:w="1560" w:type="dxa"/>
            <w:vAlign w:val="bottom"/>
            <w:gridSpan w:val="2"/>
          </w:tcPr>
          <w:p>
            <w:pPr>
              <w:jc w:val="center"/>
              <w:ind w:right="260"/>
              <w:spacing w:after="0" w:line="167" w:lineRule="exact"/>
              <w:rPr>
                <w:sz w:val="20"/>
                <w:szCs w:val="20"/>
                <w:color w:val="auto"/>
              </w:rPr>
            </w:pPr>
            <w:r>
              <w:rPr>
                <w:rFonts w:ascii="Calibri" w:cs="Calibri" w:eastAsia="Calibri" w:hAnsi="Calibri"/>
                <w:sz w:val="17"/>
                <w:szCs w:val="17"/>
                <w:b w:val="1"/>
                <w:bCs w:val="1"/>
                <w:color w:val="1C4787"/>
                <w:w w:val="98"/>
              </w:rPr>
              <w:t>Presented in the</w:t>
            </w:r>
          </w:p>
        </w:tc>
        <w:tc>
          <w:tcPr>
            <w:tcW w:w="180" w:type="dxa"/>
            <w:vAlign w:val="bottom"/>
          </w:tcPr>
          <w:p>
            <w:pPr>
              <w:spacing w:after="0"/>
              <w:rPr>
                <w:sz w:val="14"/>
                <w:szCs w:val="14"/>
                <w:color w:val="auto"/>
              </w:rPr>
            </w:pPr>
          </w:p>
        </w:tc>
        <w:tc>
          <w:tcPr>
            <w:tcW w:w="1460" w:type="dxa"/>
            <w:vAlign w:val="bottom"/>
            <w:gridSpan w:val="2"/>
            <w:vMerge w:val="restart"/>
          </w:tcPr>
          <w:p>
            <w:pPr>
              <w:ind w:left="280"/>
              <w:spacing w:after="0"/>
              <w:rPr>
                <w:sz w:val="20"/>
                <w:szCs w:val="20"/>
                <w:color w:val="auto"/>
              </w:rPr>
            </w:pPr>
            <w:r>
              <w:rPr>
                <w:rFonts w:ascii="Calibri" w:cs="Calibri" w:eastAsia="Calibri" w:hAnsi="Calibri"/>
                <w:sz w:val="17"/>
                <w:szCs w:val="17"/>
                <w:b w:val="1"/>
                <w:bCs w:val="1"/>
                <w:color w:val="1C4787"/>
              </w:rPr>
              <w:t>Financial</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80"/>
              <w:spacing w:after="0" w:line="163" w:lineRule="exact"/>
              <w:rPr>
                <w:sz w:val="20"/>
                <w:szCs w:val="20"/>
                <w:color w:val="auto"/>
              </w:rPr>
            </w:pPr>
            <w:r>
              <w:rPr>
                <w:rFonts w:ascii="Calibri" w:cs="Calibri" w:eastAsia="Calibri" w:hAnsi="Calibri"/>
                <w:sz w:val="17"/>
                <w:szCs w:val="17"/>
                <w:b w:val="1"/>
                <w:bCs w:val="1"/>
                <w:color w:val="1C4787"/>
                <w:w w:val="99"/>
              </w:rPr>
              <w:t>Consolidated</w:t>
            </w:r>
          </w:p>
        </w:tc>
        <w:tc>
          <w:tcPr>
            <w:tcW w:w="1720" w:type="dxa"/>
            <w:vAlign w:val="bottom"/>
            <w:gridSpan w:val="3"/>
          </w:tcPr>
          <w:p>
            <w:pPr>
              <w:jc w:val="center"/>
              <w:ind w:right="120"/>
              <w:spacing w:after="0" w:line="163" w:lineRule="exact"/>
              <w:rPr>
                <w:sz w:val="20"/>
                <w:szCs w:val="20"/>
                <w:color w:val="auto"/>
              </w:rPr>
            </w:pPr>
            <w:r>
              <w:rPr>
                <w:rFonts w:ascii="Calibri" w:cs="Calibri" w:eastAsia="Calibri" w:hAnsi="Calibri"/>
                <w:sz w:val="17"/>
                <w:szCs w:val="17"/>
                <w:b w:val="1"/>
                <w:bCs w:val="1"/>
                <w:color w:val="1C4787"/>
                <w:w w:val="97"/>
              </w:rPr>
              <w:t>Consolidated Balance</w:t>
            </w: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Calibri" w:cs="Calibri" w:eastAsia="Calibri" w:hAnsi="Calibri"/>
                <w:sz w:val="17"/>
                <w:szCs w:val="17"/>
                <w:b w:val="1"/>
                <w:bCs w:val="1"/>
                <w:color w:val="1C4787"/>
              </w:rPr>
              <w:t>Gross Amounts</w:t>
            </w:r>
          </w:p>
        </w:tc>
        <w:tc>
          <w:tcPr>
            <w:tcW w:w="16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Calibri" w:cs="Calibri" w:eastAsia="Calibri" w:hAnsi="Calibri"/>
                <w:sz w:val="17"/>
                <w:szCs w:val="17"/>
                <w:b w:val="1"/>
                <w:bCs w:val="1"/>
                <w:color w:val="1C4787"/>
                <w:w w:val="98"/>
              </w:rPr>
              <w:t>Balance Sheet</w:t>
            </w:r>
          </w:p>
        </w:tc>
        <w:tc>
          <w:tcPr>
            <w:tcW w:w="16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Calibri" w:cs="Calibri" w:eastAsia="Calibri" w:hAnsi="Calibri"/>
                <w:sz w:val="17"/>
                <w:szCs w:val="17"/>
                <w:b w:val="1"/>
                <w:bCs w:val="1"/>
                <w:color w:val="1C4787"/>
                <w:w w:val="99"/>
              </w:rPr>
              <w:t>Sheet</w:t>
            </w:r>
          </w:p>
        </w:tc>
        <w:tc>
          <w:tcPr>
            <w:tcW w:w="180" w:type="dxa"/>
            <w:vAlign w:val="bottom"/>
          </w:tcPr>
          <w:p>
            <w:pPr>
              <w:spacing w:after="0"/>
              <w:rPr>
                <w:sz w:val="20"/>
                <w:szCs w:val="20"/>
                <w:color w:val="auto"/>
              </w:rPr>
            </w:pPr>
          </w:p>
        </w:tc>
        <w:tc>
          <w:tcPr>
            <w:tcW w:w="1460" w:type="dxa"/>
            <w:vAlign w:val="bottom"/>
            <w:gridSpan w:val="2"/>
          </w:tcPr>
          <w:p>
            <w:pPr>
              <w:ind w:left="80"/>
              <w:spacing w:after="0" w:line="232" w:lineRule="exact"/>
              <w:rPr>
                <w:sz w:val="20"/>
                <w:szCs w:val="20"/>
                <w:color w:val="auto"/>
              </w:rPr>
            </w:pPr>
            <w:r>
              <w:rPr>
                <w:rFonts w:ascii="Calibri" w:cs="Calibri" w:eastAsia="Calibri" w:hAnsi="Calibri"/>
                <w:sz w:val="17"/>
                <w:szCs w:val="17"/>
                <w:b w:val="1"/>
                <w:bCs w:val="1"/>
                <w:color w:val="1C4787"/>
              </w:rPr>
              <w:t xml:space="preserve">Instruments </w:t>
            </w:r>
            <w:r>
              <w:rPr>
                <w:rFonts w:ascii="Calibri" w:cs="Calibri" w:eastAsia="Calibri" w:hAnsi="Calibri"/>
                <w:sz w:val="22"/>
                <w:szCs w:val="22"/>
                <w:b w:val="1"/>
                <w:bCs w:val="1"/>
                <w:color w:val="1C4787"/>
                <w:vertAlign w:val="superscript"/>
              </w:rPr>
              <w:t>(1)</w:t>
            </w:r>
          </w:p>
        </w:tc>
        <w:tc>
          <w:tcPr>
            <w:tcW w:w="1220" w:type="dxa"/>
            <w:vAlign w:val="bottom"/>
            <w:gridSpan w:val="3"/>
          </w:tcPr>
          <w:p>
            <w:pPr>
              <w:ind w:left="40"/>
              <w:spacing w:after="0"/>
              <w:rPr>
                <w:sz w:val="20"/>
                <w:szCs w:val="20"/>
                <w:color w:val="auto"/>
              </w:rPr>
            </w:pPr>
            <w:r>
              <w:rPr>
                <w:rFonts w:ascii="Calibri" w:cs="Calibri" w:eastAsia="Calibri" w:hAnsi="Calibri"/>
                <w:sz w:val="17"/>
                <w:szCs w:val="17"/>
                <w:b w:val="1"/>
                <w:bCs w:val="1"/>
                <w:color w:val="1C4787"/>
              </w:rPr>
              <w:t>Cash Collateral</w:t>
            </w:r>
          </w:p>
        </w:tc>
        <w:tc>
          <w:tcPr>
            <w:tcW w:w="140" w:type="dxa"/>
            <w:vAlign w:val="bottom"/>
          </w:tcPr>
          <w:p>
            <w:pPr>
              <w:spacing w:after="0"/>
              <w:rPr>
                <w:sz w:val="20"/>
                <w:szCs w:val="20"/>
                <w:color w:val="auto"/>
              </w:rPr>
            </w:pPr>
          </w:p>
        </w:tc>
        <w:tc>
          <w:tcPr>
            <w:tcW w:w="880" w:type="dxa"/>
            <w:vAlign w:val="bottom"/>
          </w:tcPr>
          <w:p>
            <w:pPr>
              <w:jc w:val="right"/>
              <w:ind w:right="114"/>
              <w:spacing w:after="0"/>
              <w:rPr>
                <w:sz w:val="20"/>
                <w:szCs w:val="20"/>
                <w:color w:val="auto"/>
              </w:rPr>
            </w:pPr>
            <w:r>
              <w:rPr>
                <w:rFonts w:ascii="Calibri" w:cs="Calibri" w:eastAsia="Calibri" w:hAnsi="Calibri"/>
                <w:sz w:val="17"/>
                <w:szCs w:val="17"/>
                <w:b w:val="1"/>
                <w:bCs w:val="1"/>
                <w:color w:val="1C4787"/>
              </w:rPr>
              <w:t>Total Net</w:t>
            </w:r>
          </w:p>
        </w:tc>
        <w:tc>
          <w:tcPr>
            <w:tcW w:w="0" w:type="dxa"/>
            <w:vAlign w:val="bottom"/>
          </w:tcPr>
          <w:p>
            <w:pPr>
              <w:spacing w:after="0"/>
              <w:rPr>
                <w:sz w:val="1"/>
                <w:szCs w:val="1"/>
                <w:color w:val="auto"/>
              </w:rPr>
            </w:pPr>
          </w:p>
        </w:tc>
      </w:tr>
      <w:tr>
        <w:trPr>
          <w:trHeight w:val="199"/>
        </w:trPr>
        <w:tc>
          <w:tcPr>
            <w:tcW w:w="2200" w:type="dxa"/>
            <w:vAlign w:val="bottom"/>
            <w:tcBorders>
              <w:top w:val="single" w:sz="8" w:color="E6EEFF"/>
            </w:tcBorders>
            <w:gridSpan w:val="2"/>
            <w:shd w:val="clear" w:color="auto" w:fill="E6EEFF"/>
          </w:tcPr>
          <w:p>
            <w:pPr>
              <w:spacing w:after="0" w:line="185" w:lineRule="exact"/>
              <w:rPr>
                <w:sz w:val="20"/>
                <w:szCs w:val="20"/>
                <w:color w:val="auto"/>
              </w:rPr>
            </w:pPr>
            <w:r>
              <w:rPr>
                <w:rFonts w:ascii="Calibri" w:cs="Calibri" w:eastAsia="Calibri" w:hAnsi="Calibri"/>
                <w:sz w:val="17"/>
                <w:szCs w:val="17"/>
                <w:b w:val="1"/>
                <w:bCs w:val="1"/>
                <w:color w:val="1C4787"/>
              </w:rPr>
              <w:t>Assets</w:t>
            </w:r>
          </w:p>
        </w:tc>
        <w:tc>
          <w:tcPr>
            <w:tcW w:w="140" w:type="dxa"/>
            <w:vAlign w:val="bottom"/>
            <w:tcBorders>
              <w:top w:val="single" w:sz="8" w:color="auto"/>
            </w:tcBorders>
            <w:shd w:val="clear" w:color="auto" w:fill="E6EEFF"/>
          </w:tcPr>
          <w:p>
            <w:pPr>
              <w:spacing w:after="0"/>
              <w:rPr>
                <w:sz w:val="17"/>
                <w:szCs w:val="17"/>
                <w:color w:val="auto"/>
              </w:rPr>
            </w:pPr>
          </w:p>
        </w:tc>
        <w:tc>
          <w:tcPr>
            <w:tcW w:w="1260" w:type="dxa"/>
            <w:vAlign w:val="bottom"/>
            <w:tcBorders>
              <w:top w:val="single" w:sz="8" w:color="auto"/>
            </w:tcBorders>
            <w:shd w:val="clear" w:color="auto" w:fill="E6EEFF"/>
          </w:tcPr>
          <w:p>
            <w:pPr>
              <w:spacing w:after="0"/>
              <w:rPr>
                <w:sz w:val="17"/>
                <w:szCs w:val="17"/>
                <w:color w:val="auto"/>
              </w:rPr>
            </w:pPr>
          </w:p>
        </w:tc>
        <w:tc>
          <w:tcPr>
            <w:tcW w:w="100" w:type="dxa"/>
            <w:vAlign w:val="bottom"/>
            <w:tcBorders>
              <w:top w:val="single" w:sz="8" w:color="E6EEFF"/>
            </w:tcBorders>
            <w:shd w:val="clear" w:color="auto" w:fill="E6EEFF"/>
          </w:tcPr>
          <w:p>
            <w:pPr>
              <w:spacing w:after="0"/>
              <w:rPr>
                <w:sz w:val="17"/>
                <w:szCs w:val="17"/>
                <w:color w:val="auto"/>
              </w:rPr>
            </w:pPr>
          </w:p>
        </w:tc>
        <w:tc>
          <w:tcPr>
            <w:tcW w:w="160" w:type="dxa"/>
            <w:vAlign w:val="bottom"/>
            <w:tcBorders>
              <w:top w:val="single" w:sz="8" w:color="auto"/>
            </w:tcBorders>
            <w:shd w:val="clear" w:color="auto" w:fill="E6EEFF"/>
          </w:tcPr>
          <w:p>
            <w:pPr>
              <w:spacing w:after="0"/>
              <w:rPr>
                <w:sz w:val="17"/>
                <w:szCs w:val="17"/>
                <w:color w:val="auto"/>
              </w:rPr>
            </w:pPr>
          </w:p>
        </w:tc>
        <w:tc>
          <w:tcPr>
            <w:tcW w:w="1320" w:type="dxa"/>
            <w:vAlign w:val="bottom"/>
            <w:tcBorders>
              <w:top w:val="single" w:sz="8" w:color="auto"/>
            </w:tcBorders>
            <w:shd w:val="clear" w:color="auto" w:fill="E6EEFF"/>
          </w:tcPr>
          <w:p>
            <w:pPr>
              <w:spacing w:after="0"/>
              <w:rPr>
                <w:sz w:val="17"/>
                <w:szCs w:val="17"/>
                <w:color w:val="auto"/>
              </w:rPr>
            </w:pPr>
          </w:p>
        </w:tc>
        <w:tc>
          <w:tcPr>
            <w:tcW w:w="120" w:type="dxa"/>
            <w:vAlign w:val="bottom"/>
            <w:tcBorders>
              <w:top w:val="single" w:sz="8" w:color="E6EEFF"/>
            </w:tcBorders>
            <w:shd w:val="clear" w:color="auto" w:fill="E6EEFF"/>
          </w:tcPr>
          <w:p>
            <w:pPr>
              <w:spacing w:after="0"/>
              <w:rPr>
                <w:sz w:val="17"/>
                <w:szCs w:val="17"/>
                <w:color w:val="auto"/>
              </w:rPr>
            </w:pPr>
          </w:p>
        </w:tc>
        <w:tc>
          <w:tcPr>
            <w:tcW w:w="160" w:type="dxa"/>
            <w:vAlign w:val="bottom"/>
            <w:tcBorders>
              <w:top w:val="single" w:sz="8" w:color="auto"/>
            </w:tcBorders>
            <w:shd w:val="clear" w:color="auto" w:fill="E6EEFF"/>
          </w:tcPr>
          <w:p>
            <w:pPr>
              <w:spacing w:after="0"/>
              <w:rPr>
                <w:sz w:val="17"/>
                <w:szCs w:val="17"/>
                <w:color w:val="auto"/>
              </w:rPr>
            </w:pPr>
          </w:p>
        </w:tc>
        <w:tc>
          <w:tcPr>
            <w:tcW w:w="1440" w:type="dxa"/>
            <w:vAlign w:val="bottom"/>
            <w:tcBorders>
              <w:top w:val="single" w:sz="8" w:color="auto"/>
            </w:tcBorders>
            <w:shd w:val="clear" w:color="auto" w:fill="E6EEFF"/>
          </w:tcPr>
          <w:p>
            <w:pPr>
              <w:spacing w:after="0"/>
              <w:rPr>
                <w:sz w:val="17"/>
                <w:szCs w:val="17"/>
                <w:color w:val="auto"/>
              </w:rPr>
            </w:pPr>
          </w:p>
        </w:tc>
        <w:tc>
          <w:tcPr>
            <w:tcW w:w="120" w:type="dxa"/>
            <w:vAlign w:val="bottom"/>
            <w:tcBorders>
              <w:top w:val="single" w:sz="8" w:color="E6EEFF"/>
            </w:tcBorders>
            <w:shd w:val="clear" w:color="auto" w:fill="E6EEFF"/>
          </w:tcPr>
          <w:p>
            <w:pPr>
              <w:spacing w:after="0"/>
              <w:rPr>
                <w:sz w:val="17"/>
                <w:szCs w:val="17"/>
                <w:color w:val="auto"/>
              </w:rPr>
            </w:pPr>
          </w:p>
        </w:tc>
        <w:tc>
          <w:tcPr>
            <w:tcW w:w="180" w:type="dxa"/>
            <w:vAlign w:val="bottom"/>
            <w:tcBorders>
              <w:top w:val="single" w:sz="8" w:color="auto"/>
            </w:tcBorders>
            <w:shd w:val="clear" w:color="auto" w:fill="E6EEFF"/>
          </w:tcPr>
          <w:p>
            <w:pPr>
              <w:spacing w:after="0"/>
              <w:rPr>
                <w:sz w:val="17"/>
                <w:szCs w:val="17"/>
                <w:color w:val="auto"/>
              </w:rPr>
            </w:pPr>
          </w:p>
        </w:tc>
        <w:tc>
          <w:tcPr>
            <w:tcW w:w="1360" w:type="dxa"/>
            <w:vAlign w:val="bottom"/>
            <w:tcBorders>
              <w:top w:val="single" w:sz="8" w:color="auto"/>
            </w:tcBorders>
            <w:shd w:val="clear" w:color="auto" w:fill="E6EEFF"/>
          </w:tcPr>
          <w:p>
            <w:pPr>
              <w:spacing w:after="0"/>
              <w:rPr>
                <w:sz w:val="17"/>
                <w:szCs w:val="17"/>
                <w:color w:val="auto"/>
              </w:rPr>
            </w:pPr>
          </w:p>
        </w:tc>
        <w:tc>
          <w:tcPr>
            <w:tcW w:w="100" w:type="dxa"/>
            <w:vAlign w:val="bottom"/>
            <w:tcBorders>
              <w:top w:val="single" w:sz="8" w:color="E6EEFF"/>
            </w:tcBorders>
            <w:shd w:val="clear" w:color="auto" w:fill="E6EEFF"/>
          </w:tcPr>
          <w:p>
            <w:pPr>
              <w:spacing w:after="0"/>
              <w:rPr>
                <w:sz w:val="17"/>
                <w:szCs w:val="17"/>
                <w:color w:val="auto"/>
              </w:rPr>
            </w:pPr>
          </w:p>
        </w:tc>
        <w:tc>
          <w:tcPr>
            <w:tcW w:w="720" w:type="dxa"/>
            <w:vAlign w:val="bottom"/>
            <w:tcBorders>
              <w:top w:val="single" w:sz="8" w:color="auto"/>
            </w:tcBorders>
            <w:shd w:val="clear" w:color="auto" w:fill="E6EEFF"/>
          </w:tcPr>
          <w:p>
            <w:pPr>
              <w:spacing w:after="0"/>
              <w:rPr>
                <w:sz w:val="17"/>
                <w:szCs w:val="17"/>
                <w:color w:val="auto"/>
              </w:rPr>
            </w:pPr>
          </w:p>
        </w:tc>
        <w:tc>
          <w:tcPr>
            <w:tcW w:w="380" w:type="dxa"/>
            <w:vAlign w:val="bottom"/>
            <w:tcBorders>
              <w:top w:val="single" w:sz="8" w:color="auto"/>
            </w:tcBorders>
            <w:shd w:val="clear" w:color="auto" w:fill="E6EEFF"/>
          </w:tcPr>
          <w:p>
            <w:pPr>
              <w:spacing w:after="0"/>
              <w:rPr>
                <w:sz w:val="17"/>
                <w:szCs w:val="17"/>
                <w:color w:val="auto"/>
              </w:rPr>
            </w:pPr>
          </w:p>
        </w:tc>
        <w:tc>
          <w:tcPr>
            <w:tcW w:w="120" w:type="dxa"/>
            <w:vAlign w:val="bottom"/>
            <w:tcBorders>
              <w:top w:val="single" w:sz="8" w:color="E6EEFF"/>
            </w:tcBorders>
            <w:shd w:val="clear" w:color="auto" w:fill="E6EEFF"/>
          </w:tcPr>
          <w:p>
            <w:pPr>
              <w:spacing w:after="0"/>
              <w:rPr>
                <w:sz w:val="17"/>
                <w:szCs w:val="17"/>
                <w:color w:val="auto"/>
              </w:rPr>
            </w:pPr>
          </w:p>
        </w:tc>
        <w:tc>
          <w:tcPr>
            <w:tcW w:w="140" w:type="dxa"/>
            <w:vAlign w:val="bottom"/>
            <w:tcBorders>
              <w:top w:val="single" w:sz="8" w:color="auto"/>
            </w:tcBorders>
            <w:shd w:val="clear" w:color="auto" w:fill="E6EEFF"/>
          </w:tcPr>
          <w:p>
            <w:pPr>
              <w:spacing w:after="0"/>
              <w:rPr>
                <w:sz w:val="17"/>
                <w:szCs w:val="17"/>
                <w:color w:val="auto"/>
              </w:rPr>
            </w:pPr>
          </w:p>
        </w:tc>
        <w:tc>
          <w:tcPr>
            <w:tcW w:w="880" w:type="dxa"/>
            <w:vAlign w:val="bottom"/>
            <w:tcBorders>
              <w:top w:val="single" w:sz="8" w:color="auto"/>
            </w:tcBorders>
            <w:shd w:val="clear" w:color="auto" w:fill="E6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100" w:type="dxa"/>
            <w:vAlign w:val="bottom"/>
            <w:tcBorders>
              <w:top w:val="single" w:sz="8" w:color="auto"/>
            </w:tcBorders>
          </w:tcPr>
          <w:p>
            <w:pPr>
              <w:spacing w:after="0" w:line="166" w:lineRule="exact"/>
              <w:rPr>
                <w:sz w:val="20"/>
                <w:szCs w:val="20"/>
                <w:color w:val="auto"/>
              </w:rPr>
            </w:pPr>
            <w:r>
              <w:rPr>
                <w:rFonts w:ascii="Calibri" w:cs="Calibri" w:eastAsia="Calibri" w:hAnsi="Calibri"/>
                <w:sz w:val="17"/>
                <w:szCs w:val="17"/>
                <w:color w:val="auto"/>
              </w:rPr>
              <w:t>Reverse Repurchase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200" w:type="dxa"/>
            <w:vAlign w:val="bottom"/>
            <w:gridSpan w:val="2"/>
          </w:tcPr>
          <w:p>
            <w:pPr>
              <w:spacing w:after="0" w:line="205" w:lineRule="exact"/>
              <w:rPr>
                <w:sz w:val="20"/>
                <w:szCs w:val="20"/>
                <w:color w:val="auto"/>
              </w:rPr>
            </w:pPr>
            <w:r>
              <w:rPr>
                <w:rFonts w:ascii="Calibri" w:cs="Calibri" w:eastAsia="Calibri" w:hAnsi="Calibri"/>
                <w:sz w:val="17"/>
                <w:szCs w:val="17"/>
                <w:color w:val="auto"/>
              </w:rPr>
              <w:t>Agreements</w:t>
            </w:r>
          </w:p>
        </w:tc>
        <w:tc>
          <w:tcPr>
            <w:tcW w:w="140" w:type="dxa"/>
            <w:vAlign w:val="bottom"/>
          </w:tcPr>
          <w:p>
            <w:pPr>
              <w:jc w:val="right"/>
              <w:spacing w:after="0" w:line="205" w:lineRule="exact"/>
              <w:rPr>
                <w:sz w:val="20"/>
                <w:szCs w:val="20"/>
                <w:color w:val="auto"/>
              </w:rPr>
            </w:pPr>
            <w:r>
              <w:rPr>
                <w:rFonts w:ascii="Calibri" w:cs="Calibri" w:eastAsia="Calibri" w:hAnsi="Calibri"/>
                <w:sz w:val="17"/>
                <w:szCs w:val="17"/>
                <w:color w:val="auto"/>
              </w:rPr>
              <w:t>$</w:t>
            </w:r>
          </w:p>
        </w:tc>
        <w:tc>
          <w:tcPr>
            <w:tcW w:w="1260" w:type="dxa"/>
            <w:vAlign w:val="bottom"/>
          </w:tcPr>
          <w:p>
            <w:pPr>
              <w:jc w:val="right"/>
              <w:spacing w:after="0" w:line="205" w:lineRule="exact"/>
              <w:rPr>
                <w:sz w:val="20"/>
                <w:szCs w:val="20"/>
                <w:color w:val="auto"/>
              </w:rPr>
            </w:pPr>
            <w:r>
              <w:rPr>
                <w:rFonts w:ascii="Calibri" w:cs="Calibri" w:eastAsia="Calibri" w:hAnsi="Calibri"/>
                <w:sz w:val="17"/>
                <w:szCs w:val="17"/>
                <w:color w:val="auto"/>
              </w:rPr>
              <w:t>704,276</w:t>
            </w:r>
          </w:p>
        </w:tc>
        <w:tc>
          <w:tcPr>
            <w:tcW w:w="100" w:type="dxa"/>
            <w:vAlign w:val="bottom"/>
          </w:tcPr>
          <w:p>
            <w:pPr>
              <w:spacing w:after="0"/>
              <w:rPr>
                <w:sz w:val="17"/>
                <w:szCs w:val="17"/>
                <w:color w:val="auto"/>
              </w:rPr>
            </w:pP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Pr>
          <w:p>
            <w:pPr>
              <w:jc w:val="center"/>
              <w:ind w:left="535"/>
              <w:spacing w:after="0" w:line="205" w:lineRule="exact"/>
              <w:rPr>
                <w:sz w:val="20"/>
                <w:szCs w:val="20"/>
                <w:color w:val="auto"/>
              </w:rPr>
            </w:pPr>
            <w:r>
              <w:rPr>
                <w:rFonts w:ascii="Calibri" w:cs="Calibri" w:eastAsia="Calibri" w:hAnsi="Calibri"/>
                <w:sz w:val="17"/>
                <w:szCs w:val="17"/>
                <w:color w:val="auto"/>
                <w:w w:val="99"/>
              </w:rPr>
              <w:t>(704,276)</w:t>
            </w:r>
          </w:p>
        </w:tc>
        <w:tc>
          <w:tcPr>
            <w:tcW w:w="120" w:type="dxa"/>
            <w:vAlign w:val="bottom"/>
          </w:tcPr>
          <w:p>
            <w:pPr>
              <w:spacing w:after="0"/>
              <w:rPr>
                <w:sz w:val="17"/>
                <w:szCs w:val="17"/>
                <w:color w:val="auto"/>
              </w:rPr>
            </w:pP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56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18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6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720" w:type="dxa"/>
            <w:vAlign w:val="bottom"/>
          </w:tcPr>
          <w:p>
            <w:pPr>
              <w:ind w:left="2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Pr>
          <w:p>
            <w:pPr>
              <w:jc w:val="right"/>
              <w:spacing w:after="0" w:line="205" w:lineRule="exact"/>
              <w:rPr>
                <w:sz w:val="20"/>
                <w:szCs w:val="20"/>
                <w:color w:val="auto"/>
              </w:rPr>
            </w:pPr>
            <w:r>
              <w:rPr>
                <w:rFonts w:ascii="Calibri" w:cs="Calibri" w:eastAsia="Calibri" w:hAnsi="Calibri"/>
                <w:sz w:val="17"/>
                <w:szCs w:val="17"/>
                <w:color w:val="auto"/>
              </w:rPr>
              <w:t>189</w:t>
            </w:r>
          </w:p>
        </w:tc>
        <w:tc>
          <w:tcPr>
            <w:tcW w:w="120" w:type="dxa"/>
            <w:vAlign w:val="bottom"/>
          </w:tcPr>
          <w:p>
            <w:pPr>
              <w:spacing w:after="0"/>
              <w:rPr>
                <w:sz w:val="17"/>
                <w:szCs w:val="17"/>
                <w:color w:val="auto"/>
              </w:rPr>
            </w:pPr>
          </w:p>
        </w:tc>
        <w:tc>
          <w:tcPr>
            <w:tcW w:w="14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880" w:type="dxa"/>
            <w:vAlign w:val="bottom"/>
          </w:tcPr>
          <w:p>
            <w:pPr>
              <w:jc w:val="right"/>
              <w:spacing w:after="0" w:line="205" w:lineRule="exact"/>
              <w:rPr>
                <w:sz w:val="20"/>
                <w:szCs w:val="20"/>
                <w:color w:val="auto"/>
              </w:rPr>
            </w:pPr>
            <w:r>
              <w:rPr>
                <w:rFonts w:ascii="Calibri" w:cs="Calibri" w:eastAsia="Calibri" w:hAnsi="Calibri"/>
                <w:sz w:val="17"/>
                <w:szCs w:val="17"/>
                <w:color w:val="auto"/>
              </w:rPr>
              <w:t>189</w:t>
            </w:r>
          </w:p>
        </w:tc>
        <w:tc>
          <w:tcPr>
            <w:tcW w:w="0" w:type="dxa"/>
            <w:vAlign w:val="bottom"/>
          </w:tcPr>
          <w:p>
            <w:pPr>
              <w:spacing w:after="0"/>
              <w:rPr>
                <w:sz w:val="1"/>
                <w:szCs w:val="1"/>
                <w:color w:val="auto"/>
              </w:rPr>
            </w:pPr>
          </w:p>
        </w:tc>
      </w:tr>
      <w:tr>
        <w:trPr>
          <w:trHeight w:val="22"/>
        </w:trPr>
        <w:tc>
          <w:tcPr>
            <w:tcW w:w="2100" w:type="dxa"/>
            <w:vAlign w:val="bottom"/>
            <w:tcBorders>
              <w:bottom w:val="single" w:sz="8" w:color="E6EEFF"/>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E6EEFF"/>
            </w:tcBorders>
            <w:gridSpan w:val="2"/>
            <w:shd w:val="clear" w:color="auto" w:fill="E6EEFF"/>
          </w:tcPr>
          <w:p>
            <w:pPr>
              <w:spacing w:after="0"/>
              <w:rPr>
                <w:sz w:val="20"/>
                <w:szCs w:val="20"/>
                <w:color w:val="auto"/>
              </w:rPr>
            </w:pPr>
            <w:r>
              <w:rPr>
                <w:rFonts w:ascii="Calibri" w:cs="Calibri" w:eastAsia="Calibri" w:hAnsi="Calibri"/>
                <w:sz w:val="17"/>
                <w:szCs w:val="17"/>
                <w:b w:val="1"/>
                <w:bCs w:val="1"/>
                <w:color w:val="1C4787"/>
              </w:rPr>
              <w:t>Totals</w:t>
            </w:r>
          </w:p>
        </w:tc>
        <w:tc>
          <w:tcPr>
            <w:tcW w:w="1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704,276</w:t>
            </w:r>
          </w:p>
        </w:tc>
        <w:tc>
          <w:tcPr>
            <w:tcW w:w="100" w:type="dxa"/>
            <w:vAlign w:val="bottom"/>
            <w:tcBorders>
              <w:bottom w:val="single" w:sz="8" w:color="E6EEFF"/>
            </w:tcBorders>
            <w:shd w:val="clear" w:color="auto" w:fill="E6EEFF"/>
          </w:tcPr>
          <w:p>
            <w:pPr>
              <w:spacing w:after="0"/>
              <w:rPr>
                <w:sz w:val="20"/>
                <w:szCs w:val="20"/>
                <w:color w:val="auto"/>
              </w:rPr>
            </w:pPr>
          </w:p>
        </w:tc>
        <w:tc>
          <w:tcPr>
            <w:tcW w:w="1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bottom w:val="single" w:sz="8" w:color="auto"/>
            </w:tcBorders>
            <w:shd w:val="clear" w:color="auto" w:fill="E6EEFF"/>
          </w:tcPr>
          <w:p>
            <w:pPr>
              <w:jc w:val="center"/>
              <w:ind w:left="535"/>
              <w:spacing w:after="0" w:line="205" w:lineRule="exact"/>
              <w:rPr>
                <w:sz w:val="20"/>
                <w:szCs w:val="20"/>
                <w:color w:val="auto"/>
              </w:rPr>
            </w:pPr>
            <w:r>
              <w:rPr>
                <w:rFonts w:ascii="Calibri" w:cs="Calibri" w:eastAsia="Calibri" w:hAnsi="Calibri"/>
                <w:sz w:val="17"/>
                <w:szCs w:val="17"/>
                <w:color w:val="auto"/>
                <w:w w:val="99"/>
              </w:rPr>
              <w:t>(704,276)</w:t>
            </w:r>
          </w:p>
        </w:tc>
        <w:tc>
          <w:tcPr>
            <w:tcW w:w="120" w:type="dxa"/>
            <w:vAlign w:val="bottom"/>
            <w:tcBorders>
              <w:bottom w:val="single" w:sz="8" w:color="E6EEFF"/>
            </w:tcBorders>
            <w:shd w:val="clear" w:color="auto" w:fill="E6EEFF"/>
          </w:tcPr>
          <w:p>
            <w:pPr>
              <w:spacing w:after="0"/>
              <w:rPr>
                <w:sz w:val="20"/>
                <w:szCs w:val="20"/>
                <w:color w:val="auto"/>
              </w:rPr>
            </w:pPr>
          </w:p>
        </w:tc>
        <w:tc>
          <w:tcPr>
            <w:tcW w:w="1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Borders>
              <w:bottom w:val="single" w:sz="8" w:color="E6EEFF"/>
            </w:tcBorders>
            <w:shd w:val="clear" w:color="auto" w:fill="E6EEFF"/>
          </w:tcPr>
          <w:p>
            <w:pPr>
              <w:spacing w:after="0"/>
              <w:rPr>
                <w:sz w:val="20"/>
                <w:szCs w:val="20"/>
                <w:color w:val="auto"/>
              </w:rPr>
            </w:pPr>
          </w:p>
        </w:tc>
        <w:tc>
          <w:tcPr>
            <w:tcW w:w="18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100" w:type="dxa"/>
            <w:vAlign w:val="bottom"/>
            <w:tcBorders>
              <w:bottom w:val="single" w:sz="8" w:color="E6EEFF"/>
            </w:tcBorders>
            <w:shd w:val="clear" w:color="auto" w:fill="E6EEFF"/>
          </w:tcPr>
          <w:p>
            <w:pPr>
              <w:spacing w:after="0"/>
              <w:rPr>
                <w:sz w:val="20"/>
                <w:szCs w:val="20"/>
                <w:color w:val="auto"/>
              </w:rPr>
            </w:pPr>
          </w:p>
        </w:tc>
        <w:tc>
          <w:tcPr>
            <w:tcW w:w="720" w:type="dxa"/>
            <w:vAlign w:val="bottom"/>
            <w:tcBorders>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189</w:t>
            </w:r>
          </w:p>
        </w:tc>
        <w:tc>
          <w:tcPr>
            <w:tcW w:w="120" w:type="dxa"/>
            <w:vAlign w:val="bottom"/>
            <w:tcBorders>
              <w:bottom w:val="single" w:sz="8" w:color="E6EEFF"/>
            </w:tcBorders>
            <w:shd w:val="clear" w:color="auto" w:fill="E6EEFF"/>
          </w:tcPr>
          <w:p>
            <w:pPr>
              <w:spacing w:after="0"/>
              <w:rPr>
                <w:sz w:val="20"/>
                <w:szCs w:val="20"/>
                <w:color w:val="auto"/>
              </w:rPr>
            </w:pPr>
          </w:p>
        </w:tc>
        <w:tc>
          <w:tcPr>
            <w:tcW w:w="1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88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189</w:t>
            </w:r>
          </w:p>
        </w:tc>
        <w:tc>
          <w:tcPr>
            <w:tcW w:w="0" w:type="dxa"/>
            <w:vAlign w:val="bottom"/>
          </w:tcPr>
          <w:p>
            <w:pPr>
              <w:spacing w:after="0"/>
              <w:rPr>
                <w:sz w:val="1"/>
                <w:szCs w:val="1"/>
                <w:color w:val="auto"/>
              </w:rPr>
            </w:pPr>
          </w:p>
        </w:tc>
      </w:tr>
      <w:tr>
        <w:trPr>
          <w:trHeight w:val="20"/>
        </w:trPr>
        <w:tc>
          <w:tcPr>
            <w:tcW w:w="2100" w:type="dxa"/>
            <w:vAlign w:val="bottom"/>
            <w:tcBorders>
              <w:top w:val="single" w:sz="8" w:color="E6EEFF"/>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40" w:type="dxa"/>
            <w:vAlign w:val="bottom"/>
            <w:tcBorders>
              <w:top w:val="single" w:sz="8" w:color="E6EEFF"/>
              <w:bottom w:val="single" w:sz="8" w:color="auto"/>
            </w:tcBorders>
          </w:tcPr>
          <w:p>
            <w:pPr>
              <w:spacing w:after="0" w:line="20" w:lineRule="exact"/>
              <w:rPr>
                <w:sz w:val="1"/>
                <w:szCs w:val="1"/>
                <w:color w:val="auto"/>
              </w:rPr>
            </w:pPr>
          </w:p>
        </w:tc>
        <w:tc>
          <w:tcPr>
            <w:tcW w:w="126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60" w:type="dxa"/>
            <w:vAlign w:val="bottom"/>
            <w:tcBorders>
              <w:top w:val="single" w:sz="8" w:color="E6EEFF"/>
              <w:bottom w:val="single" w:sz="8" w:color="auto"/>
            </w:tcBorders>
          </w:tcPr>
          <w:p>
            <w:pPr>
              <w:spacing w:after="0" w:line="20" w:lineRule="exact"/>
              <w:rPr>
                <w:sz w:val="1"/>
                <w:szCs w:val="1"/>
                <w:color w:val="auto"/>
              </w:rPr>
            </w:pPr>
          </w:p>
        </w:tc>
        <w:tc>
          <w:tcPr>
            <w:tcW w:w="132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60" w:type="dxa"/>
            <w:vAlign w:val="bottom"/>
            <w:tcBorders>
              <w:top w:val="single" w:sz="8" w:color="E6EEFF"/>
              <w:bottom w:val="single" w:sz="8" w:color="auto"/>
            </w:tcBorders>
          </w:tcPr>
          <w:p>
            <w:pPr>
              <w:spacing w:after="0" w:line="20" w:lineRule="exact"/>
              <w:rPr>
                <w:sz w:val="1"/>
                <w:szCs w:val="1"/>
                <w:color w:val="auto"/>
              </w:rPr>
            </w:pPr>
          </w:p>
        </w:tc>
        <w:tc>
          <w:tcPr>
            <w:tcW w:w="144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80" w:type="dxa"/>
            <w:vAlign w:val="bottom"/>
            <w:tcBorders>
              <w:top w:val="single" w:sz="8" w:color="E6EEFF"/>
              <w:bottom w:val="single" w:sz="8" w:color="auto"/>
            </w:tcBorders>
          </w:tcPr>
          <w:p>
            <w:pPr>
              <w:spacing w:after="0" w:line="20" w:lineRule="exact"/>
              <w:rPr>
                <w:sz w:val="1"/>
                <w:szCs w:val="1"/>
                <w:color w:val="auto"/>
              </w:rPr>
            </w:pPr>
          </w:p>
        </w:tc>
        <w:tc>
          <w:tcPr>
            <w:tcW w:w="136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720" w:type="dxa"/>
            <w:vAlign w:val="bottom"/>
            <w:tcBorders>
              <w:top w:val="single" w:sz="8" w:color="E6EEFF"/>
              <w:bottom w:val="single" w:sz="8" w:color="auto"/>
            </w:tcBorders>
          </w:tcPr>
          <w:p>
            <w:pPr>
              <w:spacing w:after="0" w:line="20" w:lineRule="exact"/>
              <w:rPr>
                <w:sz w:val="1"/>
                <w:szCs w:val="1"/>
                <w:color w:val="auto"/>
              </w:rPr>
            </w:pPr>
          </w:p>
        </w:tc>
        <w:tc>
          <w:tcPr>
            <w:tcW w:w="38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40" w:type="dxa"/>
            <w:vAlign w:val="bottom"/>
            <w:tcBorders>
              <w:top w:val="single" w:sz="8" w:color="E6EEFF"/>
              <w:bottom w:val="single" w:sz="8" w:color="auto"/>
            </w:tcBorders>
          </w:tcPr>
          <w:p>
            <w:pPr>
              <w:spacing w:after="0" w:line="20" w:lineRule="exact"/>
              <w:rPr>
                <w:sz w:val="1"/>
                <w:szCs w:val="1"/>
                <w:color w:val="auto"/>
              </w:rPr>
            </w:pPr>
          </w:p>
        </w:tc>
        <w:tc>
          <w:tcPr>
            <w:tcW w:w="880" w:type="dxa"/>
            <w:vAlign w:val="bottom"/>
            <w:tcBorders>
              <w:top w:val="single" w:sz="8" w:color="E6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200" w:type="dxa"/>
            <w:vAlign w:val="bottom"/>
            <w:gridSpan w:val="2"/>
            <w:shd w:val="clear" w:color="auto" w:fill="E6EEFF"/>
          </w:tcPr>
          <w:p>
            <w:pPr>
              <w:spacing w:after="0" w:line="205" w:lineRule="exact"/>
              <w:rPr>
                <w:sz w:val="20"/>
                <w:szCs w:val="20"/>
                <w:color w:val="auto"/>
              </w:rPr>
            </w:pPr>
            <w:r>
              <w:rPr>
                <w:rFonts w:ascii="Calibri" w:cs="Calibri" w:eastAsia="Calibri" w:hAnsi="Calibri"/>
                <w:sz w:val="17"/>
                <w:szCs w:val="17"/>
                <w:b w:val="1"/>
                <w:bCs w:val="1"/>
                <w:color w:val="1C4787"/>
              </w:rPr>
              <w:t>Liabilites</w:t>
            </w:r>
          </w:p>
        </w:tc>
        <w:tc>
          <w:tcPr>
            <w:tcW w:w="140" w:type="dxa"/>
            <w:vAlign w:val="bottom"/>
            <w:shd w:val="clear" w:color="auto" w:fill="E6EEFF"/>
          </w:tcPr>
          <w:p>
            <w:pPr>
              <w:spacing w:after="0"/>
              <w:rPr>
                <w:sz w:val="19"/>
                <w:szCs w:val="19"/>
                <w:color w:val="auto"/>
              </w:rPr>
            </w:pPr>
          </w:p>
        </w:tc>
        <w:tc>
          <w:tcPr>
            <w:tcW w:w="126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160" w:type="dxa"/>
            <w:vAlign w:val="bottom"/>
            <w:shd w:val="clear" w:color="auto" w:fill="E6EEFF"/>
          </w:tcPr>
          <w:p>
            <w:pPr>
              <w:spacing w:after="0"/>
              <w:rPr>
                <w:sz w:val="19"/>
                <w:szCs w:val="19"/>
                <w:color w:val="auto"/>
              </w:rPr>
            </w:pPr>
          </w:p>
        </w:tc>
        <w:tc>
          <w:tcPr>
            <w:tcW w:w="132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60" w:type="dxa"/>
            <w:vAlign w:val="bottom"/>
            <w:shd w:val="clear" w:color="auto" w:fill="E6EEFF"/>
          </w:tcPr>
          <w:p>
            <w:pPr>
              <w:spacing w:after="0"/>
              <w:rPr>
                <w:sz w:val="19"/>
                <w:szCs w:val="19"/>
                <w:color w:val="auto"/>
              </w:rPr>
            </w:pPr>
          </w:p>
        </w:tc>
        <w:tc>
          <w:tcPr>
            <w:tcW w:w="144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80" w:type="dxa"/>
            <w:vAlign w:val="bottom"/>
            <w:shd w:val="clear" w:color="auto" w:fill="E6EEFF"/>
          </w:tcPr>
          <w:p>
            <w:pPr>
              <w:spacing w:after="0"/>
              <w:rPr>
                <w:sz w:val="19"/>
                <w:szCs w:val="19"/>
                <w:color w:val="auto"/>
              </w:rPr>
            </w:pPr>
          </w:p>
        </w:tc>
        <w:tc>
          <w:tcPr>
            <w:tcW w:w="136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720" w:type="dxa"/>
            <w:vAlign w:val="bottom"/>
            <w:shd w:val="clear" w:color="auto" w:fill="E6EEFF"/>
          </w:tcPr>
          <w:p>
            <w:pPr>
              <w:spacing w:after="0"/>
              <w:rPr>
                <w:sz w:val="19"/>
                <w:szCs w:val="19"/>
                <w:color w:val="auto"/>
              </w:rPr>
            </w:pPr>
          </w:p>
        </w:tc>
        <w:tc>
          <w:tcPr>
            <w:tcW w:w="38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40" w:type="dxa"/>
            <w:vAlign w:val="bottom"/>
            <w:shd w:val="clear" w:color="auto" w:fill="E6EEFF"/>
          </w:tcPr>
          <w:p>
            <w:pPr>
              <w:spacing w:after="0"/>
              <w:rPr>
                <w:sz w:val="19"/>
                <w:szCs w:val="19"/>
                <w:color w:val="auto"/>
              </w:rPr>
            </w:pPr>
          </w:p>
        </w:tc>
        <w:tc>
          <w:tcPr>
            <w:tcW w:w="880" w:type="dxa"/>
            <w:vAlign w:val="bottom"/>
            <w:shd w:val="clear" w:color="auto" w:fill="E6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100" w:type="dxa"/>
            <w:vAlign w:val="bottom"/>
            <w:tcBorders>
              <w:top w:val="single" w:sz="8" w:color="auto"/>
            </w:tcBorders>
          </w:tcPr>
          <w:p>
            <w:pPr>
              <w:spacing w:after="0" w:line="205" w:lineRule="exact"/>
              <w:rPr>
                <w:sz w:val="20"/>
                <w:szCs w:val="20"/>
                <w:color w:val="auto"/>
              </w:rPr>
            </w:pPr>
            <w:r>
              <w:rPr>
                <w:rFonts w:ascii="Calibri" w:cs="Calibri" w:eastAsia="Calibri" w:hAnsi="Calibri"/>
                <w:sz w:val="17"/>
                <w:szCs w:val="17"/>
                <w:color w:val="auto"/>
              </w:rPr>
              <w:t>Repurchase Agreements</w:t>
            </w:r>
          </w:p>
        </w:tc>
        <w:tc>
          <w:tcPr>
            <w:tcW w:w="100" w:type="dxa"/>
            <w:vAlign w:val="bottom"/>
          </w:tcPr>
          <w:p>
            <w:pPr>
              <w:spacing w:after="0"/>
              <w:rPr>
                <w:sz w:val="17"/>
                <w:szCs w:val="17"/>
                <w:color w:val="auto"/>
              </w:rPr>
            </w:pPr>
          </w:p>
        </w:tc>
        <w:tc>
          <w:tcPr>
            <w:tcW w:w="140" w:type="dxa"/>
            <w:vAlign w:val="bottom"/>
          </w:tcPr>
          <w:p>
            <w:pPr>
              <w:jc w:val="right"/>
              <w:spacing w:after="0" w:line="190" w:lineRule="exact"/>
              <w:rPr>
                <w:sz w:val="20"/>
                <w:szCs w:val="20"/>
                <w:color w:val="auto"/>
              </w:rPr>
            </w:pPr>
            <w:r>
              <w:rPr>
                <w:rFonts w:ascii="Calibri" w:cs="Calibri" w:eastAsia="Calibri" w:hAnsi="Calibri"/>
                <w:sz w:val="17"/>
                <w:szCs w:val="17"/>
                <w:color w:val="auto"/>
              </w:rPr>
              <w:t>$</w:t>
            </w:r>
          </w:p>
        </w:tc>
        <w:tc>
          <w:tcPr>
            <w:tcW w:w="1260" w:type="dxa"/>
            <w:vAlign w:val="bottom"/>
          </w:tcPr>
          <w:p>
            <w:pPr>
              <w:jc w:val="right"/>
              <w:spacing w:after="0" w:line="190" w:lineRule="exact"/>
              <w:rPr>
                <w:sz w:val="20"/>
                <w:szCs w:val="20"/>
                <w:color w:val="auto"/>
              </w:rPr>
            </w:pPr>
            <w:r>
              <w:rPr>
                <w:rFonts w:ascii="Calibri" w:cs="Calibri" w:eastAsia="Calibri" w:hAnsi="Calibri"/>
                <w:sz w:val="17"/>
                <w:szCs w:val="17"/>
                <w:color w:val="auto"/>
              </w:rPr>
              <w:t>(7,167,334)</w:t>
            </w:r>
          </w:p>
        </w:tc>
        <w:tc>
          <w:tcPr>
            <w:tcW w:w="100" w:type="dxa"/>
            <w:vAlign w:val="bottom"/>
          </w:tcPr>
          <w:p>
            <w:pPr>
              <w:spacing w:after="0"/>
              <w:rPr>
                <w:sz w:val="17"/>
                <w:szCs w:val="17"/>
                <w:color w:val="auto"/>
              </w:rPr>
            </w:pPr>
          </w:p>
        </w:tc>
        <w:tc>
          <w:tcPr>
            <w:tcW w:w="160" w:type="dxa"/>
            <w:vAlign w:val="bottom"/>
          </w:tcPr>
          <w:p>
            <w:pPr>
              <w:jc w:val="right"/>
              <w:spacing w:after="0" w:line="190" w:lineRule="exact"/>
              <w:rPr>
                <w:sz w:val="20"/>
                <w:szCs w:val="20"/>
                <w:color w:val="auto"/>
              </w:rPr>
            </w:pPr>
            <w:r>
              <w:rPr>
                <w:rFonts w:ascii="Calibri" w:cs="Calibri" w:eastAsia="Calibri" w:hAnsi="Calibri"/>
                <w:sz w:val="17"/>
                <w:szCs w:val="17"/>
                <w:color w:val="auto"/>
                <w:w w:val="92"/>
              </w:rPr>
              <w:t>$</w:t>
            </w:r>
          </w:p>
        </w:tc>
        <w:tc>
          <w:tcPr>
            <w:tcW w:w="1320" w:type="dxa"/>
            <w:vAlign w:val="bottom"/>
          </w:tcPr>
          <w:p>
            <w:pPr>
              <w:jc w:val="center"/>
              <w:ind w:left="575"/>
              <w:spacing w:after="0" w:line="190" w:lineRule="exact"/>
              <w:rPr>
                <w:sz w:val="20"/>
                <w:szCs w:val="20"/>
                <w:color w:val="auto"/>
              </w:rPr>
            </w:pPr>
            <w:r>
              <w:rPr>
                <w:rFonts w:ascii="Calibri" w:cs="Calibri" w:eastAsia="Calibri" w:hAnsi="Calibri"/>
                <w:sz w:val="17"/>
                <w:szCs w:val="17"/>
                <w:color w:val="auto"/>
                <w:w w:val="96"/>
              </w:rPr>
              <w:t>704,276</w:t>
            </w:r>
          </w:p>
        </w:tc>
        <w:tc>
          <w:tcPr>
            <w:tcW w:w="120" w:type="dxa"/>
            <w:vAlign w:val="bottom"/>
          </w:tcPr>
          <w:p>
            <w:pPr>
              <w:spacing w:after="0"/>
              <w:rPr>
                <w:sz w:val="17"/>
                <w:szCs w:val="17"/>
                <w:color w:val="auto"/>
              </w:rPr>
            </w:pPr>
          </w:p>
        </w:tc>
        <w:tc>
          <w:tcPr>
            <w:tcW w:w="160" w:type="dxa"/>
            <w:vAlign w:val="bottom"/>
          </w:tcPr>
          <w:p>
            <w:pPr>
              <w:jc w:val="right"/>
              <w:spacing w:after="0" w:line="190" w:lineRule="exact"/>
              <w:rPr>
                <w:sz w:val="20"/>
                <w:szCs w:val="20"/>
                <w:color w:val="auto"/>
              </w:rPr>
            </w:pPr>
            <w:r>
              <w:rPr>
                <w:rFonts w:ascii="Calibri" w:cs="Calibri" w:eastAsia="Calibri" w:hAnsi="Calibri"/>
                <w:sz w:val="17"/>
                <w:szCs w:val="17"/>
                <w:color w:val="auto"/>
                <w:w w:val="92"/>
              </w:rPr>
              <w:t>$</w:t>
            </w:r>
          </w:p>
        </w:tc>
        <w:tc>
          <w:tcPr>
            <w:tcW w:w="1440" w:type="dxa"/>
            <w:vAlign w:val="bottom"/>
          </w:tcPr>
          <w:p>
            <w:pPr>
              <w:jc w:val="right"/>
              <w:spacing w:after="0" w:line="190" w:lineRule="exact"/>
              <w:rPr>
                <w:sz w:val="20"/>
                <w:szCs w:val="20"/>
                <w:color w:val="auto"/>
              </w:rPr>
            </w:pPr>
            <w:r>
              <w:rPr>
                <w:rFonts w:ascii="Calibri" w:cs="Calibri" w:eastAsia="Calibri" w:hAnsi="Calibri"/>
                <w:sz w:val="17"/>
                <w:szCs w:val="17"/>
                <w:color w:val="auto"/>
              </w:rPr>
              <w:t>(6,463,058)</w:t>
            </w:r>
          </w:p>
        </w:tc>
        <w:tc>
          <w:tcPr>
            <w:tcW w:w="120" w:type="dxa"/>
            <w:vAlign w:val="bottom"/>
          </w:tcPr>
          <w:p>
            <w:pPr>
              <w:spacing w:after="0"/>
              <w:rPr>
                <w:sz w:val="17"/>
                <w:szCs w:val="17"/>
                <w:color w:val="auto"/>
              </w:rPr>
            </w:pPr>
          </w:p>
        </w:tc>
        <w:tc>
          <w:tcPr>
            <w:tcW w:w="180" w:type="dxa"/>
            <w:vAlign w:val="bottom"/>
          </w:tcPr>
          <w:p>
            <w:pPr>
              <w:jc w:val="right"/>
              <w:spacing w:after="0" w:line="190" w:lineRule="exact"/>
              <w:rPr>
                <w:sz w:val="20"/>
                <w:szCs w:val="20"/>
                <w:color w:val="auto"/>
              </w:rPr>
            </w:pPr>
            <w:r>
              <w:rPr>
                <w:rFonts w:ascii="Calibri" w:cs="Calibri" w:eastAsia="Calibri" w:hAnsi="Calibri"/>
                <w:sz w:val="17"/>
                <w:szCs w:val="17"/>
                <w:color w:val="auto"/>
                <w:w w:val="92"/>
              </w:rPr>
              <w:t>$</w:t>
            </w:r>
          </w:p>
        </w:tc>
        <w:tc>
          <w:tcPr>
            <w:tcW w:w="1360" w:type="dxa"/>
            <w:vAlign w:val="bottom"/>
          </w:tcPr>
          <w:p>
            <w:pPr>
              <w:jc w:val="right"/>
              <w:spacing w:after="0" w:line="190" w:lineRule="exact"/>
              <w:rPr>
                <w:sz w:val="20"/>
                <w:szCs w:val="20"/>
                <w:color w:val="auto"/>
              </w:rPr>
            </w:pPr>
            <w:r>
              <w:rPr>
                <w:rFonts w:ascii="Calibri" w:cs="Calibri" w:eastAsia="Calibri" w:hAnsi="Calibri"/>
                <w:sz w:val="17"/>
                <w:szCs w:val="17"/>
                <w:color w:val="auto"/>
              </w:rPr>
              <w:t>6,463,058</w:t>
            </w:r>
          </w:p>
        </w:tc>
        <w:tc>
          <w:tcPr>
            <w:tcW w:w="100" w:type="dxa"/>
            <w:vAlign w:val="bottom"/>
          </w:tcPr>
          <w:p>
            <w:pPr>
              <w:spacing w:after="0"/>
              <w:rPr>
                <w:sz w:val="17"/>
                <w:szCs w:val="17"/>
                <w:color w:val="auto"/>
              </w:rPr>
            </w:pPr>
          </w:p>
        </w:tc>
        <w:tc>
          <w:tcPr>
            <w:tcW w:w="720" w:type="dxa"/>
            <w:vAlign w:val="bottom"/>
          </w:tcPr>
          <w:p>
            <w:pPr>
              <w:ind w:left="20"/>
              <w:spacing w:after="0" w:line="190" w:lineRule="exact"/>
              <w:rPr>
                <w:sz w:val="20"/>
                <w:szCs w:val="20"/>
                <w:color w:val="auto"/>
              </w:rPr>
            </w:pPr>
            <w:r>
              <w:rPr>
                <w:rFonts w:ascii="Calibri" w:cs="Calibri" w:eastAsia="Calibri" w:hAnsi="Calibri"/>
                <w:sz w:val="17"/>
                <w:szCs w:val="17"/>
                <w:color w:val="auto"/>
              </w:rPr>
              <w:t>$</w:t>
            </w:r>
          </w:p>
        </w:tc>
        <w:tc>
          <w:tcPr>
            <w:tcW w:w="500" w:type="dxa"/>
            <w:vAlign w:val="bottom"/>
            <w:gridSpan w:val="2"/>
          </w:tcPr>
          <w:p>
            <w:pPr>
              <w:jc w:val="right"/>
              <w:ind w:right="180"/>
              <w:spacing w:after="0" w:line="190" w:lineRule="exact"/>
              <w:rPr>
                <w:sz w:val="20"/>
                <w:szCs w:val="20"/>
                <w:color w:val="auto"/>
              </w:rPr>
            </w:pPr>
            <w:r>
              <w:rPr>
                <w:rFonts w:ascii="Calibri" w:cs="Calibri" w:eastAsia="Calibri" w:hAnsi="Calibri"/>
                <w:sz w:val="17"/>
                <w:szCs w:val="17"/>
                <w:color w:val="auto"/>
              </w:rPr>
              <w:t>—</w:t>
            </w:r>
          </w:p>
        </w:tc>
        <w:tc>
          <w:tcPr>
            <w:tcW w:w="140" w:type="dxa"/>
            <w:vAlign w:val="bottom"/>
          </w:tcPr>
          <w:p>
            <w:pPr>
              <w:jc w:val="right"/>
              <w:spacing w:after="0" w:line="190" w:lineRule="exact"/>
              <w:rPr>
                <w:sz w:val="20"/>
                <w:szCs w:val="20"/>
                <w:color w:val="auto"/>
              </w:rPr>
            </w:pPr>
            <w:r>
              <w:rPr>
                <w:rFonts w:ascii="Calibri" w:cs="Calibri" w:eastAsia="Calibri" w:hAnsi="Calibri"/>
                <w:sz w:val="17"/>
                <w:szCs w:val="17"/>
                <w:color w:val="auto"/>
                <w:w w:val="92"/>
              </w:rPr>
              <w:t>$</w:t>
            </w:r>
          </w:p>
        </w:tc>
        <w:tc>
          <w:tcPr>
            <w:tcW w:w="880" w:type="dxa"/>
            <w:vAlign w:val="bottom"/>
          </w:tcPr>
          <w:p>
            <w:pPr>
              <w:jc w:val="right"/>
              <w:spacing w:after="0" w:line="190"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44"/>
        </w:trPr>
        <w:tc>
          <w:tcPr>
            <w:tcW w:w="2200" w:type="dxa"/>
            <w:vAlign w:val="bottom"/>
            <w:tcBorders>
              <w:top w:val="single" w:sz="8" w:color="E6EEFF"/>
              <w:bottom w:val="single" w:sz="8" w:color="E6EEFF"/>
            </w:tcBorders>
            <w:gridSpan w:val="2"/>
            <w:shd w:val="clear" w:color="auto" w:fill="E6EEFF"/>
          </w:tcPr>
          <w:p>
            <w:pPr>
              <w:spacing w:after="0"/>
              <w:rPr>
                <w:sz w:val="20"/>
                <w:szCs w:val="20"/>
                <w:color w:val="auto"/>
              </w:rPr>
            </w:pPr>
            <w:r>
              <w:rPr>
                <w:rFonts w:ascii="Calibri" w:cs="Calibri" w:eastAsia="Calibri" w:hAnsi="Calibri"/>
                <w:sz w:val="17"/>
                <w:szCs w:val="17"/>
                <w:b w:val="1"/>
                <w:bCs w:val="1"/>
                <w:color w:val="1C4787"/>
              </w:rPr>
              <w:t>Totals</w:t>
            </w:r>
          </w:p>
        </w:tc>
        <w:tc>
          <w:tcPr>
            <w:tcW w:w="14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6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(7,167,334)</w:t>
            </w:r>
          </w:p>
        </w:tc>
        <w:tc>
          <w:tcPr>
            <w:tcW w:w="100" w:type="dxa"/>
            <w:vAlign w:val="bottom"/>
            <w:tcBorders>
              <w:top w:val="single" w:sz="8" w:color="E6EEFF"/>
              <w:bottom w:val="single" w:sz="8" w:color="E6EEFF"/>
            </w:tcBorders>
            <w:shd w:val="clear" w:color="auto" w:fill="E6EEFF"/>
          </w:tcPr>
          <w:p>
            <w:pPr>
              <w:spacing w:after="0"/>
              <w:rPr>
                <w:sz w:val="20"/>
                <w:szCs w:val="20"/>
                <w:color w:val="auto"/>
              </w:rPr>
            </w:pPr>
          </w:p>
        </w:tc>
        <w:tc>
          <w:tcPr>
            <w:tcW w:w="16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20" w:type="dxa"/>
            <w:vAlign w:val="bottom"/>
            <w:tcBorders>
              <w:top w:val="single" w:sz="8" w:color="auto"/>
              <w:bottom w:val="single" w:sz="8" w:color="auto"/>
            </w:tcBorders>
            <w:shd w:val="clear" w:color="auto" w:fill="E6EEFF"/>
          </w:tcPr>
          <w:p>
            <w:pPr>
              <w:jc w:val="center"/>
              <w:ind w:left="575"/>
              <w:spacing w:after="0" w:line="205" w:lineRule="exact"/>
              <w:rPr>
                <w:sz w:val="20"/>
                <w:szCs w:val="20"/>
                <w:color w:val="auto"/>
              </w:rPr>
            </w:pPr>
            <w:r>
              <w:rPr>
                <w:rFonts w:ascii="Calibri" w:cs="Calibri" w:eastAsia="Calibri" w:hAnsi="Calibri"/>
                <w:sz w:val="17"/>
                <w:szCs w:val="17"/>
                <w:color w:val="auto"/>
                <w:w w:val="96"/>
              </w:rPr>
              <w:t>704,276</w:t>
            </w:r>
          </w:p>
        </w:tc>
        <w:tc>
          <w:tcPr>
            <w:tcW w:w="120" w:type="dxa"/>
            <w:vAlign w:val="bottom"/>
            <w:tcBorders>
              <w:top w:val="single" w:sz="8" w:color="E6EEFF"/>
              <w:bottom w:val="single" w:sz="8" w:color="E6EEFF"/>
            </w:tcBorders>
            <w:shd w:val="clear" w:color="auto" w:fill="E6EEFF"/>
          </w:tcPr>
          <w:p>
            <w:pPr>
              <w:spacing w:after="0"/>
              <w:rPr>
                <w:sz w:val="20"/>
                <w:szCs w:val="20"/>
                <w:color w:val="auto"/>
              </w:rPr>
            </w:pPr>
          </w:p>
        </w:tc>
        <w:tc>
          <w:tcPr>
            <w:tcW w:w="16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4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(6,463,058)</w:t>
            </w:r>
          </w:p>
        </w:tc>
        <w:tc>
          <w:tcPr>
            <w:tcW w:w="120" w:type="dxa"/>
            <w:vAlign w:val="bottom"/>
            <w:tcBorders>
              <w:top w:val="single" w:sz="8" w:color="E6EEFF"/>
              <w:bottom w:val="single" w:sz="8" w:color="E6EEFF"/>
            </w:tcBorders>
            <w:shd w:val="clear" w:color="auto" w:fill="E6EEFF"/>
          </w:tcPr>
          <w:p>
            <w:pPr>
              <w:spacing w:after="0"/>
              <w:rPr>
                <w:sz w:val="20"/>
                <w:szCs w:val="20"/>
                <w:color w:val="auto"/>
              </w:rPr>
            </w:pPr>
          </w:p>
        </w:tc>
        <w:tc>
          <w:tcPr>
            <w:tcW w:w="18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36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6,463,058</w:t>
            </w:r>
          </w:p>
        </w:tc>
        <w:tc>
          <w:tcPr>
            <w:tcW w:w="100" w:type="dxa"/>
            <w:vAlign w:val="bottom"/>
            <w:tcBorders>
              <w:top w:val="single" w:sz="8" w:color="E6EEFF"/>
              <w:bottom w:val="single" w:sz="8" w:color="E6EEFF"/>
            </w:tcBorders>
            <w:shd w:val="clear" w:color="auto" w:fill="E6EEFF"/>
          </w:tcPr>
          <w:p>
            <w:pPr>
              <w:spacing w:after="0"/>
              <w:rPr>
                <w:sz w:val="20"/>
                <w:szCs w:val="20"/>
                <w:color w:val="auto"/>
              </w:rPr>
            </w:pPr>
          </w:p>
        </w:tc>
        <w:tc>
          <w:tcPr>
            <w:tcW w:w="720" w:type="dxa"/>
            <w:vAlign w:val="bottom"/>
            <w:tcBorders>
              <w:top w:val="single" w:sz="8" w:color="auto"/>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38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Borders>
              <w:top w:val="single" w:sz="8" w:color="E6EEFF"/>
              <w:bottom w:val="single" w:sz="8" w:color="E6EEFF"/>
            </w:tcBorders>
            <w:shd w:val="clear" w:color="auto" w:fill="E6EEFF"/>
          </w:tcPr>
          <w:p>
            <w:pPr>
              <w:spacing w:after="0"/>
              <w:rPr>
                <w:sz w:val="20"/>
                <w:szCs w:val="20"/>
                <w:color w:val="auto"/>
              </w:rPr>
            </w:pPr>
          </w:p>
        </w:tc>
        <w:tc>
          <w:tcPr>
            <w:tcW w:w="14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88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0"/>
        </w:trPr>
        <w:tc>
          <w:tcPr>
            <w:tcW w:w="2100" w:type="dxa"/>
            <w:vAlign w:val="bottom"/>
            <w:tcBorders>
              <w:top w:val="single" w:sz="8" w:color="E6EEFF"/>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40" w:type="dxa"/>
            <w:vAlign w:val="bottom"/>
            <w:tcBorders>
              <w:top w:val="single" w:sz="8" w:color="E6EEFF"/>
              <w:bottom w:val="single" w:sz="8" w:color="auto"/>
            </w:tcBorders>
          </w:tcPr>
          <w:p>
            <w:pPr>
              <w:spacing w:after="0" w:line="20" w:lineRule="exact"/>
              <w:rPr>
                <w:sz w:val="1"/>
                <w:szCs w:val="1"/>
                <w:color w:val="auto"/>
              </w:rPr>
            </w:pPr>
          </w:p>
        </w:tc>
        <w:tc>
          <w:tcPr>
            <w:tcW w:w="126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60" w:type="dxa"/>
            <w:vAlign w:val="bottom"/>
            <w:tcBorders>
              <w:top w:val="single" w:sz="8" w:color="E6EEFF"/>
              <w:bottom w:val="single" w:sz="8" w:color="auto"/>
            </w:tcBorders>
          </w:tcPr>
          <w:p>
            <w:pPr>
              <w:spacing w:after="0" w:line="20" w:lineRule="exact"/>
              <w:rPr>
                <w:sz w:val="1"/>
                <w:szCs w:val="1"/>
                <w:color w:val="auto"/>
              </w:rPr>
            </w:pPr>
          </w:p>
        </w:tc>
        <w:tc>
          <w:tcPr>
            <w:tcW w:w="132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60" w:type="dxa"/>
            <w:vAlign w:val="bottom"/>
            <w:tcBorders>
              <w:top w:val="single" w:sz="8" w:color="E6EEFF"/>
              <w:bottom w:val="single" w:sz="8" w:color="auto"/>
            </w:tcBorders>
          </w:tcPr>
          <w:p>
            <w:pPr>
              <w:spacing w:after="0" w:line="20" w:lineRule="exact"/>
              <w:rPr>
                <w:sz w:val="1"/>
                <w:szCs w:val="1"/>
                <w:color w:val="auto"/>
              </w:rPr>
            </w:pPr>
          </w:p>
        </w:tc>
        <w:tc>
          <w:tcPr>
            <w:tcW w:w="144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80" w:type="dxa"/>
            <w:vAlign w:val="bottom"/>
            <w:tcBorders>
              <w:top w:val="single" w:sz="8" w:color="E6EEFF"/>
              <w:bottom w:val="single" w:sz="8" w:color="auto"/>
            </w:tcBorders>
          </w:tcPr>
          <w:p>
            <w:pPr>
              <w:spacing w:after="0" w:line="20" w:lineRule="exact"/>
              <w:rPr>
                <w:sz w:val="1"/>
                <w:szCs w:val="1"/>
                <w:color w:val="auto"/>
              </w:rPr>
            </w:pPr>
          </w:p>
        </w:tc>
        <w:tc>
          <w:tcPr>
            <w:tcW w:w="136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720" w:type="dxa"/>
            <w:vAlign w:val="bottom"/>
            <w:tcBorders>
              <w:top w:val="single" w:sz="8" w:color="E6EEFF"/>
              <w:bottom w:val="single" w:sz="8" w:color="auto"/>
            </w:tcBorders>
          </w:tcPr>
          <w:p>
            <w:pPr>
              <w:spacing w:after="0" w:line="20" w:lineRule="exact"/>
              <w:rPr>
                <w:sz w:val="1"/>
                <w:szCs w:val="1"/>
                <w:color w:val="auto"/>
              </w:rPr>
            </w:pPr>
          </w:p>
        </w:tc>
        <w:tc>
          <w:tcPr>
            <w:tcW w:w="38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40" w:type="dxa"/>
            <w:vAlign w:val="bottom"/>
            <w:tcBorders>
              <w:top w:val="single" w:sz="8" w:color="E6EEFF"/>
              <w:bottom w:val="single" w:sz="8" w:color="auto"/>
            </w:tcBorders>
          </w:tcPr>
          <w:p>
            <w:pPr>
              <w:spacing w:after="0" w:line="20" w:lineRule="exact"/>
              <w:rPr>
                <w:sz w:val="1"/>
                <w:szCs w:val="1"/>
                <w:color w:val="auto"/>
              </w:rPr>
            </w:pPr>
          </w:p>
        </w:tc>
        <w:tc>
          <w:tcPr>
            <w:tcW w:w="880" w:type="dxa"/>
            <w:vAlign w:val="bottom"/>
            <w:tcBorders>
              <w:top w:val="single" w:sz="8" w:color="E6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20" w:hanging="317"/>
        <w:spacing w:after="0" w:line="237" w:lineRule="auto"/>
        <w:tabs>
          <w:tab w:leader="none" w:pos="261" w:val="left"/>
        </w:tabs>
        <w:numPr>
          <w:ilvl w:val="0"/>
          <w:numId w:val="34"/>
        </w:numPr>
        <w:rPr>
          <w:rFonts w:ascii="Calibri" w:cs="Calibri" w:eastAsia="Calibri" w:hAnsi="Calibri"/>
          <w:sz w:val="17"/>
          <w:szCs w:val="17"/>
          <w:color w:val="auto"/>
        </w:rPr>
      </w:pPr>
      <w:r>
        <w:rPr>
          <w:rFonts w:ascii="Calibri" w:cs="Calibri" w:eastAsia="Calibri" w:hAnsi="Calibri"/>
          <w:sz w:val="17"/>
          <w:szCs w:val="17"/>
          <w:color w:val="auto"/>
        </w:rPr>
        <w:t>The fair value of securites pledged against our repurchase agreements was $10,599,340 and $7,249,039 at December 31, 2023 and December 31, 2022, respectvely.</w:t>
      </w:r>
    </w:p>
    <w:p>
      <w:pPr>
        <w:spacing w:after="0" w:line="10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repurchase agreements require that we maintain adequate pledged collateral. A decline in the value of the MBS pledged as collateral for borrowings under repurchase agreements could result in the counterpartes demanding additonal collateral pledges or liquidaton of some of the existng collateral to reduce borrowing levels. We manage this risk by maintaining an adequate balance of available cash and unpledged securites. An event of default or terminaton event under the standard MRA would give our counterparty the opton to terminate all repurchase transactons existng with us and require any amount due to be payable immediately. In additon, certain of our MRAs contain a restricton that prohibits our leverage from exceeding twelve tmes our stockholders’ equity as well as terminaton events in the case of signifcant reductons in equity capital. We also may receive cash or securites as collateral from our derivatve counterpartes which we may use as additonal collateral for repurchase agreements. Certain interest rate swap contracts provide for cross collateralizaton and cross default with repurchase agreements and other contracts with the same counterparty.</w:t>
      </w:r>
    </w:p>
    <w:p>
      <w:pPr>
        <w:spacing w:after="0" w:line="184"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At December 31, 2023 and December 31, 2022, BUCKLER accounted for 48.4% and 50.2%, respectvely, of our aggregate borrowings and had an amount at risk of 8.1% and 12.9%, respectvely, of our total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93" w:name="page94"/>
    <w:bookmarkEnd w:id="93"/>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92</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alibri" w:cs="Calibri" w:eastAsia="Calibri" w:hAnsi="Calibri"/>
          <w:sz w:val="17"/>
          <w:szCs w:val="17"/>
          <w:color w:val="auto"/>
        </w:rPr>
        <w:t>equity with a weighted average maturity of 12 days and 15 days, respectvely, on repurchase agreements, net (see Note 14 - Related Party Transactons).</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 additon, at December 31, 2023, we had 4 repurchase agreement counterpartes that individually accounted for over 5% of our aggregate borrowings. In total, these counterpartes accounted for approximately 27.2% of our repurchase agreement borrowings outstanding at December 31, 2023. At December 31, 2022, we had 3 repurchase agreement counterpartes that individually accounted for over 5% of our aggregate borrowings. In total, these counterpartes accounted for 28.1% of our repurchase agreement borrowings at December 31, 2022.</w:t>
      </w:r>
    </w:p>
    <w:p>
      <w:pPr>
        <w:spacing w:after="0" w:line="16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Note 7 - Derivatves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enter into derivatve transactons to manage our interest rate risk and agency mortgage rate exposures. We have agreements with our derivatve counterpartes that provide for the postng of collateral based on the fair values of our derivatves. Through this margin process, either we or our counterpartes may be required to pledge cash or securites as collateral. Collateral requirements vary by counterparty and change over tme based on the fair value, notonal amount and remaining term of the contracts. Certain contracts provide for cross collateralizaton and cross default with repurchase agreements and other contracts with the same counterparty.</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Interest rate swap contracts are designed to lock in long-term average funding costs for repurchase agreements associated with our assets in an atempt to maximize earnings from our assets. Such transactons are based on assumptons about prepayments which, if not realized, will cause transacton results to difer from expectatons. Interest rate swaptons generally provide us the opton to enter into an interest rate swap agreement at a certain point of tme in the future with a predetermined notonal amount, stated term and stated rate of interest in the fxed leg and interest rate index on the foatng leg. Basis swap contracts allow us to exchange one foatng interest rate basis for another, thereby allowing us to diversify our foatng rate basis exposures.</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All of our interest rate contracts have foatng leg interest rate indexes of either the Federal Funds Rate or SOFR. The Federal Funds Rate is published daily by the New York Federal Reserve and is a measure of unsecured borrowings by depository insttutons from other depository insttutons or GSEs. SOFR is published daily by the New York Federal Reserve and is the average overnight rate for borrowings secured by U.S. Treasury securites. We enter into interest rate swap contracts either directly with a counterparty (a “bilateral” contract) or through a centrally-cleared swap contract. In a bilateral contract, we exchange margin collateral with the counterparty and have exposure to counterparty risk. In a centrally-cleared contract, we exchange margin collateral with a Futures Clearing Merchant, with whom we have opened an account. Our counterparty risk is limited to the clearing exchange itself. All of our centrally-cleared swaps are cleared by the CME. In general, centrally-cleared interest rate swap contracts require us to post higher inital margin than bilateral contracts.</w:t>
      </w:r>
    </w:p>
    <w:p>
      <w:pPr>
        <w:spacing w:after="0" w:line="171"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Futures contracts are traded on the CME which requires the use of daily mark-to-market collateral and the CME provides substantal credit support. The collateral requirements of the CME require us to pledge assets under a bi-lateral margin arrangement, including either cash or Agency Securites and these requirements may vary and change over tme based on the market value, notonal amount and remaining term of the futures contracts. In the event we are unable to meet a margin call under one of our futures contracts, the counterparty to such agreement may have the opton to terminate or close-out all of the outstanding futures contracts with us. In additon, any close-out amount due to the counterparty upon terminaton of the counterparty’s transactons would be immediately payable by us pursuant to the applicable agreement.</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TBA Agency Securites are forward contracts for the purchase (“long positon”) or sale (“short positon”) of Agency Securites at a predetermined price, face amount, issuer, coupon and stated maturity on an agreed-upon future date. The specifc Agency Securites delivered into the contract upon the setlement date, published each month by the Securites Industry and Financial Markets Associaton, are not known at the tme of the transacton.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1163955</wp:posOffset>
            </wp:positionV>
            <wp:extent cx="716407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440055</wp:posOffset>
            </wp:positionV>
            <wp:extent cx="458470" cy="5073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94" w:name="page95"/>
    <w:bookmarkEnd w:id="94"/>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93</w:t>
      </w:r>
    </w:p>
    <w:p>
      <w:pPr>
        <w:spacing w:after="0" w:line="200" w:lineRule="exact"/>
        <w:rPr>
          <w:sz w:val="20"/>
          <w:szCs w:val="20"/>
          <w:color w:val="auto"/>
        </w:rPr>
      </w:pPr>
    </w:p>
    <w:p>
      <w:pPr>
        <w:spacing w:after="0" w:line="318"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We may enter into TBA Agency Securites as a means of hedging against short-term changes in interest rates. We may also enter into TBA Agency Securites as a means of acquiring or disposing of Agency Securites and we may from tme to tme utlize TBA dollar roll transactons to fnance Agency Security purchases. We estmate the fair value of TBA Agency Securites based on similar methods used to value our Agency Securites.</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have netng arrangements in place with all derivatve counterpartes pursuant to standard documentaton developed by ISDA. We are also required to post or hold cash collateral based upon the net underlying market value of our open positons with the counterparty. A decline in the value of the open positons with the counterparty could result in the counterpartes demanding additonal collateral pledges or liquidaton of some of the existng collateral to reduce borrowing levels. We manage this risk by maintaining an adequate balance of available cash and unpledged securites. An event of default or terminaton event under the standard ISDA would give our counterparty the opton to terminate all repurchase transactons existng with us and require any amount due to be payable immediately. In additon, certain of our ISDAs contain a restricton that prohibits our leverage from exceeding twelve tmes our stockholders’ equity as well as terminaton events in the case of signifcant reductons in equity capital.</w:t>
      </w:r>
    </w:p>
    <w:p>
      <w:pPr>
        <w:spacing w:after="0" w:line="171"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following tables present informaton about the potental efects of netng our derivatves if we were to ofset the assets and liabilites on the accompanying consolidated balance sheets. We currently present these fnancial instruments at their gross amounts and they are included in Derivatves, at fair value on the accompanying consolidated balance sheets at December 31, 2023 and December 31,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20" w:type="dxa"/>
            <w:vAlign w:val="bottom"/>
            <w:shd w:val="clear" w:color="auto" w:fill="E6EEFF"/>
          </w:tcPr>
          <w:p>
            <w:pPr>
              <w:spacing w:after="0"/>
              <w:rPr>
                <w:sz w:val="19"/>
                <w:szCs w:val="19"/>
                <w:color w:val="auto"/>
              </w:rPr>
            </w:pPr>
          </w:p>
        </w:tc>
        <w:tc>
          <w:tcPr>
            <w:tcW w:w="2940" w:type="dxa"/>
            <w:vAlign w:val="bottom"/>
            <w:shd w:val="clear" w:color="auto" w:fill="E6EEFF"/>
          </w:tcPr>
          <w:p>
            <w:pPr>
              <w:spacing w:after="0"/>
              <w:rPr>
                <w:sz w:val="19"/>
                <w:szCs w:val="19"/>
                <w:color w:val="auto"/>
              </w:rPr>
            </w:pPr>
          </w:p>
        </w:tc>
        <w:tc>
          <w:tcPr>
            <w:tcW w:w="2920" w:type="dxa"/>
            <w:vAlign w:val="bottom"/>
            <w:tcBorders>
              <w:bottom w:val="single" w:sz="8" w:color="auto"/>
            </w:tcBorders>
            <w:gridSpan w:val="2"/>
            <w:shd w:val="clear" w:color="auto" w:fill="E6EEFF"/>
          </w:tcPr>
          <w:p>
            <w:pPr>
              <w:ind w:left="560"/>
              <w:spacing w:after="0"/>
              <w:rPr>
                <w:sz w:val="20"/>
                <w:szCs w:val="20"/>
                <w:color w:val="auto"/>
              </w:rPr>
            </w:pPr>
            <w:r>
              <w:rPr>
                <w:rFonts w:ascii="Calibri" w:cs="Calibri" w:eastAsia="Calibri" w:hAnsi="Calibri"/>
                <w:sz w:val="17"/>
                <w:szCs w:val="17"/>
                <w:b w:val="1"/>
                <w:bCs w:val="1"/>
                <w:color w:val="1C4787"/>
              </w:rPr>
              <w:t>Gross Amounts Not Ofset</w:t>
            </w:r>
          </w:p>
        </w:tc>
        <w:tc>
          <w:tcPr>
            <w:tcW w:w="1460" w:type="dxa"/>
            <w:vAlign w:val="bottom"/>
            <w:shd w:val="clear" w:color="auto" w:fill="E6EEFF"/>
          </w:tcPr>
          <w:p>
            <w:pPr>
              <w:spacing w:after="0"/>
              <w:rPr>
                <w:sz w:val="19"/>
                <w:szCs w:val="19"/>
                <w:color w:val="auto"/>
              </w:rPr>
            </w:pPr>
          </w:p>
        </w:tc>
      </w:tr>
      <w:tr>
        <w:trPr>
          <w:trHeight w:val="165"/>
        </w:trPr>
        <w:tc>
          <w:tcPr>
            <w:tcW w:w="3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40" w:type="dxa"/>
            <w:vAlign w:val="bottom"/>
          </w:tcPr>
          <w:p>
            <w:pPr>
              <w:jc w:val="center"/>
              <w:spacing w:after="0" w:line="166" w:lineRule="exact"/>
              <w:rPr>
                <w:sz w:val="20"/>
                <w:szCs w:val="20"/>
                <w:color w:val="auto"/>
              </w:rPr>
            </w:pPr>
            <w:r>
              <w:rPr>
                <w:rFonts w:ascii="Calibri" w:cs="Calibri" w:eastAsia="Calibri" w:hAnsi="Calibri"/>
                <w:sz w:val="17"/>
                <w:szCs w:val="17"/>
                <w:b w:val="1"/>
                <w:bCs w:val="1"/>
                <w:color w:val="1C4787"/>
                <w:w w:val="99"/>
              </w:rPr>
              <w:t>Financial</w:t>
            </w: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63"/>
        </w:trPr>
        <w:tc>
          <w:tcPr>
            <w:tcW w:w="3920" w:type="dxa"/>
            <w:vAlign w:val="bottom"/>
          </w:tcPr>
          <w:p>
            <w:pPr>
              <w:ind w:left="2180"/>
              <w:spacing w:after="0" w:line="205" w:lineRule="exact"/>
              <w:rPr>
                <w:sz w:val="20"/>
                <w:szCs w:val="20"/>
                <w:color w:val="auto"/>
              </w:rPr>
            </w:pPr>
            <w:r>
              <w:rPr>
                <w:rFonts w:ascii="Calibri" w:cs="Calibri" w:eastAsia="Calibri" w:hAnsi="Calibri"/>
                <w:sz w:val="17"/>
                <w:szCs w:val="17"/>
                <w:b w:val="1"/>
                <w:bCs w:val="1"/>
                <w:color w:val="1C4787"/>
              </w:rPr>
              <w:t>Assets</w:t>
            </w:r>
          </w:p>
        </w:tc>
        <w:tc>
          <w:tcPr>
            <w:tcW w:w="2940" w:type="dxa"/>
            <w:vAlign w:val="bottom"/>
          </w:tcPr>
          <w:p>
            <w:pPr>
              <w:ind w:left="1320"/>
              <w:spacing w:after="0" w:line="262" w:lineRule="exact"/>
              <w:rPr>
                <w:sz w:val="20"/>
                <w:szCs w:val="20"/>
                <w:color w:val="auto"/>
              </w:rPr>
            </w:pPr>
            <w:r>
              <w:rPr>
                <w:rFonts w:ascii="Calibri" w:cs="Calibri" w:eastAsia="Calibri" w:hAnsi="Calibri"/>
                <w:sz w:val="17"/>
                <w:szCs w:val="17"/>
                <w:b w:val="1"/>
                <w:bCs w:val="1"/>
                <w:color w:val="1C4787"/>
              </w:rPr>
              <w:t>Gross Amounts</w:t>
            </w:r>
            <w:r>
              <w:rPr>
                <w:rFonts w:ascii="Calibri" w:cs="Calibri" w:eastAsia="Calibri" w:hAnsi="Calibri"/>
                <w:sz w:val="22"/>
                <w:szCs w:val="22"/>
                <w:b w:val="1"/>
                <w:bCs w:val="1"/>
                <w:color w:val="1C4787"/>
                <w:vertAlign w:val="superscript"/>
              </w:rPr>
              <w:t>(1)</w:t>
            </w:r>
          </w:p>
        </w:tc>
        <w:tc>
          <w:tcPr>
            <w:tcW w:w="144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1C4787"/>
                <w:w w:val="97"/>
              </w:rPr>
              <w:t>Instruments</w:t>
            </w:r>
          </w:p>
        </w:tc>
        <w:tc>
          <w:tcPr>
            <w:tcW w:w="1480" w:type="dxa"/>
            <w:vAlign w:val="bottom"/>
          </w:tcPr>
          <w:p>
            <w:pPr>
              <w:ind w:left="280"/>
              <w:spacing w:after="0" w:line="205" w:lineRule="exact"/>
              <w:rPr>
                <w:sz w:val="20"/>
                <w:szCs w:val="20"/>
                <w:color w:val="auto"/>
              </w:rPr>
            </w:pPr>
            <w:r>
              <w:rPr>
                <w:rFonts w:ascii="Calibri" w:cs="Calibri" w:eastAsia="Calibri" w:hAnsi="Calibri"/>
                <w:sz w:val="17"/>
                <w:szCs w:val="17"/>
                <w:b w:val="1"/>
                <w:bCs w:val="1"/>
                <w:color w:val="1C4787"/>
              </w:rPr>
              <w:t>Cash Collateral</w:t>
            </w:r>
          </w:p>
        </w:tc>
        <w:tc>
          <w:tcPr>
            <w:tcW w:w="1460" w:type="dxa"/>
            <w:vAlign w:val="bottom"/>
          </w:tcPr>
          <w:p>
            <w:pPr>
              <w:ind w:left="480"/>
              <w:spacing w:after="0" w:line="205" w:lineRule="exact"/>
              <w:rPr>
                <w:sz w:val="20"/>
                <w:szCs w:val="20"/>
                <w:color w:val="auto"/>
              </w:rPr>
            </w:pPr>
            <w:r>
              <w:rPr>
                <w:rFonts w:ascii="Calibri" w:cs="Calibri" w:eastAsia="Calibri" w:hAnsi="Calibri"/>
                <w:sz w:val="17"/>
                <w:szCs w:val="17"/>
                <w:b w:val="1"/>
                <w:bCs w:val="1"/>
                <w:color w:val="1C4787"/>
              </w:rPr>
              <w:t>Total Net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47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ind w:left="20"/>
        <w:spacing w:after="0" w:line="201" w:lineRule="auto"/>
        <w:rPr>
          <w:sz w:val="20"/>
          <w:szCs w:val="20"/>
          <w:color w:val="auto"/>
        </w:rPr>
      </w:pPr>
      <w:r>
        <w:rPr>
          <w:rFonts w:ascii="Calibri" w:cs="Calibri" w:eastAsia="Calibri" w:hAnsi="Calibri"/>
          <w:sz w:val="17"/>
          <w:szCs w:val="17"/>
          <w:b w:val="1"/>
          <w:bCs w:val="1"/>
          <w:color w:val="1C4787"/>
        </w:rPr>
        <w:t>December 31, 2023</w:t>
      </w:r>
    </w:p>
    <w:p>
      <w:pPr>
        <w:sectPr>
          <w:pgSz w:w="11900" w:h="16838" w:orient="portrait"/>
          <w:cols w:equalWidth="0" w:num="1">
            <w:col w:w="11240"/>
          </w:cols>
          <w:pgMar w:left="320" w:top="740" w:right="339" w:bottom="1440" w:gutter="0" w:footer="0" w:header="0"/>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80" w:type="dxa"/>
            <w:vAlign w:val="bottom"/>
            <w:tcBorders>
              <w:top w:val="single" w:sz="8" w:color="auto"/>
            </w:tcBorders>
          </w:tcPr>
          <w:p>
            <w:pPr>
              <w:ind w:left="20"/>
              <w:spacing w:after="0" w:line="224" w:lineRule="exact"/>
              <w:rPr>
                <w:sz w:val="20"/>
                <w:szCs w:val="20"/>
                <w:color w:val="auto"/>
              </w:rPr>
            </w:pPr>
            <w:r>
              <w:rPr>
                <w:rFonts w:ascii="Calibri" w:cs="Calibri" w:eastAsia="Calibri" w:hAnsi="Calibri"/>
                <w:sz w:val="17"/>
                <w:szCs w:val="17"/>
                <w:color w:val="auto"/>
              </w:rPr>
              <w:t xml:space="preserve">Interest rate swap contracts </w:t>
            </w:r>
            <w:r>
              <w:rPr>
                <w:rFonts w:ascii="Calibri" w:cs="Calibri" w:eastAsia="Calibri" w:hAnsi="Calibri"/>
                <w:sz w:val="22"/>
                <w:szCs w:val="22"/>
                <w:color w:val="auto"/>
                <w:vertAlign w:val="superscript"/>
              </w:rPr>
              <w:t>(2)</w:t>
            </w:r>
          </w:p>
        </w:tc>
        <w:tc>
          <w:tcPr>
            <w:tcW w:w="220" w:type="dxa"/>
            <w:vAlign w:val="bottom"/>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05"/>
        </w:trPr>
        <w:tc>
          <w:tcPr>
            <w:tcW w:w="4780" w:type="dxa"/>
            <w:vAlign w:val="bottom"/>
          </w:tcPr>
          <w:p>
            <w:pPr>
              <w:ind w:left="20"/>
              <w:spacing w:after="0" w:line="205" w:lineRule="exact"/>
              <w:rPr>
                <w:sz w:val="20"/>
                <w:szCs w:val="20"/>
                <w:color w:val="auto"/>
              </w:rPr>
            </w:pPr>
            <w:r>
              <w:rPr>
                <w:rFonts w:ascii="Calibri" w:cs="Calibri" w:eastAsia="Calibri" w:hAnsi="Calibri"/>
                <w:sz w:val="17"/>
                <w:szCs w:val="17"/>
                <w:color w:val="auto"/>
              </w:rPr>
              <w:t>TBA Agency Securites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780" w:type="dxa"/>
            <w:vAlign w:val="bottom"/>
          </w:tcPr>
          <w:p>
            <w:pPr>
              <w:ind w:left="20"/>
              <w:spacing w:after="0"/>
              <w:rPr>
                <w:sz w:val="20"/>
                <w:szCs w:val="20"/>
                <w:color w:val="auto"/>
              </w:rPr>
            </w:pPr>
            <w:r>
              <w:rPr>
                <w:rFonts w:ascii="Calibri" w:cs="Calibri" w:eastAsia="Calibri" w:hAnsi="Calibri"/>
                <w:sz w:val="17"/>
                <w:szCs w:val="17"/>
                <w:b w:val="1"/>
                <w:bCs w:val="1"/>
                <w:color w:val="1C4787"/>
              </w:rPr>
              <w:t>Totals</w:t>
            </w:r>
          </w:p>
        </w:tc>
        <w:tc>
          <w:tcPr>
            <w:tcW w:w="220" w:type="dxa"/>
            <w:vAlign w:val="bottom"/>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361"/>
        </w:trPr>
        <w:tc>
          <w:tcPr>
            <w:tcW w:w="4780" w:type="dxa"/>
            <w:vAlign w:val="bottom"/>
          </w:tcPr>
          <w:p>
            <w:pPr>
              <w:ind w:left="20"/>
              <w:spacing w:after="0"/>
              <w:rPr>
                <w:sz w:val="20"/>
                <w:szCs w:val="20"/>
                <w:color w:val="auto"/>
              </w:rPr>
            </w:pPr>
            <w:r>
              <w:rPr>
                <w:rFonts w:ascii="Calibri" w:cs="Calibri" w:eastAsia="Calibri" w:hAnsi="Calibri"/>
                <w:sz w:val="17"/>
                <w:szCs w:val="17"/>
                <w:b w:val="1"/>
                <w:bCs w:val="1"/>
                <w:color w:val="1C4787"/>
              </w:rPr>
              <w:t>December 31, 2022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7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198"/>
        </w:trPr>
        <w:tc>
          <w:tcPr>
            <w:tcW w:w="4780" w:type="dxa"/>
            <w:vAlign w:val="bottom"/>
          </w:tcPr>
          <w:p>
            <w:pPr>
              <w:ind w:left="20"/>
              <w:spacing w:after="0" w:line="198" w:lineRule="exact"/>
              <w:rPr>
                <w:sz w:val="20"/>
                <w:szCs w:val="20"/>
                <w:color w:val="auto"/>
              </w:rPr>
            </w:pPr>
            <w:r>
              <w:rPr>
                <w:rFonts w:ascii="Calibri" w:cs="Calibri" w:eastAsia="Calibri" w:hAnsi="Calibri"/>
                <w:sz w:val="17"/>
                <w:szCs w:val="17"/>
                <w:color w:val="auto"/>
              </w:rPr>
              <w:t>Interest rate swap contracts</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80" w:type="dxa"/>
            <w:vAlign w:val="bottom"/>
          </w:tcPr>
          <w:p>
            <w:pPr>
              <w:ind w:left="20"/>
              <w:spacing w:after="0"/>
              <w:rPr>
                <w:sz w:val="20"/>
                <w:szCs w:val="20"/>
                <w:color w:val="auto"/>
              </w:rPr>
            </w:pPr>
            <w:r>
              <w:rPr>
                <w:rFonts w:ascii="Calibri" w:cs="Calibri" w:eastAsia="Calibri" w:hAnsi="Calibri"/>
                <w:sz w:val="17"/>
                <w:szCs w:val="17"/>
                <w:color w:val="auto"/>
              </w:rPr>
              <w:t>Futures contracts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tcPr>
          <w:p>
            <w:pPr>
              <w:ind w:left="20"/>
              <w:spacing w:after="0"/>
              <w:rPr>
                <w:sz w:val="20"/>
                <w:szCs w:val="20"/>
                <w:color w:val="auto"/>
              </w:rPr>
            </w:pPr>
            <w:r>
              <w:rPr>
                <w:rFonts w:ascii="Calibri" w:cs="Calibri" w:eastAsia="Calibri" w:hAnsi="Calibri"/>
                <w:sz w:val="17"/>
                <w:szCs w:val="17"/>
                <w:color w:val="auto"/>
              </w:rPr>
              <w:t>TBA Agency Securites</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780" w:type="dxa"/>
            <w:vAlign w:val="bottom"/>
          </w:tcPr>
          <w:p>
            <w:pPr>
              <w:ind w:left="20"/>
              <w:spacing w:after="0"/>
              <w:rPr>
                <w:sz w:val="20"/>
                <w:szCs w:val="20"/>
                <w:color w:val="auto"/>
              </w:rPr>
            </w:pPr>
            <w:r>
              <w:rPr>
                <w:rFonts w:ascii="Calibri" w:cs="Calibri" w:eastAsia="Calibri" w:hAnsi="Calibri"/>
                <w:sz w:val="17"/>
                <w:szCs w:val="17"/>
                <w:b w:val="1"/>
                <w:bCs w:val="1"/>
                <w:color w:val="1C4787"/>
              </w:rPr>
              <w:t>Totals</w:t>
            </w:r>
          </w:p>
        </w:tc>
        <w:tc>
          <w:tcPr>
            <w:tcW w:w="220" w:type="dxa"/>
            <w:vAlign w:val="bottom"/>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-1106805</wp:posOffset>
            </wp:positionV>
            <wp:extent cx="7138670" cy="1390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-574675</wp:posOffset>
            </wp:positionV>
            <wp:extent cx="7138670" cy="1473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-288290</wp:posOffset>
            </wp:positionV>
            <wp:extent cx="7138670" cy="1390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-803910</wp:posOffset>
            </wp:positionV>
            <wp:extent cx="7138670" cy="901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8670" cy="90170"/>
                    </a:xfrm>
                    <a:prstGeom prst="rect">
                      <a:avLst/>
                    </a:prstGeom>
                    <a:noFill/>
                  </pic:spPr>
                </pic:pic>
              </a:graphicData>
            </a:graphic>
          </wp:anchor>
        </w:drawing>
      </w:r>
    </w:p>
    <w:p>
      <w:pPr>
        <w:spacing w:after="0" w:line="149" w:lineRule="exact"/>
        <w:rPr>
          <w:sz w:val="20"/>
          <w:szCs w:val="20"/>
          <w:color w:val="auto"/>
        </w:rPr>
      </w:pPr>
    </w:p>
    <w:p>
      <w:pPr>
        <w:ind w:left="300" w:hanging="297"/>
        <w:spacing w:after="0"/>
        <w:tabs>
          <w:tab w:leader="none" w:pos="300" w:val="left"/>
        </w:tabs>
        <w:numPr>
          <w:ilvl w:val="0"/>
          <w:numId w:val="35"/>
        </w:numPr>
        <w:rPr>
          <w:rFonts w:ascii="Calibri" w:cs="Calibri" w:eastAsia="Calibri" w:hAnsi="Calibri"/>
          <w:sz w:val="16"/>
          <w:szCs w:val="16"/>
          <w:color w:val="auto"/>
        </w:rPr>
      </w:pPr>
      <w:r>
        <w:rPr>
          <w:rFonts w:ascii="Calibri" w:cs="Calibri" w:eastAsia="Calibri" w:hAnsi="Calibri"/>
          <w:sz w:val="16"/>
          <w:szCs w:val="16"/>
          <w:color w:val="auto"/>
        </w:rPr>
        <w:t>See Note 4 - Fair Value of Financial Instruments for additonal discussion.</w:t>
      </w:r>
    </w:p>
    <w:p>
      <w:pPr>
        <w:spacing w:after="0" w:line="72" w:lineRule="exact"/>
        <w:rPr>
          <w:rFonts w:ascii="Calibri" w:cs="Calibri" w:eastAsia="Calibri" w:hAnsi="Calibri"/>
          <w:sz w:val="16"/>
          <w:szCs w:val="16"/>
          <w:color w:val="auto"/>
        </w:rPr>
      </w:pPr>
    </w:p>
    <w:p>
      <w:pPr>
        <w:ind w:left="300" w:hanging="297"/>
        <w:spacing w:after="0"/>
        <w:tabs>
          <w:tab w:leader="none" w:pos="300" w:val="left"/>
        </w:tabs>
        <w:numPr>
          <w:ilvl w:val="0"/>
          <w:numId w:val="35"/>
        </w:numPr>
        <w:rPr>
          <w:rFonts w:ascii="Calibri" w:cs="Calibri" w:eastAsia="Calibri" w:hAnsi="Calibri"/>
          <w:sz w:val="17"/>
          <w:szCs w:val="17"/>
          <w:color w:val="auto"/>
        </w:rPr>
      </w:pPr>
      <w:r>
        <w:rPr>
          <w:rFonts w:ascii="Calibri" w:cs="Calibri" w:eastAsia="Calibri" w:hAnsi="Calibri"/>
          <w:sz w:val="17"/>
          <w:szCs w:val="17"/>
          <w:color w:val="auto"/>
        </w:rPr>
        <w:t>Includes $6,104 of centrally-cleared interest rate swap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1163955</wp:posOffset>
            </wp:positionV>
            <wp:extent cx="716407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720" w:type="dxa"/>
            <w:vAlign w:val="bottom"/>
          </w:tcPr>
          <w:p>
            <w:pPr>
              <w:jc w:val="right"/>
              <w:ind w:right="94"/>
              <w:spacing w:after="0"/>
              <w:rPr>
                <w:sz w:val="20"/>
                <w:szCs w:val="20"/>
                <w:color w:val="auto"/>
              </w:rPr>
            </w:pPr>
            <w:r>
              <w:rPr>
                <w:rFonts w:ascii="Calibri" w:cs="Calibri" w:eastAsia="Calibri" w:hAnsi="Calibri"/>
                <w:sz w:val="17"/>
                <w:szCs w:val="17"/>
                <w:color w:val="auto"/>
                <w:w w:val="92"/>
              </w:rPr>
              <w:t>875,596</w:t>
            </w:r>
          </w:p>
        </w:tc>
        <w:tc>
          <w:tcPr>
            <w:tcW w:w="480" w:type="dxa"/>
            <w:vAlign w:val="bottom"/>
          </w:tcPr>
          <w:p>
            <w:pPr>
              <w:jc w:val="right"/>
              <w:ind w:right="294"/>
              <w:spacing w:after="0"/>
              <w:rPr>
                <w:sz w:val="20"/>
                <w:szCs w:val="20"/>
                <w:color w:val="auto"/>
              </w:rPr>
            </w:pPr>
            <w:r>
              <w:rPr>
                <w:rFonts w:ascii="Calibri" w:cs="Calibri" w:eastAsia="Calibri" w:hAnsi="Calibri"/>
                <w:sz w:val="17"/>
                <w:szCs w:val="17"/>
                <w:color w:val="auto"/>
                <w:w w:val="92"/>
              </w:rPr>
              <w:t>$</w:t>
            </w:r>
          </w:p>
        </w:tc>
        <w:tc>
          <w:tcPr>
            <w:tcW w:w="960" w:type="dxa"/>
            <w:vAlign w:val="bottom"/>
          </w:tcPr>
          <w:p>
            <w:pPr>
              <w:jc w:val="right"/>
              <w:spacing w:after="0"/>
              <w:rPr>
                <w:sz w:val="20"/>
                <w:szCs w:val="20"/>
                <w:color w:val="auto"/>
              </w:rPr>
            </w:pPr>
            <w:r>
              <w:rPr>
                <w:rFonts w:ascii="Calibri" w:cs="Calibri" w:eastAsia="Calibri" w:hAnsi="Calibri"/>
                <w:sz w:val="17"/>
                <w:szCs w:val="17"/>
                <w:color w:val="auto"/>
              </w:rPr>
              <w:t>(5,036)</w:t>
            </w:r>
          </w:p>
        </w:tc>
        <w:tc>
          <w:tcPr>
            <w:tcW w:w="1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Calibri" w:cs="Calibri" w:eastAsia="Calibri" w:hAnsi="Calibri"/>
                <w:sz w:val="17"/>
                <w:szCs w:val="17"/>
                <w:color w:val="auto"/>
                <w:w w:val="92"/>
              </w:rPr>
              <w:t>$</w:t>
            </w:r>
          </w:p>
        </w:tc>
        <w:tc>
          <w:tcPr>
            <w:tcW w:w="960" w:type="dxa"/>
            <w:vAlign w:val="bottom"/>
          </w:tcPr>
          <w:p>
            <w:pPr>
              <w:jc w:val="right"/>
              <w:spacing w:after="0"/>
              <w:rPr>
                <w:sz w:val="20"/>
                <w:szCs w:val="20"/>
                <w:color w:val="auto"/>
              </w:rPr>
            </w:pPr>
            <w:r>
              <w:rPr>
                <w:rFonts w:ascii="Calibri" w:cs="Calibri" w:eastAsia="Calibri" w:hAnsi="Calibri"/>
                <w:sz w:val="17"/>
                <w:szCs w:val="17"/>
                <w:color w:val="auto"/>
              </w:rPr>
              <w:t>(821,089)</w:t>
            </w:r>
          </w:p>
        </w:tc>
        <w:tc>
          <w:tcPr>
            <w:tcW w:w="120" w:type="dxa"/>
            <w:vAlign w:val="bottom"/>
          </w:tcPr>
          <w:p>
            <w:pPr>
              <w:spacing w:after="0"/>
              <w:rPr>
                <w:sz w:val="18"/>
                <w:szCs w:val="18"/>
                <w:color w:val="auto"/>
              </w:rPr>
            </w:pPr>
          </w:p>
        </w:tc>
        <w:tc>
          <w:tcPr>
            <w:tcW w:w="460" w:type="dxa"/>
            <w:vAlign w:val="bottom"/>
          </w:tcPr>
          <w:p>
            <w:pPr>
              <w:jc w:val="right"/>
              <w:ind w:right="274"/>
              <w:spacing w:after="0"/>
              <w:rPr>
                <w:sz w:val="20"/>
                <w:szCs w:val="20"/>
                <w:color w:val="auto"/>
              </w:rPr>
            </w:pPr>
            <w:r>
              <w:rPr>
                <w:rFonts w:ascii="Calibri" w:cs="Calibri" w:eastAsia="Calibri" w:hAnsi="Calibri"/>
                <w:sz w:val="17"/>
                <w:szCs w:val="17"/>
                <w:color w:val="auto"/>
                <w:w w:val="92"/>
              </w:rPr>
              <w:t>$</w:t>
            </w:r>
          </w:p>
        </w:tc>
        <w:tc>
          <w:tcPr>
            <w:tcW w:w="880" w:type="dxa"/>
            <w:vAlign w:val="bottom"/>
          </w:tcPr>
          <w:p>
            <w:pPr>
              <w:jc w:val="right"/>
              <w:spacing w:after="0"/>
              <w:rPr>
                <w:sz w:val="20"/>
                <w:szCs w:val="20"/>
                <w:color w:val="auto"/>
              </w:rPr>
            </w:pPr>
            <w:r>
              <w:rPr>
                <w:rFonts w:ascii="Calibri" w:cs="Calibri" w:eastAsia="Calibri" w:hAnsi="Calibri"/>
                <w:sz w:val="17"/>
                <w:szCs w:val="17"/>
                <w:color w:val="auto"/>
              </w:rPr>
              <w:t>49,471</w:t>
            </w:r>
          </w:p>
        </w:tc>
        <w:tc>
          <w:tcPr>
            <w:tcW w:w="0" w:type="dxa"/>
            <w:vAlign w:val="bottom"/>
          </w:tcPr>
          <w:p>
            <w:pPr>
              <w:spacing w:after="0"/>
              <w:rPr>
                <w:sz w:val="1"/>
                <w:szCs w:val="1"/>
                <w:color w:val="auto"/>
              </w:rPr>
            </w:pPr>
          </w:p>
        </w:tc>
      </w:tr>
      <w:tr>
        <w:trPr>
          <w:trHeight w:val="219"/>
        </w:trPr>
        <w:tc>
          <w:tcPr>
            <w:tcW w:w="720" w:type="dxa"/>
            <w:vAlign w:val="bottom"/>
          </w:tcPr>
          <w:p>
            <w:pPr>
              <w:jc w:val="right"/>
              <w:ind w:right="94"/>
              <w:spacing w:after="0"/>
              <w:rPr>
                <w:sz w:val="20"/>
                <w:szCs w:val="20"/>
                <w:color w:val="auto"/>
              </w:rPr>
            </w:pPr>
            <w:r>
              <w:rPr>
                <w:rFonts w:ascii="Calibri" w:cs="Calibri" w:eastAsia="Calibri" w:hAnsi="Calibri"/>
                <w:sz w:val="17"/>
                <w:szCs w:val="17"/>
                <w:color w:val="auto"/>
              </w:rPr>
              <w:t>1,816</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7"/>
                <w:szCs w:val="17"/>
                <w:color w:val="auto"/>
              </w:rPr>
              <w:t>(1,816)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Calibri" w:cs="Calibri" w:eastAsia="Calibri" w:hAnsi="Calibri"/>
                <w:sz w:val="17"/>
                <w:szCs w:val="17"/>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2"/>
        </w:trPr>
        <w:tc>
          <w:tcPr>
            <w:tcW w:w="720" w:type="dxa"/>
            <w:vAlign w:val="bottom"/>
            <w:vMerge w:val="restart"/>
          </w:tcPr>
          <w:p>
            <w:pPr>
              <w:jc w:val="right"/>
              <w:ind w:right="94"/>
              <w:spacing w:after="0"/>
              <w:rPr>
                <w:sz w:val="20"/>
                <w:szCs w:val="20"/>
                <w:color w:val="auto"/>
              </w:rPr>
            </w:pPr>
            <w:r>
              <w:rPr>
                <w:rFonts w:ascii="Calibri" w:cs="Calibri" w:eastAsia="Calibri" w:hAnsi="Calibri"/>
                <w:sz w:val="17"/>
                <w:szCs w:val="17"/>
                <w:color w:val="auto"/>
                <w:w w:val="92"/>
              </w:rPr>
              <w:t>877,412</w:t>
            </w: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72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294"/>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(6,852)</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4"/>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(821,089)</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4"/>
              <w:spacing w:after="0" w:line="205" w:lineRule="exact"/>
              <w:rPr>
                <w:sz w:val="20"/>
                <w:szCs w:val="20"/>
                <w:color w:val="auto"/>
              </w:rPr>
            </w:pPr>
            <w:r>
              <w:rPr>
                <w:rFonts w:ascii="Calibri" w:cs="Calibri" w:eastAsia="Calibri" w:hAnsi="Calibri"/>
                <w:sz w:val="17"/>
                <w:szCs w:val="17"/>
                <w:color w:val="auto"/>
                <w:w w:val="92"/>
              </w:rPr>
              <w:t>$</w:t>
            </w:r>
          </w:p>
        </w:tc>
        <w:tc>
          <w:tcPr>
            <w:tcW w:w="8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49,471</w:t>
            </w:r>
          </w:p>
        </w:tc>
        <w:tc>
          <w:tcPr>
            <w:tcW w:w="0" w:type="dxa"/>
            <w:vAlign w:val="bottom"/>
          </w:tcPr>
          <w:p>
            <w:pPr>
              <w:spacing w:after="0"/>
              <w:rPr>
                <w:sz w:val="1"/>
                <w:szCs w:val="1"/>
                <w:color w:val="auto"/>
              </w:rPr>
            </w:pPr>
          </w:p>
        </w:tc>
      </w:tr>
      <w:tr>
        <w:trPr>
          <w:trHeight w:val="26"/>
        </w:trPr>
        <w:tc>
          <w:tcPr>
            <w:tcW w:w="7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8"/>
        </w:trPr>
        <w:tc>
          <w:tcPr>
            <w:tcW w:w="720" w:type="dxa"/>
            <w:vAlign w:val="bottom"/>
          </w:tcPr>
          <w:p>
            <w:pPr>
              <w:jc w:val="right"/>
              <w:ind w:right="94"/>
              <w:spacing w:after="0"/>
              <w:rPr>
                <w:sz w:val="20"/>
                <w:szCs w:val="20"/>
                <w:color w:val="auto"/>
              </w:rPr>
            </w:pPr>
            <w:r>
              <w:rPr>
                <w:rFonts w:ascii="Calibri" w:cs="Calibri" w:eastAsia="Calibri" w:hAnsi="Calibri"/>
                <w:sz w:val="17"/>
                <w:szCs w:val="17"/>
                <w:color w:val="auto"/>
                <w:w w:val="92"/>
              </w:rPr>
              <w:t>983,659</w:t>
            </w:r>
          </w:p>
        </w:tc>
        <w:tc>
          <w:tcPr>
            <w:tcW w:w="480" w:type="dxa"/>
            <w:vAlign w:val="bottom"/>
          </w:tcPr>
          <w:p>
            <w:pPr>
              <w:jc w:val="right"/>
              <w:ind w:right="294"/>
              <w:spacing w:after="0"/>
              <w:rPr>
                <w:sz w:val="20"/>
                <w:szCs w:val="20"/>
                <w:color w:val="auto"/>
              </w:rPr>
            </w:pPr>
            <w:r>
              <w:rPr>
                <w:rFonts w:ascii="Calibri" w:cs="Calibri" w:eastAsia="Calibri" w:hAnsi="Calibri"/>
                <w:sz w:val="17"/>
                <w:szCs w:val="17"/>
                <w:color w:val="auto"/>
                <w:w w:val="92"/>
              </w:rPr>
              <w:t>$</w:t>
            </w:r>
          </w:p>
        </w:tc>
        <w:tc>
          <w:tcPr>
            <w:tcW w:w="1080" w:type="dxa"/>
            <w:vAlign w:val="bottom"/>
            <w:gridSpan w:val="2"/>
          </w:tcPr>
          <w:p>
            <w:pPr>
              <w:ind w:left="760"/>
              <w:spacing w:after="0"/>
              <w:rPr>
                <w:sz w:val="20"/>
                <w:szCs w:val="20"/>
                <w:color w:val="auto"/>
              </w:rPr>
            </w:pPr>
            <w:r>
              <w:rPr>
                <w:rFonts w:ascii="Calibri" w:cs="Calibri" w:eastAsia="Calibri" w:hAnsi="Calibri"/>
                <w:sz w:val="17"/>
                <w:szCs w:val="17"/>
                <w:color w:val="auto"/>
              </w:rPr>
              <w:t>—</w:t>
            </w:r>
          </w:p>
        </w:tc>
        <w:tc>
          <w:tcPr>
            <w:tcW w:w="400" w:type="dxa"/>
            <w:vAlign w:val="bottom"/>
          </w:tcPr>
          <w:p>
            <w:pPr>
              <w:jc w:val="right"/>
              <w:ind w:right="214"/>
              <w:spacing w:after="0"/>
              <w:rPr>
                <w:sz w:val="20"/>
                <w:szCs w:val="20"/>
                <w:color w:val="auto"/>
              </w:rPr>
            </w:pPr>
            <w:r>
              <w:rPr>
                <w:rFonts w:ascii="Calibri" w:cs="Calibri" w:eastAsia="Calibri" w:hAnsi="Calibri"/>
                <w:sz w:val="17"/>
                <w:szCs w:val="17"/>
                <w:color w:val="auto"/>
                <w:w w:val="92"/>
              </w:rPr>
              <w:t>$</w:t>
            </w:r>
          </w:p>
        </w:tc>
        <w:tc>
          <w:tcPr>
            <w:tcW w:w="960" w:type="dxa"/>
            <w:vAlign w:val="bottom"/>
          </w:tcPr>
          <w:p>
            <w:pPr>
              <w:jc w:val="right"/>
              <w:spacing w:after="0"/>
              <w:rPr>
                <w:sz w:val="20"/>
                <w:szCs w:val="20"/>
                <w:color w:val="auto"/>
              </w:rPr>
            </w:pPr>
            <w:r>
              <w:rPr>
                <w:rFonts w:ascii="Calibri" w:cs="Calibri" w:eastAsia="Calibri" w:hAnsi="Calibri"/>
                <w:sz w:val="17"/>
                <w:szCs w:val="17"/>
                <w:color w:val="auto"/>
              </w:rPr>
              <w:t>(955,941)</w:t>
            </w:r>
          </w:p>
        </w:tc>
        <w:tc>
          <w:tcPr>
            <w:tcW w:w="120" w:type="dxa"/>
            <w:vAlign w:val="bottom"/>
          </w:tcPr>
          <w:p>
            <w:pPr>
              <w:spacing w:after="0"/>
              <w:rPr>
                <w:sz w:val="24"/>
                <w:szCs w:val="24"/>
                <w:color w:val="auto"/>
              </w:rPr>
            </w:pPr>
          </w:p>
        </w:tc>
        <w:tc>
          <w:tcPr>
            <w:tcW w:w="460" w:type="dxa"/>
            <w:vAlign w:val="bottom"/>
          </w:tcPr>
          <w:p>
            <w:pPr>
              <w:jc w:val="right"/>
              <w:ind w:right="274"/>
              <w:spacing w:after="0"/>
              <w:rPr>
                <w:sz w:val="20"/>
                <w:szCs w:val="20"/>
                <w:color w:val="auto"/>
              </w:rPr>
            </w:pPr>
            <w:r>
              <w:rPr>
                <w:rFonts w:ascii="Calibri" w:cs="Calibri" w:eastAsia="Calibri" w:hAnsi="Calibri"/>
                <w:sz w:val="17"/>
                <w:szCs w:val="17"/>
                <w:color w:val="auto"/>
                <w:w w:val="92"/>
              </w:rPr>
              <w:t>$</w:t>
            </w:r>
          </w:p>
        </w:tc>
        <w:tc>
          <w:tcPr>
            <w:tcW w:w="880" w:type="dxa"/>
            <w:vAlign w:val="bottom"/>
          </w:tcPr>
          <w:p>
            <w:pPr>
              <w:jc w:val="right"/>
              <w:spacing w:after="0"/>
              <w:rPr>
                <w:sz w:val="20"/>
                <w:szCs w:val="20"/>
                <w:color w:val="auto"/>
              </w:rPr>
            </w:pPr>
            <w:r>
              <w:rPr>
                <w:rFonts w:ascii="Calibri" w:cs="Calibri" w:eastAsia="Calibri" w:hAnsi="Calibri"/>
                <w:sz w:val="17"/>
                <w:szCs w:val="17"/>
                <w:color w:val="auto"/>
              </w:rPr>
              <w:t>27,718</w:t>
            </w:r>
          </w:p>
        </w:tc>
        <w:tc>
          <w:tcPr>
            <w:tcW w:w="0" w:type="dxa"/>
            <w:vAlign w:val="bottom"/>
          </w:tcPr>
          <w:p>
            <w:pPr>
              <w:spacing w:after="0"/>
              <w:rPr>
                <w:sz w:val="1"/>
                <w:szCs w:val="1"/>
                <w:color w:val="auto"/>
              </w:rPr>
            </w:pPr>
          </w:p>
        </w:tc>
      </w:tr>
      <w:tr>
        <w:trPr>
          <w:trHeight w:val="219"/>
        </w:trPr>
        <w:tc>
          <w:tcPr>
            <w:tcW w:w="720" w:type="dxa"/>
            <w:vAlign w:val="bottom"/>
          </w:tcPr>
          <w:p>
            <w:pPr>
              <w:jc w:val="right"/>
              <w:ind w:right="94"/>
              <w:spacing w:after="0"/>
              <w:rPr>
                <w:sz w:val="20"/>
                <w:szCs w:val="20"/>
                <w:color w:val="auto"/>
              </w:rPr>
            </w:pPr>
            <w:r>
              <w:rPr>
                <w:rFonts w:ascii="Calibri" w:cs="Calibri" w:eastAsia="Calibri" w:hAnsi="Calibri"/>
                <w:sz w:val="17"/>
                <w:szCs w:val="17"/>
                <w:color w:val="auto"/>
              </w:rPr>
              <w:t>94</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7"/>
                <w:szCs w:val="17"/>
                <w:color w:val="auto"/>
              </w:rPr>
              <w:t>(516)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7"/>
                <w:szCs w:val="17"/>
                <w:color w:val="auto"/>
              </w:rPr>
              <w:t>9,334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Calibri" w:cs="Calibri" w:eastAsia="Calibri" w:hAnsi="Calibri"/>
                <w:sz w:val="17"/>
                <w:szCs w:val="17"/>
                <w:color w:val="auto"/>
              </w:rPr>
              <w:t>8,912</w:t>
            </w:r>
          </w:p>
        </w:tc>
        <w:tc>
          <w:tcPr>
            <w:tcW w:w="0" w:type="dxa"/>
            <w:vAlign w:val="bottom"/>
          </w:tcPr>
          <w:p>
            <w:pPr>
              <w:spacing w:after="0"/>
              <w:rPr>
                <w:sz w:val="1"/>
                <w:szCs w:val="1"/>
                <w:color w:val="auto"/>
              </w:rPr>
            </w:pPr>
          </w:p>
        </w:tc>
      </w:tr>
      <w:tr>
        <w:trPr>
          <w:trHeight w:val="219"/>
        </w:trPr>
        <w:tc>
          <w:tcPr>
            <w:tcW w:w="720" w:type="dxa"/>
            <w:vAlign w:val="bottom"/>
          </w:tcPr>
          <w:p>
            <w:pPr>
              <w:jc w:val="right"/>
              <w:ind w:right="94"/>
              <w:spacing w:after="0"/>
              <w:rPr>
                <w:sz w:val="20"/>
                <w:szCs w:val="20"/>
                <w:color w:val="auto"/>
              </w:rPr>
            </w:pPr>
            <w:r>
              <w:rPr>
                <w:rFonts w:ascii="Calibri" w:cs="Calibri" w:eastAsia="Calibri" w:hAnsi="Calibri"/>
                <w:sz w:val="17"/>
                <w:szCs w:val="17"/>
                <w:color w:val="auto"/>
              </w:rPr>
              <w:t>703</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7"/>
                <w:szCs w:val="17"/>
                <w:color w:val="auto"/>
              </w:rPr>
              <w:t>(12,500)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7"/>
                <w:szCs w:val="17"/>
                <w:color w:val="auto"/>
              </w:rPr>
              <w:t>13,633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Calibri" w:cs="Calibri" w:eastAsia="Calibri" w:hAnsi="Calibri"/>
                <w:sz w:val="17"/>
                <w:szCs w:val="17"/>
                <w:color w:val="auto"/>
              </w:rPr>
              <w:t>1,836</w:t>
            </w:r>
          </w:p>
        </w:tc>
        <w:tc>
          <w:tcPr>
            <w:tcW w:w="0" w:type="dxa"/>
            <w:vAlign w:val="bottom"/>
          </w:tcPr>
          <w:p>
            <w:pPr>
              <w:spacing w:after="0"/>
              <w:rPr>
                <w:sz w:val="1"/>
                <w:szCs w:val="1"/>
                <w:color w:val="auto"/>
              </w:rPr>
            </w:pPr>
          </w:p>
        </w:tc>
      </w:tr>
      <w:tr>
        <w:trPr>
          <w:trHeight w:val="22"/>
        </w:trPr>
        <w:tc>
          <w:tcPr>
            <w:tcW w:w="720" w:type="dxa"/>
            <w:vAlign w:val="bottom"/>
            <w:vMerge w:val="restart"/>
          </w:tcPr>
          <w:p>
            <w:pPr>
              <w:jc w:val="right"/>
              <w:ind w:right="94"/>
              <w:spacing w:after="0"/>
              <w:rPr>
                <w:sz w:val="20"/>
                <w:szCs w:val="20"/>
                <w:color w:val="auto"/>
              </w:rPr>
            </w:pPr>
            <w:r>
              <w:rPr>
                <w:rFonts w:ascii="Calibri" w:cs="Calibri" w:eastAsia="Calibri" w:hAnsi="Calibri"/>
                <w:sz w:val="17"/>
                <w:szCs w:val="17"/>
                <w:color w:val="auto"/>
                <w:w w:val="92"/>
              </w:rPr>
              <w:t>984,456</w:t>
            </w: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72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294"/>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(13,016)</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4"/>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(932,974)</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4"/>
              <w:spacing w:after="0" w:line="205" w:lineRule="exact"/>
              <w:rPr>
                <w:sz w:val="20"/>
                <w:szCs w:val="20"/>
                <w:color w:val="auto"/>
              </w:rPr>
            </w:pPr>
            <w:r>
              <w:rPr>
                <w:rFonts w:ascii="Calibri" w:cs="Calibri" w:eastAsia="Calibri" w:hAnsi="Calibri"/>
                <w:sz w:val="17"/>
                <w:szCs w:val="17"/>
                <w:color w:val="auto"/>
                <w:w w:val="92"/>
              </w:rPr>
              <w:t>$</w:t>
            </w:r>
          </w:p>
        </w:tc>
        <w:tc>
          <w:tcPr>
            <w:tcW w:w="8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38,466</w:t>
            </w:r>
          </w:p>
        </w:tc>
        <w:tc>
          <w:tcPr>
            <w:tcW w:w="0" w:type="dxa"/>
            <w:vAlign w:val="bottom"/>
          </w:tcPr>
          <w:p>
            <w:pPr>
              <w:spacing w:after="0"/>
              <w:rPr>
                <w:sz w:val="1"/>
                <w:szCs w:val="1"/>
                <w:color w:val="auto"/>
              </w:rPr>
            </w:pPr>
          </w:p>
        </w:tc>
      </w:tr>
      <w:tr>
        <w:trPr>
          <w:trHeight w:val="26"/>
        </w:trPr>
        <w:tc>
          <w:tcPr>
            <w:tcW w:w="7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-32385</wp:posOffset>
            </wp:positionV>
            <wp:extent cx="11709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-7620</wp:posOffset>
            </wp:positionV>
            <wp:extent cx="11709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-179705</wp:posOffset>
            </wp:positionV>
            <wp:extent cx="11709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-850900</wp:posOffset>
            </wp:positionV>
            <wp:extent cx="11709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-998220</wp:posOffset>
            </wp:positionV>
            <wp:extent cx="11709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818515</wp:posOffset>
            </wp:positionV>
            <wp:extent cx="458470" cy="5073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2">
            <w:col w:w="5420" w:space="720"/>
            <w:col w:w="5100"/>
          </w:cols>
          <w:pgMar w:left="320" w:top="740" w:right="339" w:bottom="1440" w:gutter="0" w:footer="0" w:header="0"/>
          <w:type w:val="continuous"/>
        </w:sectPr>
      </w:pPr>
    </w:p>
    <w:bookmarkStart w:id="95" w:name="page96"/>
    <w:bookmarkEnd w:id="95"/>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94</w:t>
      </w: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3920" w:type="dxa"/>
            <w:vAlign w:val="bottom"/>
            <w:shd w:val="clear" w:color="auto" w:fill="E6EEFF"/>
          </w:tcPr>
          <w:p>
            <w:pPr>
              <w:spacing w:after="0"/>
              <w:rPr>
                <w:sz w:val="19"/>
                <w:szCs w:val="19"/>
                <w:color w:val="auto"/>
              </w:rPr>
            </w:pPr>
          </w:p>
        </w:tc>
        <w:tc>
          <w:tcPr>
            <w:tcW w:w="2940" w:type="dxa"/>
            <w:vAlign w:val="bottom"/>
            <w:shd w:val="clear" w:color="auto" w:fill="E6EEFF"/>
          </w:tcPr>
          <w:p>
            <w:pPr>
              <w:spacing w:after="0"/>
              <w:rPr>
                <w:sz w:val="19"/>
                <w:szCs w:val="19"/>
                <w:color w:val="auto"/>
              </w:rPr>
            </w:pPr>
          </w:p>
        </w:tc>
        <w:tc>
          <w:tcPr>
            <w:tcW w:w="2880" w:type="dxa"/>
            <w:vAlign w:val="bottom"/>
            <w:tcBorders>
              <w:bottom w:val="single" w:sz="8" w:color="auto"/>
            </w:tcBorders>
            <w:gridSpan w:val="2"/>
            <w:shd w:val="clear" w:color="auto" w:fill="E6EEFF"/>
          </w:tcPr>
          <w:p>
            <w:pPr>
              <w:ind w:left="540"/>
              <w:spacing w:after="0"/>
              <w:rPr>
                <w:sz w:val="20"/>
                <w:szCs w:val="20"/>
                <w:color w:val="auto"/>
              </w:rPr>
            </w:pPr>
            <w:r>
              <w:rPr>
                <w:rFonts w:ascii="Calibri" w:cs="Calibri" w:eastAsia="Calibri" w:hAnsi="Calibri"/>
                <w:sz w:val="17"/>
                <w:szCs w:val="17"/>
                <w:b w:val="1"/>
                <w:bCs w:val="1"/>
                <w:color w:val="1C4787"/>
              </w:rPr>
              <w:t>Gross Amounts Not Ofset</w:t>
            </w:r>
          </w:p>
        </w:tc>
        <w:tc>
          <w:tcPr>
            <w:tcW w:w="1480" w:type="dxa"/>
            <w:vAlign w:val="bottom"/>
            <w:shd w:val="clear" w:color="auto" w:fill="E6EEFF"/>
          </w:tcPr>
          <w:p>
            <w:pPr>
              <w:spacing w:after="0"/>
              <w:rPr>
                <w:sz w:val="19"/>
                <w:szCs w:val="19"/>
                <w:color w:val="auto"/>
              </w:rPr>
            </w:pPr>
          </w:p>
        </w:tc>
      </w:tr>
      <w:tr>
        <w:trPr>
          <w:trHeight w:val="165"/>
        </w:trPr>
        <w:tc>
          <w:tcPr>
            <w:tcW w:w="3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0" w:type="dxa"/>
            <w:vAlign w:val="bottom"/>
          </w:tcPr>
          <w:p>
            <w:pPr>
              <w:jc w:val="center"/>
              <w:spacing w:after="0" w:line="166" w:lineRule="exact"/>
              <w:rPr>
                <w:sz w:val="20"/>
                <w:szCs w:val="20"/>
                <w:color w:val="auto"/>
              </w:rPr>
            </w:pPr>
            <w:r>
              <w:rPr>
                <w:rFonts w:ascii="Calibri" w:cs="Calibri" w:eastAsia="Calibri" w:hAnsi="Calibri"/>
                <w:sz w:val="17"/>
                <w:szCs w:val="17"/>
                <w:b w:val="1"/>
                <w:bCs w:val="1"/>
                <w:color w:val="1C4787"/>
                <w:w w:val="99"/>
              </w:rPr>
              <w:t>Financial</w:t>
            </w: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63"/>
        </w:trPr>
        <w:tc>
          <w:tcPr>
            <w:tcW w:w="3920" w:type="dxa"/>
            <w:vAlign w:val="bottom"/>
          </w:tcPr>
          <w:p>
            <w:pPr>
              <w:ind w:left="2000"/>
              <w:spacing w:after="0" w:line="205" w:lineRule="exact"/>
              <w:rPr>
                <w:sz w:val="20"/>
                <w:szCs w:val="20"/>
                <w:color w:val="auto"/>
              </w:rPr>
            </w:pPr>
            <w:r>
              <w:rPr>
                <w:rFonts w:ascii="Calibri" w:cs="Calibri" w:eastAsia="Calibri" w:hAnsi="Calibri"/>
                <w:sz w:val="17"/>
                <w:szCs w:val="17"/>
                <w:b w:val="1"/>
                <w:bCs w:val="1"/>
                <w:color w:val="1C4787"/>
              </w:rPr>
              <w:t>Liabilites</w:t>
            </w:r>
          </w:p>
        </w:tc>
        <w:tc>
          <w:tcPr>
            <w:tcW w:w="2940" w:type="dxa"/>
            <w:vAlign w:val="bottom"/>
          </w:tcPr>
          <w:p>
            <w:pPr>
              <w:ind w:left="1260"/>
              <w:spacing w:after="0" w:line="262" w:lineRule="exact"/>
              <w:rPr>
                <w:sz w:val="20"/>
                <w:szCs w:val="20"/>
                <w:color w:val="auto"/>
              </w:rPr>
            </w:pPr>
            <w:r>
              <w:rPr>
                <w:rFonts w:ascii="Calibri" w:cs="Calibri" w:eastAsia="Calibri" w:hAnsi="Calibri"/>
                <w:sz w:val="17"/>
                <w:szCs w:val="17"/>
                <w:b w:val="1"/>
                <w:bCs w:val="1"/>
                <w:color w:val="1C4787"/>
              </w:rPr>
              <w:t>Gross Amounts</w:t>
            </w:r>
            <w:r>
              <w:rPr>
                <w:rFonts w:ascii="Calibri" w:cs="Calibri" w:eastAsia="Calibri" w:hAnsi="Calibri"/>
                <w:sz w:val="22"/>
                <w:szCs w:val="22"/>
                <w:b w:val="1"/>
                <w:bCs w:val="1"/>
                <w:color w:val="1C4787"/>
                <w:vertAlign w:val="superscript"/>
              </w:rPr>
              <w:t>(1)</w:t>
            </w:r>
          </w:p>
        </w:tc>
        <w:tc>
          <w:tcPr>
            <w:tcW w:w="140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1C4787"/>
                <w:w w:val="97"/>
              </w:rPr>
              <w:t>Instruments</w:t>
            </w:r>
          </w:p>
        </w:tc>
        <w:tc>
          <w:tcPr>
            <w:tcW w:w="1480" w:type="dxa"/>
            <w:vAlign w:val="bottom"/>
          </w:tcPr>
          <w:p>
            <w:pPr>
              <w:ind w:left="300"/>
              <w:spacing w:after="0" w:line="205" w:lineRule="exact"/>
              <w:rPr>
                <w:sz w:val="20"/>
                <w:szCs w:val="20"/>
                <w:color w:val="auto"/>
              </w:rPr>
            </w:pPr>
            <w:r>
              <w:rPr>
                <w:rFonts w:ascii="Calibri" w:cs="Calibri" w:eastAsia="Calibri" w:hAnsi="Calibri"/>
                <w:sz w:val="17"/>
                <w:szCs w:val="17"/>
                <w:b w:val="1"/>
                <w:bCs w:val="1"/>
                <w:color w:val="1C4787"/>
              </w:rPr>
              <w:t>Cash Collateral</w:t>
            </w:r>
          </w:p>
        </w:tc>
        <w:tc>
          <w:tcPr>
            <w:tcW w:w="1480" w:type="dxa"/>
            <w:vAlign w:val="bottom"/>
          </w:tcPr>
          <w:p>
            <w:pPr>
              <w:ind w:left="480"/>
              <w:spacing w:after="0" w:line="205" w:lineRule="exact"/>
              <w:rPr>
                <w:sz w:val="20"/>
                <w:szCs w:val="20"/>
                <w:color w:val="auto"/>
              </w:rPr>
            </w:pPr>
            <w:r>
              <w:rPr>
                <w:rFonts w:ascii="Calibri" w:cs="Calibri" w:eastAsia="Calibri" w:hAnsi="Calibri"/>
                <w:sz w:val="17"/>
                <w:szCs w:val="17"/>
                <w:b w:val="1"/>
                <w:bCs w:val="1"/>
                <w:color w:val="1C4787"/>
              </w:rPr>
              <w:t>Total Net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7122160" cy="1473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22160" cy="147320"/>
                    </a:xfrm>
                    <a:prstGeom prst="rect">
                      <a:avLst/>
                    </a:prstGeom>
                    <a:noFill/>
                  </pic:spPr>
                </pic:pic>
              </a:graphicData>
            </a:graphic>
          </wp:anchor>
        </w:drawing>
      </w:r>
    </w:p>
    <w:p>
      <w:pPr>
        <w:ind w:left="40"/>
        <w:spacing w:after="0" w:line="201" w:lineRule="auto"/>
        <w:rPr>
          <w:sz w:val="20"/>
          <w:szCs w:val="20"/>
          <w:color w:val="auto"/>
        </w:rPr>
      </w:pPr>
      <w:r>
        <w:rPr>
          <w:rFonts w:ascii="Calibri" w:cs="Calibri" w:eastAsia="Calibri" w:hAnsi="Calibri"/>
          <w:sz w:val="17"/>
          <w:szCs w:val="17"/>
          <w:b w:val="1"/>
          <w:bCs w:val="1"/>
          <w:color w:val="1C4787"/>
        </w:rPr>
        <w:t>December 31, 2023</w:t>
      </w:r>
    </w:p>
    <w:p>
      <w:pPr>
        <w:sectPr>
          <w:pgSz w:w="11900" w:h="16838" w:orient="portrait"/>
          <w:cols w:equalWidth="0" w:num="1">
            <w:col w:w="11240"/>
          </w:cols>
          <w:pgMar w:left="320" w:top="740" w:right="339" w:bottom="1440" w:gutter="0" w:footer="0" w:header="0"/>
        </w:sectPr>
      </w:pP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680" w:type="dxa"/>
            <w:vAlign w:val="bottom"/>
            <w:tcBorders>
              <w:top w:val="single" w:sz="8" w:color="auto"/>
            </w:tcBorders>
          </w:tcPr>
          <w:p>
            <w:pPr>
              <w:ind w:left="20"/>
              <w:spacing w:after="0" w:line="224" w:lineRule="exact"/>
              <w:rPr>
                <w:sz w:val="20"/>
                <w:szCs w:val="20"/>
                <w:color w:val="auto"/>
              </w:rPr>
            </w:pPr>
            <w:r>
              <w:rPr>
                <w:rFonts w:ascii="Calibri" w:cs="Calibri" w:eastAsia="Calibri" w:hAnsi="Calibri"/>
                <w:sz w:val="17"/>
                <w:szCs w:val="17"/>
                <w:color w:val="auto"/>
              </w:rPr>
              <w:t xml:space="preserve">Interest rate swap contracts </w:t>
            </w:r>
            <w:r>
              <w:rPr>
                <w:rFonts w:ascii="Calibri" w:cs="Calibri" w:eastAsia="Calibri" w:hAnsi="Calibri"/>
                <w:sz w:val="22"/>
                <w:szCs w:val="22"/>
                <w:color w:val="auto"/>
                <w:vertAlign w:val="superscript"/>
              </w:rPr>
              <w:t>(2)</w:t>
            </w:r>
          </w:p>
        </w:tc>
        <w:tc>
          <w:tcPr>
            <w:tcW w:w="220" w:type="dxa"/>
            <w:vAlign w:val="bottom"/>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05"/>
        </w:trPr>
        <w:tc>
          <w:tcPr>
            <w:tcW w:w="4680" w:type="dxa"/>
            <w:vAlign w:val="bottom"/>
          </w:tcPr>
          <w:p>
            <w:pPr>
              <w:ind w:left="20"/>
              <w:spacing w:after="0" w:line="205" w:lineRule="exact"/>
              <w:rPr>
                <w:sz w:val="20"/>
                <w:szCs w:val="20"/>
                <w:color w:val="auto"/>
              </w:rPr>
            </w:pPr>
            <w:r>
              <w:rPr>
                <w:rFonts w:ascii="Calibri" w:cs="Calibri" w:eastAsia="Calibri" w:hAnsi="Calibri"/>
                <w:sz w:val="17"/>
                <w:szCs w:val="17"/>
                <w:color w:val="auto"/>
              </w:rPr>
              <w:t>TBA Agency Securites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680" w:type="dxa"/>
            <w:vAlign w:val="bottom"/>
          </w:tcPr>
          <w:p>
            <w:pPr>
              <w:ind w:left="20"/>
              <w:spacing w:after="0"/>
              <w:rPr>
                <w:sz w:val="20"/>
                <w:szCs w:val="20"/>
                <w:color w:val="auto"/>
              </w:rPr>
            </w:pPr>
            <w:r>
              <w:rPr>
                <w:rFonts w:ascii="Calibri" w:cs="Calibri" w:eastAsia="Calibri" w:hAnsi="Calibri"/>
                <w:sz w:val="17"/>
                <w:szCs w:val="17"/>
                <w:b w:val="1"/>
                <w:bCs w:val="1"/>
                <w:color w:val="1C4787"/>
              </w:rPr>
              <w:t>Totals</w:t>
            </w:r>
          </w:p>
        </w:tc>
        <w:tc>
          <w:tcPr>
            <w:tcW w:w="220" w:type="dxa"/>
            <w:vAlign w:val="bottom"/>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361"/>
        </w:trPr>
        <w:tc>
          <w:tcPr>
            <w:tcW w:w="4680" w:type="dxa"/>
            <w:vAlign w:val="bottom"/>
          </w:tcPr>
          <w:p>
            <w:pPr>
              <w:ind w:left="20"/>
              <w:spacing w:after="0"/>
              <w:rPr>
                <w:sz w:val="20"/>
                <w:szCs w:val="20"/>
                <w:color w:val="auto"/>
              </w:rPr>
            </w:pPr>
            <w:r>
              <w:rPr>
                <w:rFonts w:ascii="Calibri" w:cs="Calibri" w:eastAsia="Calibri" w:hAnsi="Calibri"/>
                <w:sz w:val="17"/>
                <w:szCs w:val="17"/>
                <w:b w:val="1"/>
                <w:bCs w:val="1"/>
                <w:color w:val="1C4787"/>
              </w:rPr>
              <w:t>December 31, 2022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6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198"/>
        </w:trPr>
        <w:tc>
          <w:tcPr>
            <w:tcW w:w="4680" w:type="dxa"/>
            <w:vAlign w:val="bottom"/>
          </w:tcPr>
          <w:p>
            <w:pPr>
              <w:ind w:left="20"/>
              <w:spacing w:after="0" w:line="198" w:lineRule="exact"/>
              <w:rPr>
                <w:sz w:val="20"/>
                <w:szCs w:val="20"/>
                <w:color w:val="auto"/>
              </w:rPr>
            </w:pPr>
            <w:r>
              <w:rPr>
                <w:rFonts w:ascii="Calibri" w:cs="Calibri" w:eastAsia="Calibri" w:hAnsi="Calibri"/>
                <w:sz w:val="17"/>
                <w:szCs w:val="17"/>
                <w:color w:val="auto"/>
              </w:rPr>
              <w:t>Futures contracts</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80" w:type="dxa"/>
            <w:vAlign w:val="bottom"/>
          </w:tcPr>
          <w:p>
            <w:pPr>
              <w:ind w:left="20"/>
              <w:spacing w:after="0"/>
              <w:rPr>
                <w:sz w:val="20"/>
                <w:szCs w:val="20"/>
                <w:color w:val="auto"/>
              </w:rPr>
            </w:pPr>
            <w:r>
              <w:rPr>
                <w:rFonts w:ascii="Calibri" w:cs="Calibri" w:eastAsia="Calibri" w:hAnsi="Calibri"/>
                <w:sz w:val="17"/>
                <w:szCs w:val="17"/>
                <w:color w:val="auto"/>
              </w:rPr>
              <w:t>TBA Agency Securites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680" w:type="dxa"/>
            <w:vAlign w:val="bottom"/>
          </w:tcPr>
          <w:p>
            <w:pPr>
              <w:ind w:left="20"/>
              <w:spacing w:after="0"/>
              <w:rPr>
                <w:sz w:val="20"/>
                <w:szCs w:val="20"/>
                <w:color w:val="auto"/>
              </w:rPr>
            </w:pPr>
            <w:r>
              <w:rPr>
                <w:rFonts w:ascii="Calibri" w:cs="Calibri" w:eastAsia="Calibri" w:hAnsi="Calibri"/>
                <w:sz w:val="17"/>
                <w:szCs w:val="17"/>
                <w:b w:val="1"/>
                <w:bCs w:val="1"/>
                <w:color w:val="1C4787"/>
              </w:rPr>
              <w:t>Totals</w:t>
            </w:r>
          </w:p>
        </w:tc>
        <w:tc>
          <w:tcPr>
            <w:tcW w:w="220" w:type="dxa"/>
            <w:vAlign w:val="bottom"/>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-967740</wp:posOffset>
            </wp:positionV>
            <wp:extent cx="7122160" cy="1390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-435610</wp:posOffset>
            </wp:positionV>
            <wp:extent cx="7122160" cy="147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22160" cy="1473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-148590</wp:posOffset>
            </wp:positionV>
            <wp:extent cx="7122160" cy="163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-664845</wp:posOffset>
            </wp:positionV>
            <wp:extent cx="7122160" cy="901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22160" cy="90170"/>
                    </a:xfrm>
                    <a:prstGeom prst="rect">
                      <a:avLst/>
                    </a:prstGeom>
                    <a:noFill/>
                  </pic:spPr>
                </pic:pic>
              </a:graphicData>
            </a:graphic>
          </wp:anchor>
        </w:drawing>
      </w:r>
    </w:p>
    <w:p>
      <w:pPr>
        <w:spacing w:after="0" w:line="149" w:lineRule="exact"/>
        <w:rPr>
          <w:sz w:val="20"/>
          <w:szCs w:val="20"/>
          <w:color w:val="auto"/>
        </w:rPr>
      </w:pPr>
    </w:p>
    <w:p>
      <w:pPr>
        <w:ind w:left="300" w:hanging="297"/>
        <w:spacing w:after="0"/>
        <w:tabs>
          <w:tab w:leader="none" w:pos="300" w:val="left"/>
        </w:tabs>
        <w:numPr>
          <w:ilvl w:val="0"/>
          <w:numId w:val="36"/>
        </w:numPr>
        <w:rPr>
          <w:rFonts w:ascii="Calibri" w:cs="Calibri" w:eastAsia="Calibri" w:hAnsi="Calibri"/>
          <w:sz w:val="16"/>
          <w:szCs w:val="16"/>
          <w:color w:val="auto"/>
        </w:rPr>
      </w:pPr>
      <w:r>
        <w:rPr>
          <w:rFonts w:ascii="Calibri" w:cs="Calibri" w:eastAsia="Calibri" w:hAnsi="Calibri"/>
          <w:sz w:val="16"/>
          <w:szCs w:val="16"/>
          <w:color w:val="auto"/>
        </w:rPr>
        <w:t>See Note 4 - Fair Value of Financial Instruments for additonal discussion.</w:t>
      </w:r>
    </w:p>
    <w:p>
      <w:pPr>
        <w:spacing w:after="0" w:line="72" w:lineRule="exact"/>
        <w:rPr>
          <w:rFonts w:ascii="Calibri" w:cs="Calibri" w:eastAsia="Calibri" w:hAnsi="Calibri"/>
          <w:sz w:val="16"/>
          <w:szCs w:val="16"/>
          <w:color w:val="auto"/>
        </w:rPr>
      </w:pPr>
    </w:p>
    <w:p>
      <w:pPr>
        <w:ind w:left="300" w:hanging="297"/>
        <w:spacing w:after="0"/>
        <w:tabs>
          <w:tab w:leader="none" w:pos="300" w:val="left"/>
        </w:tabs>
        <w:numPr>
          <w:ilvl w:val="0"/>
          <w:numId w:val="36"/>
        </w:numPr>
        <w:rPr>
          <w:rFonts w:ascii="Calibri" w:cs="Calibri" w:eastAsia="Calibri" w:hAnsi="Calibri"/>
          <w:sz w:val="17"/>
          <w:szCs w:val="17"/>
          <w:color w:val="auto"/>
        </w:rPr>
      </w:pPr>
      <w:r>
        <w:rPr>
          <w:rFonts w:ascii="Calibri" w:cs="Calibri" w:eastAsia="Calibri" w:hAnsi="Calibri"/>
          <w:sz w:val="17"/>
          <w:szCs w:val="17"/>
          <w:color w:val="auto"/>
        </w:rPr>
        <w:t>Includes $(5,036) of centrally-cleared interest rate swap contracts.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720" w:type="dxa"/>
            <w:vAlign w:val="bottom"/>
          </w:tcPr>
          <w:p>
            <w:pPr>
              <w:jc w:val="right"/>
              <w:ind w:right="54"/>
              <w:spacing w:after="0"/>
              <w:rPr>
                <w:sz w:val="20"/>
                <w:szCs w:val="20"/>
                <w:color w:val="auto"/>
              </w:rPr>
            </w:pPr>
            <w:r>
              <w:rPr>
                <w:rFonts w:ascii="Calibri" w:cs="Calibri" w:eastAsia="Calibri" w:hAnsi="Calibri"/>
                <w:sz w:val="17"/>
                <w:szCs w:val="17"/>
                <w:color w:val="auto"/>
              </w:rPr>
              <w:t>(5,036)</w:t>
            </w:r>
          </w:p>
        </w:tc>
        <w:tc>
          <w:tcPr>
            <w:tcW w:w="500" w:type="dxa"/>
            <w:vAlign w:val="bottom"/>
          </w:tcPr>
          <w:p>
            <w:pPr>
              <w:jc w:val="right"/>
              <w:ind w:right="314"/>
              <w:spacing w:after="0"/>
              <w:rPr>
                <w:sz w:val="20"/>
                <w:szCs w:val="20"/>
                <w:color w:val="auto"/>
              </w:rPr>
            </w:pPr>
            <w:r>
              <w:rPr>
                <w:rFonts w:ascii="Calibri" w:cs="Calibri" w:eastAsia="Calibri" w:hAnsi="Calibri"/>
                <w:sz w:val="17"/>
                <w:szCs w:val="17"/>
                <w:color w:val="auto"/>
                <w:w w:val="92"/>
              </w:rPr>
              <w:t>$</w:t>
            </w:r>
          </w:p>
        </w:tc>
        <w:tc>
          <w:tcPr>
            <w:tcW w:w="920" w:type="dxa"/>
            <w:vAlign w:val="bottom"/>
          </w:tcPr>
          <w:p>
            <w:pPr>
              <w:jc w:val="right"/>
              <w:spacing w:after="0"/>
              <w:rPr>
                <w:sz w:val="20"/>
                <w:szCs w:val="20"/>
                <w:color w:val="auto"/>
              </w:rPr>
            </w:pPr>
            <w:r>
              <w:rPr>
                <w:rFonts w:ascii="Calibri" w:cs="Calibri" w:eastAsia="Calibri" w:hAnsi="Calibri"/>
                <w:sz w:val="17"/>
                <w:szCs w:val="17"/>
                <w:color w:val="auto"/>
              </w:rPr>
              <w:t>5,036</w:t>
            </w:r>
          </w:p>
        </w:tc>
        <w:tc>
          <w:tcPr>
            <w:tcW w:w="100" w:type="dxa"/>
            <w:vAlign w:val="bottom"/>
          </w:tcPr>
          <w:p>
            <w:pPr>
              <w:spacing w:after="0"/>
              <w:rPr>
                <w:sz w:val="18"/>
                <w:szCs w:val="18"/>
                <w:color w:val="auto"/>
              </w:rPr>
            </w:pPr>
          </w:p>
        </w:tc>
        <w:tc>
          <w:tcPr>
            <w:tcW w:w="480" w:type="dxa"/>
            <w:vAlign w:val="bottom"/>
          </w:tcPr>
          <w:p>
            <w:pPr>
              <w:jc w:val="right"/>
              <w:ind w:right="274"/>
              <w:spacing w:after="0"/>
              <w:rPr>
                <w:sz w:val="20"/>
                <w:szCs w:val="20"/>
                <w:color w:val="auto"/>
              </w:rPr>
            </w:pPr>
            <w:r>
              <w:rPr>
                <w:rFonts w:ascii="Calibri" w:cs="Calibri" w:eastAsia="Calibri" w:hAnsi="Calibri"/>
                <w:sz w:val="17"/>
                <w:szCs w:val="17"/>
                <w:color w:val="auto"/>
              </w:rPr>
              <w:t>$</w:t>
            </w:r>
          </w:p>
        </w:tc>
        <w:tc>
          <w:tcPr>
            <w:tcW w:w="1000" w:type="dxa"/>
            <w:vAlign w:val="bottom"/>
            <w:gridSpan w:val="2"/>
          </w:tcPr>
          <w:p>
            <w:pPr>
              <w:ind w:left="660"/>
              <w:spacing w:after="0"/>
              <w:rPr>
                <w:sz w:val="20"/>
                <w:szCs w:val="20"/>
                <w:color w:val="auto"/>
              </w:rPr>
            </w:pPr>
            <w:r>
              <w:rPr>
                <w:rFonts w:ascii="Calibri" w:cs="Calibri" w:eastAsia="Calibri" w:hAnsi="Calibri"/>
                <w:sz w:val="17"/>
                <w:szCs w:val="17"/>
                <w:color w:val="auto"/>
              </w:rPr>
              <w:t>—</w:t>
            </w:r>
          </w:p>
        </w:tc>
        <w:tc>
          <w:tcPr>
            <w:tcW w:w="540" w:type="dxa"/>
            <w:vAlign w:val="bottom"/>
          </w:tcPr>
          <w:p>
            <w:pPr>
              <w:jc w:val="right"/>
              <w:ind w:right="354"/>
              <w:spacing w:after="0"/>
              <w:rPr>
                <w:sz w:val="20"/>
                <w:szCs w:val="20"/>
                <w:color w:val="auto"/>
              </w:rPr>
            </w:pPr>
            <w:r>
              <w:rPr>
                <w:rFonts w:ascii="Calibri" w:cs="Calibri" w:eastAsia="Calibri" w:hAnsi="Calibri"/>
                <w:sz w:val="17"/>
                <w:szCs w:val="17"/>
                <w:color w:val="auto"/>
                <w:w w:val="92"/>
              </w:rPr>
              <w:t>$</w:t>
            </w:r>
          </w:p>
        </w:tc>
        <w:tc>
          <w:tcPr>
            <w:tcW w:w="820" w:type="dxa"/>
            <w:vAlign w:val="bottom"/>
          </w:tcPr>
          <w:p>
            <w:pPr>
              <w:ind w:left="600"/>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19"/>
        </w:trPr>
        <w:tc>
          <w:tcPr>
            <w:tcW w:w="720" w:type="dxa"/>
            <w:vAlign w:val="bottom"/>
          </w:tcPr>
          <w:p>
            <w:pPr>
              <w:jc w:val="right"/>
              <w:ind w:right="94"/>
              <w:spacing w:after="0"/>
              <w:rPr>
                <w:sz w:val="20"/>
                <w:szCs w:val="20"/>
                <w:color w:val="auto"/>
              </w:rPr>
            </w:pPr>
            <w:r>
              <w:rPr>
                <w:rFonts w:ascii="Calibri" w:cs="Calibri" w:eastAsia="Calibri" w:hAnsi="Calibri"/>
                <w:sz w:val="17"/>
                <w:szCs w:val="17"/>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7"/>
                <w:szCs w:val="17"/>
                <w:color w:val="auto"/>
              </w:rPr>
              <w:t>1,816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ind w:left="380"/>
              <w:spacing w:after="0"/>
              <w:rPr>
                <w:sz w:val="20"/>
                <w:szCs w:val="20"/>
                <w:color w:val="auto"/>
              </w:rPr>
            </w:pPr>
            <w:r>
              <w:rPr>
                <w:rFonts w:ascii="Calibri" w:cs="Calibri" w:eastAsia="Calibri" w:hAnsi="Calibri"/>
                <w:sz w:val="17"/>
                <w:szCs w:val="17"/>
                <w:color w:val="auto"/>
                <w:w w:val="97"/>
              </w:rPr>
              <w:t>(2,070)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ind w:left="420"/>
              <w:spacing w:after="0"/>
              <w:rPr>
                <w:sz w:val="20"/>
                <w:szCs w:val="20"/>
                <w:color w:val="auto"/>
              </w:rPr>
            </w:pPr>
            <w:r>
              <w:rPr>
                <w:rFonts w:ascii="Calibri" w:cs="Calibri" w:eastAsia="Calibri" w:hAnsi="Calibri"/>
                <w:sz w:val="17"/>
                <w:szCs w:val="17"/>
                <w:color w:val="auto"/>
              </w:rPr>
              <w:t>(254)</w:t>
            </w:r>
          </w:p>
        </w:tc>
        <w:tc>
          <w:tcPr>
            <w:tcW w:w="0" w:type="dxa"/>
            <w:vAlign w:val="bottom"/>
          </w:tcPr>
          <w:p>
            <w:pPr>
              <w:spacing w:after="0"/>
              <w:rPr>
                <w:sz w:val="1"/>
                <w:szCs w:val="1"/>
                <w:color w:val="auto"/>
              </w:rPr>
            </w:pPr>
          </w:p>
        </w:tc>
      </w:tr>
      <w:tr>
        <w:trPr>
          <w:trHeight w:val="22"/>
        </w:trPr>
        <w:tc>
          <w:tcPr>
            <w:tcW w:w="720" w:type="dxa"/>
            <w:vAlign w:val="bottom"/>
            <w:vMerge w:val="restart"/>
          </w:tcPr>
          <w:p>
            <w:pPr>
              <w:jc w:val="right"/>
              <w:ind w:right="54"/>
              <w:spacing w:after="0"/>
              <w:rPr>
                <w:sz w:val="20"/>
                <w:szCs w:val="20"/>
                <w:color w:val="auto"/>
              </w:rPr>
            </w:pPr>
            <w:r>
              <w:rPr>
                <w:rFonts w:ascii="Calibri" w:cs="Calibri" w:eastAsia="Calibri" w:hAnsi="Calibri"/>
                <w:sz w:val="17"/>
                <w:szCs w:val="17"/>
                <w:color w:val="auto"/>
              </w:rPr>
              <w:t>(5,036)</w:t>
            </w: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720" w:type="dxa"/>
            <w:vAlign w:val="bottom"/>
            <w:vMerge w:val="continue"/>
          </w:tcPr>
          <w:p>
            <w:pPr>
              <w:spacing w:after="0"/>
              <w:rPr>
                <w:sz w:val="17"/>
                <w:szCs w:val="17"/>
                <w:color w:val="auto"/>
              </w:rPr>
            </w:pPr>
          </w:p>
        </w:tc>
        <w:tc>
          <w:tcPr>
            <w:tcW w:w="500" w:type="dxa"/>
            <w:vAlign w:val="bottom"/>
            <w:tcBorders>
              <w:bottom w:val="single" w:sz="8" w:color="auto"/>
            </w:tcBorders>
          </w:tcPr>
          <w:p>
            <w:pPr>
              <w:jc w:val="right"/>
              <w:ind w:right="314"/>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6,852</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4"/>
              <w:spacing w:after="0" w:line="205" w:lineRule="exact"/>
              <w:rPr>
                <w:sz w:val="20"/>
                <w:szCs w:val="20"/>
                <w:color w:val="auto"/>
              </w:rPr>
            </w:pPr>
            <w:r>
              <w:rPr>
                <w:rFonts w:ascii="Calibri" w:cs="Calibri" w:eastAsia="Calibri" w:hAnsi="Calibri"/>
                <w:sz w:val="17"/>
                <w:szCs w:val="17"/>
                <w:color w:val="auto"/>
              </w:rPr>
              <w:t>$</w:t>
            </w:r>
          </w:p>
        </w:tc>
        <w:tc>
          <w:tcPr>
            <w:tcW w:w="880" w:type="dxa"/>
            <w:vAlign w:val="bottom"/>
            <w:tcBorders>
              <w:bottom w:val="single" w:sz="8" w:color="auto"/>
            </w:tcBorders>
          </w:tcPr>
          <w:p>
            <w:pPr>
              <w:ind w:left="380"/>
              <w:spacing w:after="0" w:line="205" w:lineRule="exact"/>
              <w:rPr>
                <w:sz w:val="20"/>
                <w:szCs w:val="20"/>
                <w:color w:val="auto"/>
              </w:rPr>
            </w:pPr>
            <w:r>
              <w:rPr>
                <w:rFonts w:ascii="Calibri" w:cs="Calibri" w:eastAsia="Calibri" w:hAnsi="Calibri"/>
                <w:sz w:val="17"/>
                <w:szCs w:val="17"/>
                <w:color w:val="auto"/>
                <w:w w:val="97"/>
              </w:rPr>
              <w:t>(2,070)</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54"/>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auto"/>
            </w:tcBorders>
          </w:tcPr>
          <w:p>
            <w:pPr>
              <w:ind w:left="420"/>
              <w:spacing w:after="0" w:line="205" w:lineRule="exact"/>
              <w:rPr>
                <w:sz w:val="20"/>
                <w:szCs w:val="20"/>
                <w:color w:val="auto"/>
              </w:rPr>
            </w:pPr>
            <w:r>
              <w:rPr>
                <w:rFonts w:ascii="Calibri" w:cs="Calibri" w:eastAsia="Calibri" w:hAnsi="Calibri"/>
                <w:sz w:val="17"/>
                <w:szCs w:val="17"/>
                <w:color w:val="auto"/>
              </w:rPr>
              <w:t>(254)</w:t>
            </w:r>
          </w:p>
        </w:tc>
        <w:tc>
          <w:tcPr>
            <w:tcW w:w="0" w:type="dxa"/>
            <w:vAlign w:val="bottom"/>
          </w:tcPr>
          <w:p>
            <w:pPr>
              <w:spacing w:after="0"/>
              <w:rPr>
                <w:sz w:val="1"/>
                <w:szCs w:val="1"/>
                <w:color w:val="auto"/>
              </w:rPr>
            </w:pPr>
          </w:p>
        </w:tc>
      </w:tr>
      <w:tr>
        <w:trPr>
          <w:trHeight w:val="26"/>
        </w:trPr>
        <w:tc>
          <w:tcPr>
            <w:tcW w:w="7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8"/>
        </w:trPr>
        <w:tc>
          <w:tcPr>
            <w:tcW w:w="720" w:type="dxa"/>
            <w:vAlign w:val="bottom"/>
          </w:tcPr>
          <w:p>
            <w:pPr>
              <w:jc w:val="right"/>
              <w:ind w:right="54"/>
              <w:spacing w:after="0"/>
              <w:rPr>
                <w:sz w:val="20"/>
                <w:szCs w:val="20"/>
                <w:color w:val="auto"/>
              </w:rPr>
            </w:pPr>
            <w:r>
              <w:rPr>
                <w:rFonts w:ascii="Calibri" w:cs="Calibri" w:eastAsia="Calibri" w:hAnsi="Calibri"/>
                <w:sz w:val="17"/>
                <w:szCs w:val="17"/>
                <w:color w:val="auto"/>
              </w:rPr>
              <w:t>(516)</w:t>
            </w:r>
          </w:p>
        </w:tc>
        <w:tc>
          <w:tcPr>
            <w:tcW w:w="500" w:type="dxa"/>
            <w:vAlign w:val="bottom"/>
          </w:tcPr>
          <w:p>
            <w:pPr>
              <w:jc w:val="right"/>
              <w:ind w:right="314"/>
              <w:spacing w:after="0"/>
              <w:rPr>
                <w:sz w:val="20"/>
                <w:szCs w:val="20"/>
                <w:color w:val="auto"/>
              </w:rPr>
            </w:pPr>
            <w:r>
              <w:rPr>
                <w:rFonts w:ascii="Calibri" w:cs="Calibri" w:eastAsia="Calibri" w:hAnsi="Calibri"/>
                <w:sz w:val="17"/>
                <w:szCs w:val="17"/>
                <w:color w:val="auto"/>
                <w:w w:val="92"/>
              </w:rPr>
              <w:t>$</w:t>
            </w:r>
          </w:p>
        </w:tc>
        <w:tc>
          <w:tcPr>
            <w:tcW w:w="920" w:type="dxa"/>
            <w:vAlign w:val="bottom"/>
          </w:tcPr>
          <w:p>
            <w:pPr>
              <w:jc w:val="right"/>
              <w:spacing w:after="0"/>
              <w:rPr>
                <w:sz w:val="20"/>
                <w:szCs w:val="20"/>
                <w:color w:val="auto"/>
              </w:rPr>
            </w:pPr>
            <w:r>
              <w:rPr>
                <w:rFonts w:ascii="Calibri" w:cs="Calibri" w:eastAsia="Calibri" w:hAnsi="Calibri"/>
                <w:sz w:val="17"/>
                <w:szCs w:val="17"/>
                <w:color w:val="auto"/>
              </w:rPr>
              <w:t>516</w:t>
            </w:r>
          </w:p>
        </w:tc>
        <w:tc>
          <w:tcPr>
            <w:tcW w:w="100" w:type="dxa"/>
            <w:vAlign w:val="bottom"/>
          </w:tcPr>
          <w:p>
            <w:pPr>
              <w:spacing w:after="0"/>
              <w:rPr>
                <w:sz w:val="24"/>
                <w:szCs w:val="24"/>
                <w:color w:val="auto"/>
              </w:rPr>
            </w:pPr>
          </w:p>
        </w:tc>
        <w:tc>
          <w:tcPr>
            <w:tcW w:w="480" w:type="dxa"/>
            <w:vAlign w:val="bottom"/>
          </w:tcPr>
          <w:p>
            <w:pPr>
              <w:jc w:val="right"/>
              <w:ind w:right="274"/>
              <w:spacing w:after="0"/>
              <w:rPr>
                <w:sz w:val="20"/>
                <w:szCs w:val="20"/>
                <w:color w:val="auto"/>
              </w:rPr>
            </w:pPr>
            <w:r>
              <w:rPr>
                <w:rFonts w:ascii="Calibri" w:cs="Calibri" w:eastAsia="Calibri" w:hAnsi="Calibri"/>
                <w:sz w:val="17"/>
                <w:szCs w:val="17"/>
                <w:color w:val="auto"/>
              </w:rPr>
              <w:t>$</w:t>
            </w:r>
          </w:p>
        </w:tc>
        <w:tc>
          <w:tcPr>
            <w:tcW w:w="1000" w:type="dxa"/>
            <w:vAlign w:val="bottom"/>
            <w:gridSpan w:val="2"/>
          </w:tcPr>
          <w:p>
            <w:pPr>
              <w:ind w:left="660"/>
              <w:spacing w:after="0"/>
              <w:rPr>
                <w:sz w:val="20"/>
                <w:szCs w:val="20"/>
                <w:color w:val="auto"/>
              </w:rPr>
            </w:pPr>
            <w:r>
              <w:rPr>
                <w:rFonts w:ascii="Calibri" w:cs="Calibri" w:eastAsia="Calibri" w:hAnsi="Calibri"/>
                <w:sz w:val="17"/>
                <w:szCs w:val="17"/>
                <w:color w:val="auto"/>
              </w:rPr>
              <w:t>—</w:t>
            </w:r>
          </w:p>
        </w:tc>
        <w:tc>
          <w:tcPr>
            <w:tcW w:w="540" w:type="dxa"/>
            <w:vAlign w:val="bottom"/>
          </w:tcPr>
          <w:p>
            <w:pPr>
              <w:jc w:val="right"/>
              <w:ind w:right="354"/>
              <w:spacing w:after="0"/>
              <w:rPr>
                <w:sz w:val="20"/>
                <w:szCs w:val="20"/>
                <w:color w:val="auto"/>
              </w:rPr>
            </w:pPr>
            <w:r>
              <w:rPr>
                <w:rFonts w:ascii="Calibri" w:cs="Calibri" w:eastAsia="Calibri" w:hAnsi="Calibri"/>
                <w:sz w:val="17"/>
                <w:szCs w:val="17"/>
                <w:color w:val="auto"/>
                <w:w w:val="92"/>
              </w:rPr>
              <w:t>$</w:t>
            </w:r>
          </w:p>
        </w:tc>
        <w:tc>
          <w:tcPr>
            <w:tcW w:w="820" w:type="dxa"/>
            <w:vAlign w:val="bottom"/>
          </w:tcPr>
          <w:p>
            <w:pPr>
              <w:ind w:left="600"/>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19"/>
        </w:trPr>
        <w:tc>
          <w:tcPr>
            <w:tcW w:w="720" w:type="dxa"/>
            <w:vAlign w:val="bottom"/>
          </w:tcPr>
          <w:p>
            <w:pPr>
              <w:jc w:val="right"/>
              <w:ind w:right="54"/>
              <w:spacing w:after="0"/>
              <w:rPr>
                <w:sz w:val="20"/>
                <w:szCs w:val="20"/>
                <w:color w:val="auto"/>
              </w:rPr>
            </w:pPr>
            <w:r>
              <w:rPr>
                <w:rFonts w:ascii="Calibri" w:cs="Calibri" w:eastAsia="Calibri" w:hAnsi="Calibri"/>
                <w:sz w:val="17"/>
                <w:szCs w:val="17"/>
                <w:color w:val="auto"/>
                <w:w w:val="97"/>
              </w:rPr>
              <w:t>(12,500)</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7"/>
                <w:szCs w:val="17"/>
                <w:color w:val="auto"/>
              </w:rPr>
              <w:t>12,500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Calibri" w:cs="Calibri" w:eastAsia="Calibri" w:hAnsi="Calibri"/>
                <w:sz w:val="17"/>
                <w:szCs w:val="17"/>
                <w:color w:val="auto"/>
              </w:rPr>
              <w:t>—</w:t>
            </w:r>
          </w:p>
        </w:tc>
        <w:tc>
          <w:tcPr>
            <w:tcW w:w="540" w:type="dxa"/>
            <w:vAlign w:val="bottom"/>
          </w:tcPr>
          <w:p>
            <w:pPr>
              <w:spacing w:after="0"/>
              <w:rPr>
                <w:sz w:val="19"/>
                <w:szCs w:val="19"/>
                <w:color w:val="auto"/>
              </w:rPr>
            </w:pPr>
          </w:p>
        </w:tc>
        <w:tc>
          <w:tcPr>
            <w:tcW w:w="820" w:type="dxa"/>
            <w:vAlign w:val="bottom"/>
          </w:tcPr>
          <w:p>
            <w:pPr>
              <w:ind w:left="600"/>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2"/>
        </w:trPr>
        <w:tc>
          <w:tcPr>
            <w:tcW w:w="720" w:type="dxa"/>
            <w:vAlign w:val="bottom"/>
            <w:vMerge w:val="restart"/>
          </w:tcPr>
          <w:p>
            <w:pPr>
              <w:jc w:val="right"/>
              <w:ind w:right="54"/>
              <w:spacing w:after="0"/>
              <w:rPr>
                <w:sz w:val="20"/>
                <w:szCs w:val="20"/>
                <w:color w:val="auto"/>
              </w:rPr>
            </w:pPr>
            <w:r>
              <w:rPr>
                <w:rFonts w:ascii="Calibri" w:cs="Calibri" w:eastAsia="Calibri" w:hAnsi="Calibri"/>
                <w:sz w:val="17"/>
                <w:szCs w:val="17"/>
                <w:color w:val="auto"/>
                <w:w w:val="97"/>
              </w:rPr>
              <w:t>(13,016)</w:t>
            </w: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720" w:type="dxa"/>
            <w:vAlign w:val="bottom"/>
            <w:vMerge w:val="continue"/>
          </w:tcPr>
          <w:p>
            <w:pPr>
              <w:spacing w:after="0"/>
              <w:rPr>
                <w:sz w:val="17"/>
                <w:szCs w:val="17"/>
                <w:color w:val="auto"/>
              </w:rPr>
            </w:pPr>
          </w:p>
        </w:tc>
        <w:tc>
          <w:tcPr>
            <w:tcW w:w="500" w:type="dxa"/>
            <w:vAlign w:val="bottom"/>
            <w:tcBorders>
              <w:top w:val="single" w:sz="8" w:color="auto"/>
              <w:bottom w:val="single" w:sz="8" w:color="auto"/>
            </w:tcBorders>
          </w:tcPr>
          <w:p>
            <w:pPr>
              <w:jc w:val="right"/>
              <w:ind w:right="314"/>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tcBorders>
              <w:top w:val="single" w:sz="8" w:color="auto"/>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13,016</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74"/>
              <w:spacing w:after="0" w:line="205" w:lineRule="exact"/>
              <w:rPr>
                <w:sz w:val="20"/>
                <w:szCs w:val="20"/>
                <w:color w:val="auto"/>
              </w:rPr>
            </w:pPr>
            <w:r>
              <w:rPr>
                <w:rFonts w:ascii="Calibri" w:cs="Calibri" w:eastAsia="Calibri" w:hAnsi="Calibri"/>
                <w:sz w:val="17"/>
                <w:szCs w:val="17"/>
                <w:color w:val="auto"/>
              </w:rPr>
              <w:t>$</w:t>
            </w:r>
          </w:p>
        </w:tc>
        <w:tc>
          <w:tcPr>
            <w:tcW w:w="880" w:type="dxa"/>
            <w:vAlign w:val="bottom"/>
            <w:tcBorders>
              <w:top w:val="single" w:sz="8" w:color="auto"/>
              <w:bottom w:val="single" w:sz="8" w:color="auto"/>
            </w:tcBorders>
          </w:tcPr>
          <w:p>
            <w:pPr>
              <w:ind w:left="660"/>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54"/>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tcBorders>
              <w:top w:val="single" w:sz="8" w:color="auto"/>
              <w:bottom w:val="single" w:sz="8" w:color="auto"/>
            </w:tcBorders>
          </w:tcPr>
          <w:p>
            <w:pPr>
              <w:ind w:left="600"/>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6"/>
        </w:trPr>
        <w:tc>
          <w:tcPr>
            <w:tcW w:w="7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-7620</wp:posOffset>
            </wp:positionV>
            <wp:extent cx="12363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36345" cy="8255"/>
                    </a:xfrm>
                    <a:prstGeom prst="rect">
                      <a:avLst/>
                    </a:prstGeom>
                    <a:noFill/>
                  </pic:spPr>
                </pic:pic>
              </a:graphicData>
            </a:graphic>
          </wp:anchor>
        </w:drawing>
        <w:drawing>
          <wp:anchor simplePos="0" relativeHeight="251657728" behindDoc="1" locked="0" layoutInCell="0" allowOverlap="1">
            <wp:simplePos x="0" y="0"/>
            <wp:positionH relativeFrom="column">
              <wp:posOffset>-855345</wp:posOffset>
            </wp:positionH>
            <wp:positionV relativeFrom="paragraph">
              <wp:posOffset>-711835</wp:posOffset>
            </wp:positionV>
            <wp:extent cx="12363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36345" cy="8255"/>
                    </a:xfrm>
                    <a:prstGeom prst="rect">
                      <a:avLst/>
                    </a:prstGeom>
                    <a:noFill/>
                  </pic:spPr>
                </pic:pic>
              </a:graphicData>
            </a:graphic>
          </wp:anchor>
        </w:drawing>
        <w:drawing>
          <wp:anchor simplePos="0" relativeHeight="251657728" behindDoc="1" locked="0" layoutInCell="0" allowOverlap="1">
            <wp:simplePos x="0" y="0"/>
            <wp:positionH relativeFrom="column">
              <wp:posOffset>-855345</wp:posOffset>
            </wp:positionH>
            <wp:positionV relativeFrom="paragraph">
              <wp:posOffset>-859155</wp:posOffset>
            </wp:positionV>
            <wp:extent cx="12363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spacing w:after="0" w:line="778" w:lineRule="exact"/>
        <w:rPr>
          <w:sz w:val="20"/>
          <w:szCs w:val="20"/>
          <w:color w:val="auto"/>
        </w:rPr>
      </w:pPr>
    </w:p>
    <w:p>
      <w:pPr>
        <w:sectPr>
          <w:pgSz w:w="11900" w:h="16838" w:orient="portrait"/>
          <w:cols w:equalWidth="0" w:num="2">
            <w:col w:w="5440" w:space="720"/>
            <w:col w:w="5080"/>
          </w:cols>
          <w:pgMar w:left="320" w:top="740" w:right="339" w:bottom="1440" w:gutter="0" w:footer="0" w:header="0"/>
          <w:type w:val="continuous"/>
        </w:sectPr>
      </w:pPr>
    </w:p>
    <w:p>
      <w:pPr>
        <w:ind w:firstLine="619"/>
        <w:spacing w:after="0" w:line="237" w:lineRule="auto"/>
        <w:rPr>
          <w:sz w:val="20"/>
          <w:szCs w:val="20"/>
          <w:color w:val="auto"/>
        </w:rPr>
      </w:pPr>
      <w:r>
        <w:rPr>
          <w:rFonts w:ascii="Calibri" w:cs="Calibri" w:eastAsia="Calibri" w:hAnsi="Calibri"/>
          <w:sz w:val="17"/>
          <w:szCs w:val="17"/>
          <w:color w:val="auto"/>
        </w:rPr>
        <w:t>The following table represents the informaton regarding our derivatves which are included in Gain on derivatves, net in the accompanying consolidated statements of operatons and comprehensive income (loss) for the years ended December 31, 2023, December 31, 2022 and December 31, 2021.</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642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500" w:type="dxa"/>
            <w:vAlign w:val="bottom"/>
            <w:tcBorders>
              <w:bottom w:val="single" w:sz="8" w:color="auto"/>
            </w:tcBorders>
            <w:shd w:val="clear" w:color="auto" w:fill="E6EEFF"/>
          </w:tcPr>
          <w:p>
            <w:pPr>
              <w:spacing w:after="0"/>
              <w:rPr>
                <w:sz w:val="19"/>
                <w:szCs w:val="19"/>
                <w:color w:val="auto"/>
              </w:rPr>
            </w:pPr>
          </w:p>
        </w:tc>
        <w:tc>
          <w:tcPr>
            <w:tcW w:w="3180" w:type="dxa"/>
            <w:vAlign w:val="bottom"/>
            <w:tcBorders>
              <w:bottom w:val="single" w:sz="8" w:color="auto"/>
            </w:tcBorders>
            <w:gridSpan w:val="6"/>
            <w:shd w:val="clear" w:color="auto" w:fill="E6EEFF"/>
          </w:tcPr>
          <w:p>
            <w:pPr>
              <w:jc w:val="right"/>
              <w:ind w:right="374"/>
              <w:spacing w:after="0"/>
              <w:rPr>
                <w:sz w:val="20"/>
                <w:szCs w:val="20"/>
                <w:color w:val="auto"/>
              </w:rPr>
            </w:pPr>
            <w:r>
              <w:rPr>
                <w:rFonts w:ascii="Calibri" w:cs="Calibri" w:eastAsia="Calibri" w:hAnsi="Calibri"/>
                <w:sz w:val="17"/>
                <w:szCs w:val="17"/>
                <w:b w:val="1"/>
                <w:bCs w:val="1"/>
                <w:color w:val="1C4787"/>
              </w:rPr>
              <w:t>Income (Loss) Recognized</w:t>
            </w:r>
          </w:p>
        </w:tc>
        <w:tc>
          <w:tcPr>
            <w:tcW w:w="1000" w:type="dxa"/>
            <w:vAlign w:val="bottom"/>
            <w:tcBorders>
              <w:bottom w:val="single" w:sz="8" w:color="auto"/>
            </w:tcBorders>
            <w:shd w:val="clear" w:color="auto" w:fill="E6EEFF"/>
          </w:tcPr>
          <w:p>
            <w:pPr>
              <w:spacing w:after="0"/>
              <w:rPr>
                <w:sz w:val="19"/>
                <w:szCs w:val="19"/>
                <w:color w:val="auto"/>
              </w:rPr>
            </w:pPr>
          </w:p>
        </w:tc>
      </w:tr>
      <w:tr>
        <w:trPr>
          <w:trHeight w:val="205"/>
        </w:trPr>
        <w:tc>
          <w:tcPr>
            <w:tcW w:w="6420" w:type="dxa"/>
            <w:vAlign w:val="bottom"/>
            <w:tcBorders>
              <w:bottom w:val="single" w:sz="8" w:color="E6EEFF"/>
            </w:tcBorders>
          </w:tcPr>
          <w:p>
            <w:pPr>
              <w:spacing w:after="0"/>
              <w:rPr>
                <w:sz w:val="17"/>
                <w:szCs w:val="17"/>
                <w:color w:val="auto"/>
              </w:rPr>
            </w:pPr>
          </w:p>
        </w:tc>
        <w:tc>
          <w:tcPr>
            <w:tcW w:w="120" w:type="dxa"/>
            <w:vAlign w:val="bottom"/>
            <w:tcBorders>
              <w:bottom w:val="single" w:sz="8" w:color="E6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20"/>
              <w:spacing w:after="0" w:line="205" w:lineRule="exact"/>
              <w:rPr>
                <w:sz w:val="20"/>
                <w:szCs w:val="20"/>
                <w:color w:val="auto"/>
              </w:rPr>
            </w:pPr>
            <w:r>
              <w:rPr>
                <w:rFonts w:ascii="Calibri" w:cs="Calibri" w:eastAsia="Calibri" w:hAnsi="Calibri"/>
                <w:sz w:val="17"/>
                <w:szCs w:val="17"/>
                <w:b w:val="1"/>
                <w:bCs w:val="1"/>
                <w:color w:val="1C4787"/>
              </w:rPr>
              <w:t>For the Years Ended</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19"/>
        </w:trPr>
        <w:tc>
          <w:tcPr>
            <w:tcW w:w="6540" w:type="dxa"/>
            <w:vAlign w:val="bottom"/>
            <w:gridSpan w:val="2"/>
            <w:shd w:val="clear" w:color="auto" w:fill="E6EEFF"/>
          </w:tcPr>
          <w:p>
            <w:pPr>
              <w:ind w:left="20"/>
              <w:spacing w:after="0" w:line="197" w:lineRule="exact"/>
              <w:rPr>
                <w:sz w:val="20"/>
                <w:szCs w:val="20"/>
                <w:color w:val="auto"/>
              </w:rPr>
            </w:pPr>
            <w:r>
              <w:rPr>
                <w:rFonts w:ascii="Calibri" w:cs="Calibri" w:eastAsia="Calibri" w:hAnsi="Calibri"/>
                <w:sz w:val="17"/>
                <w:szCs w:val="17"/>
                <w:b w:val="1"/>
                <w:bCs w:val="1"/>
                <w:color w:val="1C4787"/>
              </w:rPr>
              <w:t>Derivatves</w:t>
            </w:r>
          </w:p>
        </w:tc>
        <w:tc>
          <w:tcPr>
            <w:tcW w:w="1620" w:type="dxa"/>
            <w:vAlign w:val="bottom"/>
            <w:gridSpan w:val="3"/>
            <w:shd w:val="clear" w:color="auto" w:fill="E6EEFF"/>
          </w:tcPr>
          <w:p>
            <w:pPr>
              <w:ind w:left="8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560" w:type="dxa"/>
            <w:vAlign w:val="bottom"/>
            <w:gridSpan w:val="3"/>
            <w:shd w:val="clear" w:color="auto" w:fill="E6EEFF"/>
          </w:tcPr>
          <w:p>
            <w:pPr>
              <w:ind w:left="4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500" w:type="dxa"/>
            <w:vAlign w:val="bottom"/>
            <w:gridSpan w:val="2"/>
            <w:shd w:val="clear" w:color="auto" w:fill="E6EEFF"/>
          </w:tcPr>
          <w:p>
            <w:pPr>
              <w:jc w:val="right"/>
              <w:spacing w:after="0" w:line="205" w:lineRule="exact"/>
              <w:rPr>
                <w:sz w:val="20"/>
                <w:szCs w:val="20"/>
                <w:color w:val="auto"/>
              </w:rPr>
            </w:pPr>
            <w:r>
              <w:rPr>
                <w:rFonts w:ascii="Calibri" w:cs="Calibri" w:eastAsia="Calibri" w:hAnsi="Calibri"/>
                <w:sz w:val="17"/>
                <w:szCs w:val="17"/>
                <w:b w:val="1"/>
                <w:bCs w:val="1"/>
                <w:color w:val="1C4787"/>
              </w:rPr>
              <w:t>December 31, 2021</w:t>
            </w:r>
          </w:p>
        </w:tc>
      </w:tr>
      <w:tr>
        <w:trPr>
          <w:trHeight w:val="212"/>
        </w:trPr>
        <w:tc>
          <w:tcPr>
            <w:tcW w:w="6420" w:type="dxa"/>
            <w:vAlign w:val="bottom"/>
            <w:tcBorders>
              <w:top w:val="single" w:sz="8" w:color="auto"/>
            </w:tcBorders>
          </w:tcPr>
          <w:p>
            <w:pPr>
              <w:ind w:left="120"/>
              <w:spacing w:after="0" w:line="212" w:lineRule="exact"/>
              <w:rPr>
                <w:sz w:val="20"/>
                <w:szCs w:val="20"/>
                <w:color w:val="auto"/>
              </w:rPr>
            </w:pPr>
            <w:r>
              <w:rPr>
                <w:rFonts w:ascii="Calibri" w:cs="Calibri" w:eastAsia="Calibri" w:hAnsi="Calibri"/>
                <w:sz w:val="17"/>
                <w:szCs w:val="17"/>
                <w:color w:val="auto"/>
              </w:rPr>
              <w:t xml:space="preserve">Interest rate swap contracts </w:t>
            </w:r>
            <w:r>
              <w:rPr>
                <w:rFonts w:ascii="Calibri" w:cs="Calibri" w:eastAsia="Calibri" w:hAnsi="Calibri"/>
                <w:sz w:val="22"/>
                <w:szCs w:val="22"/>
                <w:color w:val="auto"/>
                <w:vertAlign w:val="superscript"/>
              </w:rPr>
              <w:t>(1)</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Borders>
              <w:top w:val="single" w:sz="8" w:color="auto"/>
            </w:tcBorders>
          </w:tcPr>
          <w:p>
            <w:pPr>
              <w:jc w:val="center"/>
              <w:ind w:left="314"/>
              <w:spacing w:after="0" w:line="205" w:lineRule="exact"/>
              <w:rPr>
                <w:sz w:val="20"/>
                <w:szCs w:val="20"/>
                <w:color w:val="auto"/>
              </w:rPr>
            </w:pPr>
            <w:r>
              <w:rPr>
                <w:rFonts w:ascii="Calibri" w:cs="Calibri" w:eastAsia="Calibri" w:hAnsi="Calibri"/>
                <w:sz w:val="17"/>
                <w:szCs w:val="17"/>
                <w:color w:val="auto"/>
              </w:rPr>
              <w:t>58,300</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line="205" w:lineRule="exact"/>
              <w:rPr>
                <w:sz w:val="20"/>
                <w:szCs w:val="20"/>
                <w:color w:val="auto"/>
              </w:rPr>
            </w:pPr>
            <w:r>
              <w:rPr>
                <w:rFonts w:ascii="Calibri" w:cs="Calibri" w:eastAsia="Calibri" w:hAnsi="Calibri"/>
                <w:sz w:val="17"/>
                <w:szCs w:val="17"/>
                <w:color w:val="auto"/>
              </w:rPr>
              <w:t>$</w:t>
            </w:r>
          </w:p>
        </w:tc>
        <w:tc>
          <w:tcPr>
            <w:tcW w:w="102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852,913</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73,837</w:t>
            </w:r>
          </w:p>
        </w:tc>
      </w:tr>
      <w:tr>
        <w:trPr>
          <w:trHeight w:val="219"/>
        </w:trPr>
        <w:tc>
          <w:tcPr>
            <w:tcW w:w="6540" w:type="dxa"/>
            <w:vAlign w:val="bottom"/>
            <w:gridSpan w:val="2"/>
            <w:shd w:val="clear" w:color="auto" w:fill="E6EEFF"/>
          </w:tcPr>
          <w:p>
            <w:pPr>
              <w:ind w:left="120"/>
              <w:spacing w:after="0" w:line="205" w:lineRule="exact"/>
              <w:rPr>
                <w:sz w:val="20"/>
                <w:szCs w:val="20"/>
                <w:color w:val="auto"/>
              </w:rPr>
            </w:pPr>
            <w:r>
              <w:rPr>
                <w:rFonts w:ascii="Calibri" w:cs="Calibri" w:eastAsia="Calibri" w:hAnsi="Calibri"/>
                <w:sz w:val="17"/>
                <w:szCs w:val="17"/>
                <w:color w:val="auto"/>
              </w:rPr>
              <w:t>Futures contracts</w:t>
            </w:r>
          </w:p>
        </w:tc>
        <w:tc>
          <w:tcPr>
            <w:tcW w:w="500" w:type="dxa"/>
            <w:vAlign w:val="bottom"/>
            <w:shd w:val="clear" w:color="auto" w:fill="E6EEFF"/>
          </w:tcPr>
          <w:p>
            <w:pPr>
              <w:spacing w:after="0"/>
              <w:rPr>
                <w:sz w:val="19"/>
                <w:szCs w:val="19"/>
                <w:color w:val="auto"/>
              </w:rPr>
            </w:pPr>
          </w:p>
        </w:tc>
        <w:tc>
          <w:tcPr>
            <w:tcW w:w="1000" w:type="dxa"/>
            <w:vAlign w:val="bottom"/>
            <w:shd w:val="clear" w:color="auto" w:fill="E6EEFF"/>
          </w:tcPr>
          <w:p>
            <w:pPr>
              <w:jc w:val="center"/>
              <w:ind w:left="274"/>
              <w:spacing w:after="0" w:line="205" w:lineRule="exact"/>
              <w:rPr>
                <w:sz w:val="20"/>
                <w:szCs w:val="20"/>
                <w:color w:val="auto"/>
              </w:rPr>
            </w:pPr>
            <w:r>
              <w:rPr>
                <w:rFonts w:ascii="Calibri" w:cs="Calibri" w:eastAsia="Calibri" w:hAnsi="Calibri"/>
                <w:sz w:val="17"/>
                <w:szCs w:val="17"/>
                <w:color w:val="auto"/>
                <w:w w:val="97"/>
              </w:rPr>
              <w:t>(30,645)</w:t>
            </w:r>
          </w:p>
        </w:tc>
        <w:tc>
          <w:tcPr>
            <w:tcW w:w="120" w:type="dxa"/>
            <w:vAlign w:val="bottom"/>
            <w:shd w:val="clear" w:color="auto" w:fill="E6EEFF"/>
          </w:tcPr>
          <w:p>
            <w:pPr>
              <w:spacing w:after="0"/>
              <w:rPr>
                <w:sz w:val="19"/>
                <w:szCs w:val="19"/>
                <w:color w:val="auto"/>
              </w:rPr>
            </w:pPr>
          </w:p>
        </w:tc>
        <w:tc>
          <w:tcPr>
            <w:tcW w:w="420" w:type="dxa"/>
            <w:vAlign w:val="bottom"/>
            <w:shd w:val="clear" w:color="auto" w:fill="E6EEFF"/>
          </w:tcPr>
          <w:p>
            <w:pPr>
              <w:spacing w:after="0"/>
              <w:rPr>
                <w:sz w:val="19"/>
                <w:szCs w:val="19"/>
                <w:color w:val="auto"/>
              </w:rPr>
            </w:pPr>
          </w:p>
        </w:tc>
        <w:tc>
          <w:tcPr>
            <w:tcW w:w="102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95,509</w:t>
            </w:r>
          </w:p>
        </w:tc>
        <w:tc>
          <w:tcPr>
            <w:tcW w:w="120" w:type="dxa"/>
            <w:vAlign w:val="bottom"/>
            <w:shd w:val="clear" w:color="auto" w:fill="E6EEFF"/>
          </w:tcPr>
          <w:p>
            <w:pPr>
              <w:spacing w:after="0"/>
              <w:rPr>
                <w:sz w:val="19"/>
                <w:szCs w:val="19"/>
                <w:color w:val="auto"/>
              </w:rPr>
            </w:pPr>
          </w:p>
        </w:tc>
        <w:tc>
          <w:tcPr>
            <w:tcW w:w="50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w:t>
            </w:r>
          </w:p>
        </w:tc>
      </w:tr>
      <w:tr>
        <w:trPr>
          <w:trHeight w:val="212"/>
        </w:trPr>
        <w:tc>
          <w:tcPr>
            <w:tcW w:w="6540" w:type="dxa"/>
            <w:vAlign w:val="bottom"/>
            <w:tcBorders>
              <w:bottom w:val="single" w:sz="8" w:color="E6EEFF"/>
            </w:tcBorders>
            <w:gridSpan w:val="2"/>
          </w:tcPr>
          <w:p>
            <w:pPr>
              <w:ind w:left="120"/>
              <w:spacing w:after="0" w:line="205" w:lineRule="exact"/>
              <w:rPr>
                <w:sz w:val="20"/>
                <w:szCs w:val="20"/>
                <w:color w:val="auto"/>
              </w:rPr>
            </w:pPr>
            <w:r>
              <w:rPr>
                <w:rFonts w:ascii="Calibri" w:cs="Calibri" w:eastAsia="Calibri" w:hAnsi="Calibri"/>
                <w:sz w:val="17"/>
                <w:szCs w:val="17"/>
                <w:color w:val="auto"/>
              </w:rPr>
              <w:t>TBA Agency Securites</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314"/>
              <w:spacing w:after="0" w:line="205" w:lineRule="exact"/>
              <w:rPr>
                <w:sz w:val="20"/>
                <w:szCs w:val="20"/>
                <w:color w:val="auto"/>
              </w:rPr>
            </w:pPr>
            <w:r>
              <w:rPr>
                <w:rFonts w:ascii="Calibri" w:cs="Calibri" w:eastAsia="Calibri" w:hAnsi="Calibri"/>
                <w:sz w:val="17"/>
                <w:szCs w:val="17"/>
                <w:color w:val="auto"/>
              </w:rPr>
              <w:t>24,093</w:t>
            </w:r>
          </w:p>
        </w:tc>
        <w:tc>
          <w:tcPr>
            <w:tcW w:w="120" w:type="dxa"/>
            <w:vAlign w:val="bottom"/>
            <w:tcBorders>
              <w:bottom w:val="single" w:sz="8" w:color="E6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(137,614)</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(21,346)</w:t>
            </w:r>
          </w:p>
        </w:tc>
      </w:tr>
      <w:tr>
        <w:trPr>
          <w:trHeight w:val="244"/>
        </w:trPr>
        <w:tc>
          <w:tcPr>
            <w:tcW w:w="6540" w:type="dxa"/>
            <w:vAlign w:val="bottom"/>
            <w:tcBorders>
              <w:bottom w:val="single" w:sz="8" w:color="E6EEFF"/>
            </w:tcBorders>
            <w:gridSpan w:val="2"/>
            <w:shd w:val="clear" w:color="auto" w:fill="E6EEFF"/>
          </w:tcPr>
          <w:p>
            <w:pPr>
              <w:ind w:left="20"/>
              <w:spacing w:after="0"/>
              <w:rPr>
                <w:sz w:val="20"/>
                <w:szCs w:val="20"/>
                <w:color w:val="auto"/>
              </w:rPr>
            </w:pPr>
            <w:r>
              <w:rPr>
                <w:rFonts w:ascii="Calibri" w:cs="Calibri" w:eastAsia="Calibri" w:hAnsi="Calibri"/>
                <w:sz w:val="17"/>
                <w:szCs w:val="17"/>
                <w:b w:val="1"/>
                <w:bCs w:val="1"/>
                <w:color w:val="1C4787"/>
              </w:rPr>
              <w:t>Total Gain on Derivatves, net</w:t>
            </w:r>
          </w:p>
        </w:tc>
        <w:tc>
          <w:tcPr>
            <w:tcW w:w="500" w:type="dxa"/>
            <w:vAlign w:val="bottom"/>
            <w:tcBorders>
              <w:bottom w:val="single" w:sz="8" w:color="auto"/>
            </w:tcBorders>
            <w:shd w:val="clear" w:color="auto" w:fill="E6EEFF"/>
          </w:tcPr>
          <w:p>
            <w:pPr>
              <w:jc w:val="right"/>
              <w:ind w:right="31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Borders>
              <w:bottom w:val="single" w:sz="8" w:color="auto"/>
            </w:tcBorders>
            <w:shd w:val="clear" w:color="auto" w:fill="E6EEFF"/>
          </w:tcPr>
          <w:p>
            <w:pPr>
              <w:jc w:val="center"/>
              <w:ind w:left="314"/>
              <w:spacing w:after="0" w:line="205" w:lineRule="exact"/>
              <w:rPr>
                <w:sz w:val="20"/>
                <w:szCs w:val="20"/>
                <w:color w:val="auto"/>
              </w:rPr>
            </w:pPr>
            <w:r>
              <w:rPr>
                <w:rFonts w:ascii="Calibri" w:cs="Calibri" w:eastAsia="Calibri" w:hAnsi="Calibri"/>
                <w:sz w:val="17"/>
                <w:szCs w:val="17"/>
                <w:color w:val="auto"/>
              </w:rPr>
              <w:t>51,748</w:t>
            </w:r>
          </w:p>
        </w:tc>
        <w:tc>
          <w:tcPr>
            <w:tcW w:w="120" w:type="dxa"/>
            <w:vAlign w:val="bottom"/>
            <w:tcBorders>
              <w:bottom w:val="single" w:sz="8" w:color="E6EEFF"/>
            </w:tcBorders>
            <w:shd w:val="clear" w:color="auto" w:fill="E6EEFF"/>
          </w:tcPr>
          <w:p>
            <w:pPr>
              <w:spacing w:after="0"/>
              <w:rPr>
                <w:sz w:val="20"/>
                <w:szCs w:val="20"/>
                <w:color w:val="auto"/>
              </w:rPr>
            </w:pPr>
          </w:p>
        </w:tc>
        <w:tc>
          <w:tcPr>
            <w:tcW w:w="420" w:type="dxa"/>
            <w:vAlign w:val="bottom"/>
            <w:tcBorders>
              <w:bottom w:val="single" w:sz="8" w:color="auto"/>
            </w:tcBorders>
            <w:shd w:val="clear" w:color="auto" w:fill="E6EEFF"/>
          </w:tcPr>
          <w:p>
            <w:pPr>
              <w:spacing w:after="0" w:line="205" w:lineRule="exact"/>
              <w:rPr>
                <w:sz w:val="20"/>
                <w:szCs w:val="20"/>
                <w:color w:val="auto"/>
              </w:rPr>
            </w:pPr>
            <w:r>
              <w:rPr>
                <w:rFonts w:ascii="Calibri" w:cs="Calibri" w:eastAsia="Calibri" w:hAnsi="Calibri"/>
                <w:sz w:val="17"/>
                <w:szCs w:val="17"/>
                <w:color w:val="auto"/>
              </w:rPr>
              <w:t>$</w:t>
            </w:r>
          </w:p>
        </w:tc>
        <w:tc>
          <w:tcPr>
            <w:tcW w:w="102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810,808</w:t>
            </w:r>
          </w:p>
        </w:tc>
        <w:tc>
          <w:tcPr>
            <w:tcW w:w="120" w:type="dxa"/>
            <w:vAlign w:val="bottom"/>
            <w:tcBorders>
              <w:bottom w:val="single" w:sz="8" w:color="E6EEFF"/>
            </w:tcBorders>
            <w:shd w:val="clear" w:color="auto" w:fill="E6EEFF"/>
          </w:tcPr>
          <w:p>
            <w:pPr>
              <w:spacing w:after="0"/>
              <w:rPr>
                <w:sz w:val="20"/>
                <w:szCs w:val="20"/>
                <w:color w:val="auto"/>
              </w:rPr>
            </w:pPr>
          </w:p>
        </w:tc>
        <w:tc>
          <w:tcPr>
            <w:tcW w:w="500" w:type="dxa"/>
            <w:vAlign w:val="bottom"/>
            <w:tcBorders>
              <w:bottom w:val="single" w:sz="8" w:color="auto"/>
            </w:tcBorders>
            <w:shd w:val="clear" w:color="auto" w:fill="E6EEFF"/>
          </w:tcPr>
          <w:p>
            <w:pPr>
              <w:jc w:val="right"/>
              <w:ind w:right="31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52,493</w:t>
            </w:r>
          </w:p>
        </w:tc>
      </w:tr>
      <w:tr>
        <w:trPr>
          <w:trHeight w:val="20"/>
        </w:trPr>
        <w:tc>
          <w:tcPr>
            <w:tcW w:w="642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500" w:type="dxa"/>
            <w:vAlign w:val="bottom"/>
            <w:tcBorders>
              <w:top w:val="single" w:sz="8" w:color="E6EEFF"/>
              <w:bottom w:val="single" w:sz="8" w:color="auto"/>
            </w:tcBorders>
          </w:tcPr>
          <w:p>
            <w:pPr>
              <w:spacing w:after="0" w:line="20" w:lineRule="exact"/>
              <w:rPr>
                <w:sz w:val="1"/>
                <w:szCs w:val="1"/>
                <w:color w:val="auto"/>
              </w:rPr>
            </w:pPr>
          </w:p>
        </w:tc>
        <w:tc>
          <w:tcPr>
            <w:tcW w:w="100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420" w:type="dxa"/>
            <w:vAlign w:val="bottom"/>
            <w:tcBorders>
              <w:top w:val="single" w:sz="8" w:color="E6EEFF"/>
              <w:bottom w:val="single" w:sz="8" w:color="auto"/>
            </w:tcBorders>
          </w:tcPr>
          <w:p>
            <w:pPr>
              <w:spacing w:after="0" w:line="20" w:lineRule="exact"/>
              <w:rPr>
                <w:sz w:val="1"/>
                <w:szCs w:val="1"/>
                <w:color w:val="auto"/>
              </w:rPr>
            </w:pPr>
          </w:p>
        </w:tc>
        <w:tc>
          <w:tcPr>
            <w:tcW w:w="102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500" w:type="dxa"/>
            <w:vAlign w:val="bottom"/>
            <w:tcBorders>
              <w:top w:val="single" w:sz="8" w:color="E6EEFF"/>
              <w:bottom w:val="single" w:sz="8" w:color="auto"/>
            </w:tcBorders>
          </w:tcPr>
          <w:p>
            <w:pPr>
              <w:spacing w:after="0" w:line="20" w:lineRule="exact"/>
              <w:rPr>
                <w:sz w:val="1"/>
                <w:szCs w:val="1"/>
                <w:color w:val="auto"/>
              </w:rPr>
            </w:pPr>
          </w:p>
        </w:tc>
        <w:tc>
          <w:tcPr>
            <w:tcW w:w="1000" w:type="dxa"/>
            <w:vAlign w:val="bottom"/>
            <w:tcBorders>
              <w:top w:val="single" w:sz="8" w:color="E6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20" w:right="2880" w:hanging="617"/>
        <w:spacing w:after="0" w:line="471" w:lineRule="auto"/>
        <w:tabs>
          <w:tab w:leader="none" w:pos="304" w:val="left"/>
        </w:tabs>
        <w:numPr>
          <w:ilvl w:val="0"/>
          <w:numId w:val="37"/>
        </w:numPr>
        <w:rPr>
          <w:rFonts w:ascii="Calibri" w:cs="Calibri" w:eastAsia="Calibri" w:hAnsi="Calibri"/>
          <w:sz w:val="16"/>
          <w:szCs w:val="16"/>
          <w:color w:val="auto"/>
        </w:rPr>
      </w:pPr>
      <w:r>
        <w:rPr>
          <w:rFonts w:ascii="Calibri" w:cs="Calibri" w:eastAsia="Calibri" w:hAnsi="Calibri"/>
          <w:sz w:val="16"/>
          <w:szCs w:val="16"/>
          <w:color w:val="auto"/>
        </w:rPr>
        <w:t>Includes $36,547 of centrally-cleared interest rate swap contracts, entered into for the year ended December 31, 2023. The following tables present informaton about our derivatves at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1036320</wp:posOffset>
            </wp:positionV>
            <wp:extent cx="716407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312420</wp:posOffset>
            </wp:positionV>
            <wp:extent cx="458470" cy="5073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96" w:name="page97"/>
    <w:bookmarkEnd w:id="96"/>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tbl>
      <w:tblPr>
        <w:tblLayout w:type="fixed"/>
        <w:tblInd w:w="20" w:type="dxa"/>
        <w:tblCellMar>
          <w:top w:w="0" w:type="dxa"/>
          <w:left w:w="0" w:type="dxa"/>
          <w:bottom w:w="0" w:type="dxa"/>
          <w:right w:w="0" w:type="dxa"/>
        </w:tblCellMar>
      </w:tblPr>
      <w:tr>
        <w:trPr>
          <w:trHeight w:val="206"/>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right"/>
              <w:spacing w:after="0" w:line="206" w:lineRule="exact"/>
              <w:rPr>
                <w:sz w:val="20"/>
                <w:szCs w:val="20"/>
                <w:color w:val="auto"/>
              </w:rPr>
            </w:pPr>
            <w:r>
              <w:rPr>
                <w:rFonts w:ascii="Calibri" w:cs="Calibri" w:eastAsia="Calibri" w:hAnsi="Calibri"/>
                <w:sz w:val="17"/>
                <w:szCs w:val="17"/>
                <w:color w:val="1C4787"/>
              </w:rPr>
              <w:t>95</w:t>
            </w:r>
          </w:p>
        </w:tc>
      </w:tr>
      <w:tr>
        <w:trPr>
          <w:trHeight w:val="564"/>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72"/>
        </w:trPr>
        <w:tc>
          <w:tcPr>
            <w:tcW w:w="518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300" w:type="dxa"/>
            <w:vAlign w:val="bottom"/>
            <w:shd w:val="clear" w:color="auto" w:fill="E6EEFF"/>
          </w:tcPr>
          <w:p>
            <w:pPr>
              <w:spacing w:after="0"/>
              <w:rPr>
                <w:sz w:val="14"/>
                <w:szCs w:val="14"/>
                <w:color w:val="auto"/>
              </w:rPr>
            </w:pPr>
          </w:p>
        </w:tc>
        <w:tc>
          <w:tcPr>
            <w:tcW w:w="194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780" w:type="dxa"/>
            <w:vAlign w:val="bottom"/>
            <w:gridSpan w:val="2"/>
            <w:shd w:val="clear" w:color="auto" w:fill="E6EEFF"/>
          </w:tcPr>
          <w:p>
            <w:pPr>
              <w:jc w:val="center"/>
              <w:ind w:right="120"/>
              <w:spacing w:after="0" w:line="173" w:lineRule="exact"/>
              <w:rPr>
                <w:sz w:val="20"/>
                <w:szCs w:val="20"/>
                <w:color w:val="auto"/>
              </w:rPr>
            </w:pPr>
            <w:r>
              <w:rPr>
                <w:rFonts w:ascii="Calibri" w:cs="Calibri" w:eastAsia="Calibri" w:hAnsi="Calibri"/>
                <w:sz w:val="17"/>
                <w:szCs w:val="17"/>
                <w:b w:val="1"/>
                <w:bCs w:val="1"/>
                <w:color w:val="1C4787"/>
                <w:w w:val="96"/>
              </w:rPr>
              <w:t>Weighted Average</w:t>
            </w:r>
          </w:p>
        </w:tc>
        <w:tc>
          <w:tcPr>
            <w:tcW w:w="1780" w:type="dxa"/>
            <w:vAlign w:val="bottom"/>
            <w:shd w:val="clear" w:color="auto" w:fill="E6EEFF"/>
          </w:tcPr>
          <w:p>
            <w:pPr>
              <w:spacing w:after="0"/>
              <w:rPr>
                <w:sz w:val="14"/>
                <w:szCs w:val="14"/>
                <w:color w:val="auto"/>
              </w:rPr>
            </w:pPr>
          </w:p>
        </w:tc>
      </w:tr>
      <w:tr>
        <w:trPr>
          <w:trHeight w:val="168"/>
        </w:trPr>
        <w:tc>
          <w:tcPr>
            <w:tcW w:w="518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300" w:type="dxa"/>
            <w:vAlign w:val="bottom"/>
            <w:shd w:val="clear" w:color="auto" w:fill="E6EEFF"/>
          </w:tcPr>
          <w:p>
            <w:pPr>
              <w:spacing w:after="0"/>
              <w:rPr>
                <w:sz w:val="14"/>
                <w:szCs w:val="14"/>
                <w:color w:val="auto"/>
              </w:rPr>
            </w:pPr>
          </w:p>
        </w:tc>
        <w:tc>
          <w:tcPr>
            <w:tcW w:w="194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780" w:type="dxa"/>
            <w:vAlign w:val="bottom"/>
            <w:gridSpan w:val="2"/>
            <w:shd w:val="clear" w:color="auto" w:fill="E6EEFF"/>
          </w:tcPr>
          <w:p>
            <w:pPr>
              <w:jc w:val="center"/>
              <w:ind w:right="120"/>
              <w:spacing w:after="0" w:line="167" w:lineRule="exact"/>
              <w:rPr>
                <w:sz w:val="20"/>
                <w:szCs w:val="20"/>
                <w:color w:val="auto"/>
              </w:rPr>
            </w:pPr>
            <w:r>
              <w:rPr>
                <w:rFonts w:ascii="Calibri" w:cs="Calibri" w:eastAsia="Calibri" w:hAnsi="Calibri"/>
                <w:sz w:val="17"/>
                <w:szCs w:val="17"/>
                <w:b w:val="1"/>
                <w:bCs w:val="1"/>
                <w:color w:val="1C4787"/>
                <w:w w:val="98"/>
              </w:rPr>
              <w:t>Remaining Term</w:t>
            </w:r>
          </w:p>
        </w:tc>
        <w:tc>
          <w:tcPr>
            <w:tcW w:w="1780" w:type="dxa"/>
            <w:vAlign w:val="bottom"/>
            <w:shd w:val="clear" w:color="auto" w:fill="E6EEFF"/>
          </w:tcPr>
          <w:p>
            <w:pPr>
              <w:spacing w:after="0"/>
              <w:rPr>
                <w:sz w:val="14"/>
                <w:szCs w:val="14"/>
                <w:color w:val="auto"/>
              </w:rPr>
            </w:pPr>
          </w:p>
        </w:tc>
      </w:tr>
      <w:tr>
        <w:trPr>
          <w:trHeight w:val="227"/>
        </w:trPr>
        <w:tc>
          <w:tcPr>
            <w:tcW w:w="5300" w:type="dxa"/>
            <w:vAlign w:val="bottom"/>
            <w:gridSpan w:val="2"/>
            <w:shd w:val="clear" w:color="auto" w:fill="E6EEFF"/>
          </w:tcPr>
          <w:p>
            <w:pPr>
              <w:ind w:left="20"/>
              <w:spacing w:after="0" w:line="228" w:lineRule="exact"/>
              <w:rPr>
                <w:sz w:val="20"/>
                <w:szCs w:val="20"/>
                <w:color w:val="auto"/>
              </w:rPr>
            </w:pPr>
            <w:r>
              <w:rPr>
                <w:rFonts w:ascii="Calibri" w:cs="Calibri" w:eastAsia="Calibri" w:hAnsi="Calibri"/>
                <w:sz w:val="17"/>
                <w:szCs w:val="17"/>
                <w:b w:val="1"/>
                <w:bCs w:val="1"/>
                <w:color w:val="1C4787"/>
              </w:rPr>
              <w:t xml:space="preserve">Interest Rate Swaps </w:t>
            </w:r>
            <w:r>
              <w:rPr>
                <w:rFonts w:ascii="Calibri" w:cs="Calibri" w:eastAsia="Calibri" w:hAnsi="Calibri"/>
                <w:sz w:val="22"/>
                <w:szCs w:val="22"/>
                <w:b w:val="1"/>
                <w:bCs w:val="1"/>
                <w:color w:val="1C4787"/>
                <w:vertAlign w:val="superscript"/>
              </w:rPr>
              <w:t>(1)</w:t>
            </w:r>
          </w:p>
        </w:tc>
        <w:tc>
          <w:tcPr>
            <w:tcW w:w="300" w:type="dxa"/>
            <w:vAlign w:val="bottom"/>
            <w:shd w:val="clear" w:color="auto" w:fill="E6EEFF"/>
          </w:tcPr>
          <w:p>
            <w:pPr>
              <w:spacing w:after="0"/>
              <w:rPr>
                <w:sz w:val="19"/>
                <w:szCs w:val="19"/>
                <w:color w:val="auto"/>
              </w:rPr>
            </w:pPr>
          </w:p>
        </w:tc>
        <w:tc>
          <w:tcPr>
            <w:tcW w:w="1940" w:type="dxa"/>
            <w:vAlign w:val="bottom"/>
            <w:shd w:val="clear" w:color="auto" w:fill="E6EEFF"/>
          </w:tcPr>
          <w:p>
            <w:pPr>
              <w:jc w:val="right"/>
              <w:ind w:right="434"/>
              <w:spacing w:after="0" w:line="205" w:lineRule="exact"/>
              <w:rPr>
                <w:sz w:val="20"/>
                <w:szCs w:val="20"/>
                <w:color w:val="auto"/>
              </w:rPr>
            </w:pPr>
            <w:r>
              <w:rPr>
                <w:rFonts w:ascii="Calibri" w:cs="Calibri" w:eastAsia="Calibri" w:hAnsi="Calibri"/>
                <w:sz w:val="17"/>
                <w:szCs w:val="17"/>
                <w:b w:val="1"/>
                <w:bCs w:val="1"/>
                <w:color w:val="1C4787"/>
              </w:rPr>
              <w:t>Notonal Amount</w:t>
            </w:r>
          </w:p>
        </w:tc>
        <w:tc>
          <w:tcPr>
            <w:tcW w:w="120" w:type="dxa"/>
            <w:vAlign w:val="bottom"/>
            <w:shd w:val="clear" w:color="auto" w:fill="E6EEFF"/>
          </w:tcPr>
          <w:p>
            <w:pPr>
              <w:spacing w:after="0"/>
              <w:rPr>
                <w:sz w:val="19"/>
                <w:szCs w:val="19"/>
                <w:color w:val="auto"/>
              </w:rPr>
            </w:pPr>
          </w:p>
        </w:tc>
        <w:tc>
          <w:tcPr>
            <w:tcW w:w="1780" w:type="dxa"/>
            <w:vAlign w:val="bottom"/>
            <w:gridSpan w:val="2"/>
            <w:shd w:val="clear" w:color="auto" w:fill="E6EEFF"/>
          </w:tcPr>
          <w:p>
            <w:pPr>
              <w:jc w:val="center"/>
              <w:ind w:right="140"/>
              <w:spacing w:after="0" w:line="205" w:lineRule="exact"/>
              <w:rPr>
                <w:sz w:val="20"/>
                <w:szCs w:val="20"/>
                <w:color w:val="auto"/>
              </w:rPr>
            </w:pPr>
            <w:r>
              <w:rPr>
                <w:rFonts w:ascii="Calibri" w:cs="Calibri" w:eastAsia="Calibri" w:hAnsi="Calibri"/>
                <w:sz w:val="17"/>
                <w:szCs w:val="17"/>
                <w:b w:val="1"/>
                <w:bCs w:val="1"/>
                <w:color w:val="1C4787"/>
                <w:w w:val="97"/>
              </w:rPr>
              <w:t>(Months)</w:t>
            </w:r>
          </w:p>
        </w:tc>
        <w:tc>
          <w:tcPr>
            <w:tcW w:w="178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b w:val="1"/>
                <w:bCs w:val="1"/>
                <w:color w:val="1C4787"/>
              </w:rPr>
              <w:t>Weighted Average Rate</w:t>
            </w:r>
          </w:p>
        </w:tc>
      </w:tr>
      <w:tr>
        <w:trPr>
          <w:trHeight w:val="205"/>
        </w:trPr>
        <w:tc>
          <w:tcPr>
            <w:tcW w:w="5180" w:type="dxa"/>
            <w:vAlign w:val="bottom"/>
            <w:tcBorders>
              <w:top w:val="single" w:sz="8" w:color="auto"/>
              <w:bottom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20" w:type="dxa"/>
            <w:vAlign w:val="bottom"/>
            <w:tcBorders>
              <w:bottom w:val="single" w:sz="8" w:color="E6EEFF"/>
            </w:tcBorders>
          </w:tcPr>
          <w:p>
            <w:pPr>
              <w:spacing w:after="0"/>
              <w:rPr>
                <w:sz w:val="17"/>
                <w:szCs w:val="17"/>
                <w:color w:val="auto"/>
              </w:rPr>
            </w:pPr>
          </w:p>
        </w:tc>
        <w:tc>
          <w:tcPr>
            <w:tcW w:w="300" w:type="dxa"/>
            <w:vAlign w:val="bottom"/>
            <w:tcBorders>
              <w:top w:val="single" w:sz="8" w:color="auto"/>
              <w:bottom w:val="single" w:sz="8" w:color="E6EEFF"/>
            </w:tcBorders>
          </w:tcPr>
          <w:p>
            <w:pPr>
              <w:spacing w:after="0"/>
              <w:rPr>
                <w:sz w:val="17"/>
                <w:szCs w:val="17"/>
                <w:color w:val="auto"/>
              </w:rPr>
            </w:pPr>
          </w:p>
        </w:tc>
        <w:tc>
          <w:tcPr>
            <w:tcW w:w="1940" w:type="dxa"/>
            <w:vAlign w:val="bottom"/>
            <w:tcBorders>
              <w:top w:val="single" w:sz="8" w:color="auto"/>
              <w:bottom w:val="single" w:sz="8" w:color="E6EEFF"/>
            </w:tcBorders>
          </w:tcPr>
          <w:p>
            <w:pPr>
              <w:spacing w:after="0"/>
              <w:rPr>
                <w:sz w:val="17"/>
                <w:szCs w:val="17"/>
                <w:color w:val="auto"/>
              </w:rPr>
            </w:pPr>
          </w:p>
        </w:tc>
        <w:tc>
          <w:tcPr>
            <w:tcW w:w="120" w:type="dxa"/>
            <w:vAlign w:val="bottom"/>
            <w:tcBorders>
              <w:bottom w:val="single" w:sz="8" w:color="E6EEFF"/>
            </w:tcBorders>
          </w:tcPr>
          <w:p>
            <w:pPr>
              <w:spacing w:after="0"/>
              <w:rPr>
                <w:sz w:val="17"/>
                <w:szCs w:val="17"/>
                <w:color w:val="auto"/>
              </w:rPr>
            </w:pPr>
          </w:p>
        </w:tc>
        <w:tc>
          <w:tcPr>
            <w:tcW w:w="1660" w:type="dxa"/>
            <w:vAlign w:val="bottom"/>
            <w:tcBorders>
              <w:top w:val="single" w:sz="8" w:color="auto"/>
              <w:bottom w:val="single" w:sz="8" w:color="E6EEFF"/>
            </w:tcBorders>
          </w:tcPr>
          <w:p>
            <w:pPr>
              <w:spacing w:after="0"/>
              <w:rPr>
                <w:sz w:val="17"/>
                <w:szCs w:val="17"/>
                <w:color w:val="auto"/>
              </w:rPr>
            </w:pPr>
          </w:p>
        </w:tc>
        <w:tc>
          <w:tcPr>
            <w:tcW w:w="120" w:type="dxa"/>
            <w:vAlign w:val="bottom"/>
            <w:tcBorders>
              <w:bottom w:val="single" w:sz="8" w:color="E6EEFF"/>
            </w:tcBorders>
          </w:tcPr>
          <w:p>
            <w:pPr>
              <w:spacing w:after="0"/>
              <w:rPr>
                <w:sz w:val="17"/>
                <w:szCs w:val="17"/>
                <w:color w:val="auto"/>
              </w:rPr>
            </w:pPr>
          </w:p>
        </w:tc>
        <w:tc>
          <w:tcPr>
            <w:tcW w:w="1780" w:type="dxa"/>
            <w:vAlign w:val="bottom"/>
            <w:tcBorders>
              <w:top w:val="single" w:sz="8" w:color="auto"/>
              <w:bottom w:val="single" w:sz="8" w:color="E6EEFF"/>
            </w:tcBorders>
          </w:tcPr>
          <w:p>
            <w:pPr>
              <w:spacing w:after="0"/>
              <w:rPr>
                <w:sz w:val="17"/>
                <w:szCs w:val="17"/>
                <w:color w:val="auto"/>
              </w:rPr>
            </w:pPr>
          </w:p>
        </w:tc>
      </w:tr>
      <w:tr>
        <w:trPr>
          <w:trHeight w:val="219"/>
        </w:trPr>
        <w:tc>
          <w:tcPr>
            <w:tcW w:w="5180" w:type="dxa"/>
            <w:vAlign w:val="bottom"/>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&lt; 3 years</w:t>
            </w:r>
          </w:p>
        </w:tc>
        <w:tc>
          <w:tcPr>
            <w:tcW w:w="120" w:type="dxa"/>
            <w:vAlign w:val="bottom"/>
            <w:shd w:val="clear" w:color="auto" w:fill="E6EEFF"/>
          </w:tcPr>
          <w:p>
            <w:pPr>
              <w:spacing w:after="0"/>
              <w:rPr>
                <w:sz w:val="19"/>
                <w:szCs w:val="19"/>
                <w:color w:val="auto"/>
              </w:rPr>
            </w:pPr>
          </w:p>
        </w:tc>
        <w:tc>
          <w:tcPr>
            <w:tcW w:w="300" w:type="dxa"/>
            <w:vAlign w:val="bottom"/>
            <w:shd w:val="clear" w:color="auto" w:fill="E6EEFF"/>
          </w:tcPr>
          <w:p>
            <w:pPr>
              <w:jc w:val="right"/>
              <w:ind w:right="114"/>
              <w:spacing w:after="0" w:line="197" w:lineRule="exact"/>
              <w:rPr>
                <w:sz w:val="20"/>
                <w:szCs w:val="20"/>
                <w:color w:val="auto"/>
              </w:rPr>
            </w:pPr>
            <w:r>
              <w:rPr>
                <w:rFonts w:ascii="Calibri" w:cs="Calibri" w:eastAsia="Calibri" w:hAnsi="Calibri"/>
                <w:sz w:val="17"/>
                <w:szCs w:val="17"/>
                <w:color w:val="auto"/>
                <w:w w:val="92"/>
              </w:rPr>
              <w:t>$</w:t>
            </w:r>
          </w:p>
        </w:tc>
        <w:tc>
          <w:tcPr>
            <w:tcW w:w="1940" w:type="dxa"/>
            <w:vAlign w:val="bottom"/>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1,102,000</w:t>
            </w:r>
          </w:p>
        </w:tc>
        <w:tc>
          <w:tcPr>
            <w:tcW w:w="1780" w:type="dxa"/>
            <w:vAlign w:val="bottom"/>
            <w:gridSpan w:val="2"/>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18</w:t>
            </w:r>
          </w:p>
        </w:tc>
        <w:tc>
          <w:tcPr>
            <w:tcW w:w="120" w:type="dxa"/>
            <w:vAlign w:val="bottom"/>
            <w:shd w:val="clear" w:color="auto" w:fill="E6EEFF"/>
          </w:tcPr>
          <w:p>
            <w:pPr>
              <w:spacing w:after="0"/>
              <w:rPr>
                <w:sz w:val="19"/>
                <w:szCs w:val="19"/>
                <w:color w:val="auto"/>
              </w:rPr>
            </w:pPr>
          </w:p>
        </w:tc>
        <w:tc>
          <w:tcPr>
            <w:tcW w:w="1780" w:type="dxa"/>
            <w:vAlign w:val="bottom"/>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1.60 %</w:t>
            </w:r>
          </w:p>
        </w:tc>
      </w:tr>
      <w:tr>
        <w:trPr>
          <w:trHeight w:val="212"/>
        </w:trPr>
        <w:tc>
          <w:tcPr>
            <w:tcW w:w="530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 3 years and &lt; 5 years</w:t>
            </w:r>
          </w:p>
        </w:tc>
        <w:tc>
          <w:tcPr>
            <w:tcW w:w="300" w:type="dxa"/>
            <w:vAlign w:val="bottom"/>
          </w:tcPr>
          <w:p>
            <w:pPr>
              <w:spacing w:after="0"/>
              <w:rPr>
                <w:sz w:val="18"/>
                <w:szCs w:val="18"/>
                <w:color w:val="auto"/>
              </w:rPr>
            </w:pPr>
          </w:p>
        </w:tc>
        <w:tc>
          <w:tcPr>
            <w:tcW w:w="1940" w:type="dxa"/>
            <w:vAlign w:val="bottom"/>
          </w:tcPr>
          <w:p>
            <w:pPr>
              <w:jc w:val="right"/>
              <w:spacing w:after="0" w:line="205" w:lineRule="exact"/>
              <w:rPr>
                <w:sz w:val="20"/>
                <w:szCs w:val="20"/>
                <w:color w:val="auto"/>
              </w:rPr>
            </w:pPr>
            <w:r>
              <w:rPr>
                <w:rFonts w:ascii="Calibri" w:cs="Calibri" w:eastAsia="Calibri" w:hAnsi="Calibri"/>
                <w:sz w:val="17"/>
                <w:szCs w:val="17"/>
                <w:color w:val="auto"/>
              </w:rPr>
              <w:t>1,207,000</w:t>
            </w:r>
          </w:p>
        </w:tc>
        <w:tc>
          <w:tcPr>
            <w:tcW w:w="1780" w:type="dxa"/>
            <w:vAlign w:val="bottom"/>
            <w:gridSpan w:val="2"/>
          </w:tcPr>
          <w:p>
            <w:pPr>
              <w:jc w:val="right"/>
              <w:spacing w:after="0" w:line="205" w:lineRule="exact"/>
              <w:rPr>
                <w:sz w:val="20"/>
                <w:szCs w:val="20"/>
                <w:color w:val="auto"/>
              </w:rPr>
            </w:pPr>
            <w:r>
              <w:rPr>
                <w:rFonts w:ascii="Calibri" w:cs="Calibri" w:eastAsia="Calibri" w:hAnsi="Calibri"/>
                <w:sz w:val="17"/>
                <w:szCs w:val="17"/>
                <w:color w:val="auto"/>
              </w:rPr>
              <w:t>45</w:t>
            </w:r>
          </w:p>
        </w:tc>
        <w:tc>
          <w:tcPr>
            <w:tcW w:w="120" w:type="dxa"/>
            <w:vAlign w:val="bottom"/>
          </w:tcPr>
          <w:p>
            <w:pPr>
              <w:spacing w:after="0"/>
              <w:rPr>
                <w:sz w:val="18"/>
                <w:szCs w:val="18"/>
                <w:color w:val="auto"/>
              </w:rPr>
            </w:pPr>
          </w:p>
        </w:tc>
        <w:tc>
          <w:tcPr>
            <w:tcW w:w="1780" w:type="dxa"/>
            <w:vAlign w:val="bottom"/>
          </w:tcPr>
          <w:p>
            <w:pPr>
              <w:jc w:val="right"/>
              <w:spacing w:after="0" w:line="205" w:lineRule="exact"/>
              <w:rPr>
                <w:sz w:val="20"/>
                <w:szCs w:val="20"/>
                <w:color w:val="auto"/>
              </w:rPr>
            </w:pPr>
            <w:r>
              <w:rPr>
                <w:rFonts w:ascii="Calibri" w:cs="Calibri" w:eastAsia="Calibri" w:hAnsi="Calibri"/>
                <w:sz w:val="17"/>
                <w:szCs w:val="17"/>
                <w:color w:val="auto"/>
              </w:rPr>
              <w:t>2.06 %</w:t>
            </w:r>
          </w:p>
        </w:tc>
      </w:tr>
      <w:tr>
        <w:trPr>
          <w:trHeight w:val="226"/>
        </w:trPr>
        <w:tc>
          <w:tcPr>
            <w:tcW w:w="530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 5 years and &lt; 7 years</w:t>
            </w:r>
          </w:p>
        </w:tc>
        <w:tc>
          <w:tcPr>
            <w:tcW w:w="300" w:type="dxa"/>
            <w:vAlign w:val="bottom"/>
            <w:shd w:val="clear" w:color="auto" w:fill="E6EEFF"/>
          </w:tcPr>
          <w:p>
            <w:pPr>
              <w:spacing w:after="0"/>
              <w:rPr>
                <w:sz w:val="19"/>
                <w:szCs w:val="19"/>
                <w:color w:val="auto"/>
              </w:rPr>
            </w:pPr>
          </w:p>
        </w:tc>
        <w:tc>
          <w:tcPr>
            <w:tcW w:w="19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1,952,000</w:t>
            </w:r>
          </w:p>
        </w:tc>
        <w:tc>
          <w:tcPr>
            <w:tcW w:w="178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75</w:t>
            </w:r>
          </w:p>
        </w:tc>
        <w:tc>
          <w:tcPr>
            <w:tcW w:w="120" w:type="dxa"/>
            <w:vAlign w:val="bottom"/>
            <w:shd w:val="clear" w:color="auto" w:fill="E6EEFF"/>
          </w:tcPr>
          <w:p>
            <w:pPr>
              <w:spacing w:after="0"/>
              <w:rPr>
                <w:sz w:val="19"/>
                <w:szCs w:val="19"/>
                <w:color w:val="auto"/>
              </w:rPr>
            </w:pPr>
          </w:p>
        </w:tc>
        <w:tc>
          <w:tcPr>
            <w:tcW w:w="17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0.58 %</w:t>
            </w:r>
          </w:p>
        </w:tc>
      </w:tr>
      <w:tr>
        <w:trPr>
          <w:trHeight w:val="212"/>
        </w:trPr>
        <w:tc>
          <w:tcPr>
            <w:tcW w:w="5300" w:type="dxa"/>
            <w:vAlign w:val="bottom"/>
            <w:tcBorders>
              <w:bottom w:val="single" w:sz="8" w:color="E6EEFF"/>
            </w:tcBorders>
            <w:gridSpan w:val="2"/>
          </w:tcPr>
          <w:p>
            <w:pPr>
              <w:ind w:left="20"/>
              <w:spacing w:after="0" w:line="205" w:lineRule="exact"/>
              <w:rPr>
                <w:sz w:val="20"/>
                <w:szCs w:val="20"/>
                <w:color w:val="auto"/>
              </w:rPr>
            </w:pPr>
            <w:r>
              <w:rPr>
                <w:rFonts w:ascii="Calibri" w:cs="Calibri" w:eastAsia="Calibri" w:hAnsi="Calibri"/>
                <w:sz w:val="17"/>
                <w:szCs w:val="17"/>
                <w:color w:val="auto"/>
              </w:rPr>
              <w:t>≥ 7 years</w:t>
            </w:r>
          </w:p>
        </w:tc>
        <w:tc>
          <w:tcPr>
            <w:tcW w:w="3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2,525,000</w:t>
            </w:r>
          </w:p>
        </w:tc>
        <w:tc>
          <w:tcPr>
            <w:tcW w:w="1780" w:type="dxa"/>
            <w:vAlign w:val="bottom"/>
            <w:tcBorders>
              <w:bottom w:val="single" w:sz="8" w:color="E6EEFF"/>
            </w:tcBorders>
            <w:gridSpan w:val="2"/>
          </w:tcPr>
          <w:p>
            <w:pPr>
              <w:jc w:val="right"/>
              <w:spacing w:after="0" w:line="205" w:lineRule="exact"/>
              <w:rPr>
                <w:sz w:val="20"/>
                <w:szCs w:val="20"/>
                <w:color w:val="auto"/>
              </w:rPr>
            </w:pPr>
            <w:r>
              <w:rPr>
                <w:rFonts w:ascii="Calibri" w:cs="Calibri" w:eastAsia="Calibri" w:hAnsi="Calibri"/>
                <w:sz w:val="17"/>
                <w:szCs w:val="17"/>
                <w:color w:val="auto"/>
              </w:rPr>
              <w:t>95</w:t>
            </w:r>
          </w:p>
        </w:tc>
        <w:tc>
          <w:tcPr>
            <w:tcW w:w="120" w:type="dxa"/>
            <w:vAlign w:val="bottom"/>
            <w:tcBorders>
              <w:bottom w:val="single" w:sz="8" w:color="E6EEFF"/>
            </w:tcBorders>
          </w:tcPr>
          <w:p>
            <w:pPr>
              <w:spacing w:after="0"/>
              <w:rPr>
                <w:sz w:val="18"/>
                <w:szCs w:val="18"/>
                <w:color w:val="auto"/>
              </w:rPr>
            </w:pPr>
          </w:p>
        </w:tc>
        <w:tc>
          <w:tcPr>
            <w:tcW w:w="1780" w:type="dxa"/>
            <w:vAlign w:val="bottom"/>
            <w:tcBorders>
              <w:bottom w:val="single" w:sz="8" w:color="E6EEFF"/>
            </w:tcBorders>
          </w:tcPr>
          <w:p>
            <w:pPr>
              <w:jc w:val="right"/>
              <w:spacing w:after="0" w:line="205" w:lineRule="exact"/>
              <w:rPr>
                <w:sz w:val="20"/>
                <w:szCs w:val="20"/>
                <w:color w:val="auto"/>
              </w:rPr>
            </w:pPr>
            <w:r>
              <w:rPr>
                <w:rFonts w:ascii="Calibri" w:cs="Calibri" w:eastAsia="Calibri" w:hAnsi="Calibri"/>
                <w:sz w:val="17"/>
                <w:szCs w:val="17"/>
                <w:color w:val="auto"/>
              </w:rPr>
              <w:t>1.56 %</w:t>
            </w:r>
          </w:p>
        </w:tc>
      </w:tr>
      <w:tr>
        <w:trPr>
          <w:trHeight w:val="244"/>
        </w:trPr>
        <w:tc>
          <w:tcPr>
            <w:tcW w:w="5300" w:type="dxa"/>
            <w:vAlign w:val="bottom"/>
            <w:tcBorders>
              <w:bottom w:val="single" w:sz="8" w:color="E6EEFF"/>
            </w:tcBorders>
            <w:gridSpan w:val="2"/>
            <w:shd w:val="clear" w:color="auto" w:fill="E6EEFF"/>
          </w:tcPr>
          <w:p>
            <w:pPr>
              <w:ind w:left="20"/>
              <w:spacing w:after="0" w:line="219" w:lineRule="exact"/>
              <w:rPr>
                <w:sz w:val="20"/>
                <w:szCs w:val="20"/>
                <w:color w:val="auto"/>
              </w:rPr>
            </w:pPr>
            <w:r>
              <w:rPr>
                <w:rFonts w:ascii="Calibri" w:cs="Calibri" w:eastAsia="Calibri" w:hAnsi="Calibri"/>
                <w:sz w:val="17"/>
                <w:szCs w:val="17"/>
                <w:b w:val="1"/>
                <w:bCs w:val="1"/>
                <w:color w:val="1C4787"/>
              </w:rPr>
              <w:t xml:space="preserve">Total or Weighted Average </w:t>
            </w:r>
            <w:r>
              <w:rPr>
                <w:rFonts w:ascii="Calibri" w:cs="Calibri" w:eastAsia="Calibri" w:hAnsi="Calibri"/>
                <w:sz w:val="22"/>
                <w:szCs w:val="22"/>
                <w:b w:val="1"/>
                <w:bCs w:val="1"/>
                <w:color w:val="1C4787"/>
                <w:vertAlign w:val="superscript"/>
              </w:rPr>
              <w:t>(2)</w:t>
            </w:r>
          </w:p>
        </w:tc>
        <w:tc>
          <w:tcPr>
            <w:tcW w:w="300" w:type="dxa"/>
            <w:vAlign w:val="bottom"/>
            <w:tcBorders>
              <w:bottom w:val="single" w:sz="8" w:color="auto"/>
            </w:tcBorders>
            <w:shd w:val="clear" w:color="auto" w:fill="E6EEFF"/>
          </w:tcPr>
          <w:p>
            <w:pPr>
              <w:jc w:val="right"/>
              <w:ind w:right="114"/>
              <w:spacing w:after="0" w:line="205" w:lineRule="exact"/>
              <w:rPr>
                <w:sz w:val="20"/>
                <w:szCs w:val="20"/>
                <w:color w:val="auto"/>
              </w:rPr>
            </w:pPr>
            <w:r>
              <w:rPr>
                <w:rFonts w:ascii="Calibri" w:cs="Calibri" w:eastAsia="Calibri" w:hAnsi="Calibri"/>
                <w:sz w:val="17"/>
                <w:szCs w:val="17"/>
                <w:color w:val="auto"/>
                <w:w w:val="92"/>
              </w:rPr>
              <w:t>$</w:t>
            </w:r>
          </w:p>
        </w:tc>
        <w:tc>
          <w:tcPr>
            <w:tcW w:w="1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6,786,000</w:t>
            </w:r>
          </w:p>
        </w:tc>
        <w:tc>
          <w:tcPr>
            <w:tcW w:w="1780" w:type="dxa"/>
            <w:vAlign w:val="bottom"/>
            <w:tcBorders>
              <w:bottom w:val="single" w:sz="8" w:color="E6EEFF"/>
            </w:tcBorders>
            <w:gridSpan w:val="2"/>
            <w:shd w:val="clear" w:color="auto" w:fill="E6EEFF"/>
          </w:tcPr>
          <w:p>
            <w:pPr>
              <w:jc w:val="right"/>
              <w:spacing w:after="0"/>
              <w:rPr>
                <w:sz w:val="20"/>
                <w:szCs w:val="20"/>
                <w:color w:val="auto"/>
              </w:rPr>
            </w:pPr>
            <w:r>
              <w:rPr>
                <w:rFonts w:ascii="Calibri" w:cs="Calibri" w:eastAsia="Calibri" w:hAnsi="Calibri"/>
                <w:sz w:val="17"/>
                <w:szCs w:val="17"/>
                <w:color w:val="auto"/>
              </w:rPr>
              <w:t>68</w:t>
            </w:r>
          </w:p>
        </w:tc>
        <w:tc>
          <w:tcPr>
            <w:tcW w:w="120" w:type="dxa"/>
            <w:vAlign w:val="bottom"/>
            <w:tcBorders>
              <w:bottom w:val="single" w:sz="8" w:color="E6EEFF"/>
            </w:tcBorders>
            <w:shd w:val="clear" w:color="auto" w:fill="E6EEFF"/>
          </w:tcPr>
          <w:p>
            <w:pPr>
              <w:spacing w:after="0"/>
              <w:rPr>
                <w:sz w:val="20"/>
                <w:szCs w:val="20"/>
                <w:color w:val="auto"/>
              </w:rPr>
            </w:pPr>
          </w:p>
        </w:tc>
        <w:tc>
          <w:tcPr>
            <w:tcW w:w="178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1.37 %</w:t>
            </w:r>
          </w:p>
        </w:tc>
      </w:tr>
      <w:tr>
        <w:trPr>
          <w:trHeight w:val="20"/>
        </w:trPr>
        <w:tc>
          <w:tcPr>
            <w:tcW w:w="518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300" w:type="dxa"/>
            <w:vAlign w:val="bottom"/>
            <w:tcBorders>
              <w:top w:val="single" w:sz="8" w:color="E6EEFF"/>
              <w:bottom w:val="single" w:sz="8" w:color="auto"/>
            </w:tcBorders>
          </w:tcPr>
          <w:p>
            <w:pPr>
              <w:spacing w:after="0" w:line="20" w:lineRule="exact"/>
              <w:rPr>
                <w:sz w:val="1"/>
                <w:szCs w:val="1"/>
                <w:color w:val="auto"/>
              </w:rPr>
            </w:pPr>
          </w:p>
        </w:tc>
        <w:tc>
          <w:tcPr>
            <w:tcW w:w="194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66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780" w:type="dxa"/>
            <w:vAlign w:val="bottom"/>
            <w:tcBorders>
              <w:top w:val="single" w:sz="8" w:color="E6EEFF"/>
            </w:tcBorders>
          </w:tcPr>
          <w:p>
            <w:pPr>
              <w:spacing w:after="0" w:line="20" w:lineRule="exact"/>
              <w:rPr>
                <w:sz w:val="1"/>
                <w:szCs w:val="1"/>
                <w:color w:val="auto"/>
              </w:rPr>
            </w:pPr>
          </w:p>
        </w:tc>
      </w:tr>
      <w:tr>
        <w:trPr>
          <w:trHeight w:val="88"/>
        </w:trPr>
        <w:tc>
          <w:tcPr>
            <w:tcW w:w="5180" w:type="dxa"/>
            <w:vAlign w:val="bottom"/>
            <w:tcBorders>
              <w:bottom w:val="single" w:sz="8" w:color="auto"/>
            </w:tcBorders>
          </w:tcPr>
          <w:p>
            <w:pPr>
              <w:spacing w:after="0"/>
              <w:rPr>
                <w:sz w:val="7"/>
                <w:szCs w:val="7"/>
                <w:color w:val="auto"/>
              </w:rPr>
            </w:pPr>
          </w:p>
        </w:tc>
        <w:tc>
          <w:tcPr>
            <w:tcW w:w="120" w:type="dxa"/>
            <w:vAlign w:val="bottom"/>
            <w:tcBorders>
              <w:bottom w:val="single" w:sz="8" w:color="E6EEFF"/>
            </w:tcBorders>
          </w:tcPr>
          <w:p>
            <w:pPr>
              <w:spacing w:after="0"/>
              <w:rPr>
                <w:sz w:val="7"/>
                <w:szCs w:val="7"/>
                <w:color w:val="auto"/>
              </w:rPr>
            </w:pPr>
          </w:p>
        </w:tc>
        <w:tc>
          <w:tcPr>
            <w:tcW w:w="300" w:type="dxa"/>
            <w:vAlign w:val="bottom"/>
            <w:tcBorders>
              <w:bottom w:val="single" w:sz="8" w:color="E6EEFF"/>
            </w:tcBorders>
          </w:tcPr>
          <w:p>
            <w:pPr>
              <w:spacing w:after="0"/>
              <w:rPr>
                <w:sz w:val="7"/>
                <w:szCs w:val="7"/>
                <w:color w:val="auto"/>
              </w:rPr>
            </w:pPr>
          </w:p>
        </w:tc>
        <w:tc>
          <w:tcPr>
            <w:tcW w:w="1940" w:type="dxa"/>
            <w:vAlign w:val="bottom"/>
            <w:tcBorders>
              <w:bottom w:val="single" w:sz="8" w:color="E6EEFF"/>
            </w:tcBorders>
          </w:tcPr>
          <w:p>
            <w:pPr>
              <w:spacing w:after="0"/>
              <w:rPr>
                <w:sz w:val="7"/>
                <w:szCs w:val="7"/>
                <w:color w:val="auto"/>
              </w:rPr>
            </w:pPr>
          </w:p>
        </w:tc>
        <w:tc>
          <w:tcPr>
            <w:tcW w:w="120" w:type="dxa"/>
            <w:vAlign w:val="bottom"/>
            <w:tcBorders>
              <w:bottom w:val="single" w:sz="8" w:color="E6EEFF"/>
            </w:tcBorders>
          </w:tcPr>
          <w:p>
            <w:pPr>
              <w:spacing w:after="0"/>
              <w:rPr>
                <w:sz w:val="7"/>
                <w:szCs w:val="7"/>
                <w:color w:val="auto"/>
              </w:rPr>
            </w:pPr>
          </w:p>
        </w:tc>
        <w:tc>
          <w:tcPr>
            <w:tcW w:w="1660" w:type="dxa"/>
            <w:vAlign w:val="bottom"/>
            <w:tcBorders>
              <w:bottom w:val="single" w:sz="8" w:color="E6EEFF"/>
            </w:tcBorders>
          </w:tcPr>
          <w:p>
            <w:pPr>
              <w:spacing w:after="0"/>
              <w:rPr>
                <w:sz w:val="7"/>
                <w:szCs w:val="7"/>
                <w:color w:val="auto"/>
              </w:rPr>
            </w:pPr>
          </w:p>
        </w:tc>
        <w:tc>
          <w:tcPr>
            <w:tcW w:w="120" w:type="dxa"/>
            <w:vAlign w:val="bottom"/>
            <w:tcBorders>
              <w:bottom w:val="single" w:sz="8" w:color="E6EEFF"/>
            </w:tcBorders>
          </w:tcPr>
          <w:p>
            <w:pPr>
              <w:spacing w:after="0"/>
              <w:rPr>
                <w:sz w:val="7"/>
                <w:szCs w:val="7"/>
                <w:color w:val="auto"/>
              </w:rPr>
            </w:pPr>
          </w:p>
        </w:tc>
        <w:tc>
          <w:tcPr>
            <w:tcW w:w="1780" w:type="dxa"/>
            <w:vAlign w:val="bottom"/>
            <w:tcBorders>
              <w:bottom w:val="single" w:sz="8" w:color="E6EEFF"/>
            </w:tcBorders>
          </w:tcPr>
          <w:p>
            <w:pPr>
              <w:spacing w:after="0"/>
              <w:rPr>
                <w:sz w:val="7"/>
                <w:szCs w:val="7"/>
                <w:color w:val="auto"/>
              </w:rPr>
            </w:pPr>
          </w:p>
        </w:tc>
      </w:tr>
      <w:tr>
        <w:trPr>
          <w:trHeight w:val="212"/>
        </w:trPr>
        <w:tc>
          <w:tcPr>
            <w:tcW w:w="5180" w:type="dxa"/>
            <w:vAlign w:val="bottom"/>
            <w:tcBorders>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20" w:type="dxa"/>
            <w:vAlign w:val="bottom"/>
            <w:shd w:val="clear" w:color="auto" w:fill="E6EEFF"/>
          </w:tcPr>
          <w:p>
            <w:pPr>
              <w:spacing w:after="0"/>
              <w:rPr>
                <w:sz w:val="18"/>
                <w:szCs w:val="18"/>
                <w:color w:val="auto"/>
              </w:rPr>
            </w:pPr>
          </w:p>
        </w:tc>
        <w:tc>
          <w:tcPr>
            <w:tcW w:w="300" w:type="dxa"/>
            <w:vAlign w:val="bottom"/>
            <w:shd w:val="clear" w:color="auto" w:fill="E6EEFF"/>
          </w:tcPr>
          <w:p>
            <w:pPr>
              <w:spacing w:after="0"/>
              <w:rPr>
                <w:sz w:val="18"/>
                <w:szCs w:val="18"/>
                <w:color w:val="auto"/>
              </w:rPr>
            </w:pPr>
          </w:p>
        </w:tc>
        <w:tc>
          <w:tcPr>
            <w:tcW w:w="194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166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1780" w:type="dxa"/>
            <w:vAlign w:val="bottom"/>
            <w:shd w:val="clear" w:color="auto" w:fill="E6EEFF"/>
          </w:tcPr>
          <w:p>
            <w:pPr>
              <w:spacing w:after="0"/>
              <w:rPr>
                <w:sz w:val="18"/>
                <w:szCs w:val="18"/>
                <w:color w:val="auto"/>
              </w:rPr>
            </w:pPr>
          </w:p>
        </w:tc>
      </w:tr>
      <w:tr>
        <w:trPr>
          <w:trHeight w:val="205"/>
        </w:trPr>
        <w:tc>
          <w:tcPr>
            <w:tcW w:w="5180" w:type="dxa"/>
            <w:vAlign w:val="bottom"/>
          </w:tcPr>
          <w:p>
            <w:pPr>
              <w:ind w:left="20"/>
              <w:spacing w:after="0" w:line="205" w:lineRule="exact"/>
              <w:rPr>
                <w:sz w:val="20"/>
                <w:szCs w:val="20"/>
                <w:color w:val="auto"/>
              </w:rPr>
            </w:pPr>
            <w:r>
              <w:rPr>
                <w:rFonts w:ascii="Calibri" w:cs="Calibri" w:eastAsia="Calibri" w:hAnsi="Calibri"/>
                <w:sz w:val="17"/>
                <w:szCs w:val="17"/>
                <w:color w:val="auto"/>
              </w:rPr>
              <w:t>&lt; 3 years</w:t>
            </w:r>
          </w:p>
        </w:tc>
        <w:tc>
          <w:tcPr>
            <w:tcW w:w="120" w:type="dxa"/>
            <w:vAlign w:val="bottom"/>
          </w:tcPr>
          <w:p>
            <w:pPr>
              <w:spacing w:after="0"/>
              <w:rPr>
                <w:sz w:val="17"/>
                <w:szCs w:val="17"/>
                <w:color w:val="auto"/>
              </w:rPr>
            </w:pPr>
          </w:p>
        </w:tc>
        <w:tc>
          <w:tcPr>
            <w:tcW w:w="300" w:type="dxa"/>
            <w:vAlign w:val="bottom"/>
          </w:tcPr>
          <w:p>
            <w:pPr>
              <w:jc w:val="right"/>
              <w:ind w:right="114"/>
              <w:spacing w:after="0" w:line="190" w:lineRule="exact"/>
              <w:rPr>
                <w:sz w:val="20"/>
                <w:szCs w:val="20"/>
                <w:color w:val="auto"/>
              </w:rPr>
            </w:pPr>
            <w:r>
              <w:rPr>
                <w:rFonts w:ascii="Calibri" w:cs="Calibri" w:eastAsia="Calibri" w:hAnsi="Calibri"/>
                <w:sz w:val="17"/>
                <w:szCs w:val="17"/>
                <w:color w:val="auto"/>
                <w:w w:val="92"/>
              </w:rPr>
              <w:t>$</w:t>
            </w:r>
          </w:p>
        </w:tc>
        <w:tc>
          <w:tcPr>
            <w:tcW w:w="1940" w:type="dxa"/>
            <w:vAlign w:val="bottom"/>
          </w:tcPr>
          <w:p>
            <w:pPr>
              <w:jc w:val="right"/>
              <w:spacing w:after="0" w:line="190" w:lineRule="exact"/>
              <w:rPr>
                <w:sz w:val="20"/>
                <w:szCs w:val="20"/>
                <w:color w:val="auto"/>
              </w:rPr>
            </w:pPr>
            <w:r>
              <w:rPr>
                <w:rFonts w:ascii="Calibri" w:cs="Calibri" w:eastAsia="Calibri" w:hAnsi="Calibri"/>
                <w:sz w:val="17"/>
                <w:szCs w:val="17"/>
                <w:color w:val="auto"/>
              </w:rPr>
              <w:t>1,066,000</w:t>
            </w:r>
          </w:p>
        </w:tc>
        <w:tc>
          <w:tcPr>
            <w:tcW w:w="1780" w:type="dxa"/>
            <w:vAlign w:val="bottom"/>
            <w:gridSpan w:val="2"/>
          </w:tcPr>
          <w:p>
            <w:pPr>
              <w:jc w:val="right"/>
              <w:spacing w:after="0" w:line="190" w:lineRule="exact"/>
              <w:rPr>
                <w:sz w:val="20"/>
                <w:szCs w:val="20"/>
                <w:color w:val="auto"/>
              </w:rPr>
            </w:pPr>
            <w:r>
              <w:rPr>
                <w:rFonts w:ascii="Calibri" w:cs="Calibri" w:eastAsia="Calibri" w:hAnsi="Calibri"/>
                <w:sz w:val="17"/>
                <w:szCs w:val="17"/>
                <w:color w:val="auto"/>
              </w:rPr>
              <w:t>10</w:t>
            </w:r>
          </w:p>
        </w:tc>
        <w:tc>
          <w:tcPr>
            <w:tcW w:w="120" w:type="dxa"/>
            <w:vAlign w:val="bottom"/>
          </w:tcPr>
          <w:p>
            <w:pPr>
              <w:spacing w:after="0"/>
              <w:rPr>
                <w:sz w:val="17"/>
                <w:szCs w:val="17"/>
                <w:color w:val="auto"/>
              </w:rPr>
            </w:pPr>
          </w:p>
        </w:tc>
        <w:tc>
          <w:tcPr>
            <w:tcW w:w="1780" w:type="dxa"/>
            <w:vAlign w:val="bottom"/>
          </w:tcPr>
          <w:p>
            <w:pPr>
              <w:jc w:val="right"/>
              <w:spacing w:after="0" w:line="190" w:lineRule="exact"/>
              <w:rPr>
                <w:sz w:val="20"/>
                <w:szCs w:val="20"/>
                <w:color w:val="auto"/>
              </w:rPr>
            </w:pPr>
            <w:r>
              <w:rPr>
                <w:rFonts w:ascii="Calibri" w:cs="Calibri" w:eastAsia="Calibri" w:hAnsi="Calibri"/>
                <w:sz w:val="17"/>
                <w:szCs w:val="17"/>
                <w:color w:val="auto"/>
              </w:rPr>
              <w:t>0.10 %</w:t>
            </w:r>
          </w:p>
        </w:tc>
      </w:tr>
      <w:tr>
        <w:trPr>
          <w:trHeight w:val="226"/>
        </w:trPr>
        <w:tc>
          <w:tcPr>
            <w:tcW w:w="530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 3 years and &lt; 5 years</w:t>
            </w:r>
          </w:p>
        </w:tc>
        <w:tc>
          <w:tcPr>
            <w:tcW w:w="300" w:type="dxa"/>
            <w:vAlign w:val="bottom"/>
            <w:shd w:val="clear" w:color="auto" w:fill="E6EEFF"/>
          </w:tcPr>
          <w:p>
            <w:pPr>
              <w:spacing w:after="0"/>
              <w:rPr>
                <w:sz w:val="19"/>
                <w:szCs w:val="19"/>
                <w:color w:val="auto"/>
              </w:rPr>
            </w:pPr>
          </w:p>
        </w:tc>
        <w:tc>
          <w:tcPr>
            <w:tcW w:w="19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1,182,000</w:t>
            </w:r>
          </w:p>
        </w:tc>
        <w:tc>
          <w:tcPr>
            <w:tcW w:w="178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50</w:t>
            </w:r>
          </w:p>
        </w:tc>
        <w:tc>
          <w:tcPr>
            <w:tcW w:w="120" w:type="dxa"/>
            <w:vAlign w:val="bottom"/>
            <w:shd w:val="clear" w:color="auto" w:fill="E6EEFF"/>
          </w:tcPr>
          <w:p>
            <w:pPr>
              <w:spacing w:after="0"/>
              <w:rPr>
                <w:sz w:val="19"/>
                <w:szCs w:val="19"/>
                <w:color w:val="auto"/>
              </w:rPr>
            </w:pPr>
          </w:p>
        </w:tc>
        <w:tc>
          <w:tcPr>
            <w:tcW w:w="17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0.63 %</w:t>
            </w:r>
          </w:p>
        </w:tc>
      </w:tr>
      <w:tr>
        <w:trPr>
          <w:trHeight w:val="212"/>
        </w:trPr>
        <w:tc>
          <w:tcPr>
            <w:tcW w:w="530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 5 years and &lt; 7 years</w:t>
            </w:r>
          </w:p>
        </w:tc>
        <w:tc>
          <w:tcPr>
            <w:tcW w:w="300" w:type="dxa"/>
            <w:vAlign w:val="bottom"/>
          </w:tcPr>
          <w:p>
            <w:pPr>
              <w:spacing w:after="0"/>
              <w:rPr>
                <w:sz w:val="18"/>
                <w:szCs w:val="18"/>
                <w:color w:val="auto"/>
              </w:rPr>
            </w:pPr>
          </w:p>
        </w:tc>
        <w:tc>
          <w:tcPr>
            <w:tcW w:w="1940" w:type="dxa"/>
            <w:vAlign w:val="bottom"/>
          </w:tcPr>
          <w:p>
            <w:pPr>
              <w:jc w:val="right"/>
              <w:spacing w:after="0" w:line="205" w:lineRule="exact"/>
              <w:rPr>
                <w:sz w:val="20"/>
                <w:szCs w:val="20"/>
                <w:color w:val="auto"/>
              </w:rPr>
            </w:pPr>
            <w:r>
              <w:rPr>
                <w:rFonts w:ascii="Calibri" w:cs="Calibri" w:eastAsia="Calibri" w:hAnsi="Calibri"/>
                <w:sz w:val="17"/>
                <w:szCs w:val="17"/>
                <w:color w:val="auto"/>
              </w:rPr>
              <w:t>754,000</w:t>
            </w:r>
          </w:p>
        </w:tc>
        <w:tc>
          <w:tcPr>
            <w:tcW w:w="1780" w:type="dxa"/>
            <w:vAlign w:val="bottom"/>
            <w:gridSpan w:val="2"/>
          </w:tcPr>
          <w:p>
            <w:pPr>
              <w:jc w:val="right"/>
              <w:spacing w:after="0" w:line="205" w:lineRule="exact"/>
              <w:rPr>
                <w:sz w:val="20"/>
                <w:szCs w:val="20"/>
                <w:color w:val="auto"/>
              </w:rPr>
            </w:pPr>
            <w:r>
              <w:rPr>
                <w:rFonts w:ascii="Calibri" w:cs="Calibri" w:eastAsia="Calibri" w:hAnsi="Calibri"/>
                <w:sz w:val="17"/>
                <w:szCs w:val="17"/>
                <w:color w:val="auto"/>
              </w:rPr>
              <w:t>82</w:t>
            </w:r>
          </w:p>
        </w:tc>
        <w:tc>
          <w:tcPr>
            <w:tcW w:w="120" w:type="dxa"/>
            <w:vAlign w:val="bottom"/>
          </w:tcPr>
          <w:p>
            <w:pPr>
              <w:spacing w:after="0"/>
              <w:rPr>
                <w:sz w:val="18"/>
                <w:szCs w:val="18"/>
                <w:color w:val="auto"/>
              </w:rPr>
            </w:pPr>
          </w:p>
        </w:tc>
        <w:tc>
          <w:tcPr>
            <w:tcW w:w="1780" w:type="dxa"/>
            <w:vAlign w:val="bottom"/>
          </w:tcPr>
          <w:p>
            <w:pPr>
              <w:jc w:val="right"/>
              <w:spacing w:after="0" w:line="205" w:lineRule="exact"/>
              <w:rPr>
                <w:sz w:val="20"/>
                <w:szCs w:val="20"/>
                <w:color w:val="auto"/>
              </w:rPr>
            </w:pPr>
            <w:r>
              <w:rPr>
                <w:rFonts w:ascii="Calibri" w:cs="Calibri" w:eastAsia="Calibri" w:hAnsi="Calibri"/>
                <w:sz w:val="17"/>
                <w:szCs w:val="17"/>
                <w:color w:val="auto"/>
              </w:rPr>
              <w:t>0.62 %</w:t>
            </w:r>
          </w:p>
        </w:tc>
      </w:tr>
      <w:tr>
        <w:trPr>
          <w:trHeight w:val="219"/>
        </w:trPr>
        <w:tc>
          <w:tcPr>
            <w:tcW w:w="530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 7 years</w:t>
            </w:r>
          </w:p>
        </w:tc>
        <w:tc>
          <w:tcPr>
            <w:tcW w:w="300" w:type="dxa"/>
            <w:vAlign w:val="bottom"/>
            <w:tcBorders>
              <w:bottom w:val="single" w:sz="8" w:color="auto"/>
            </w:tcBorders>
            <w:shd w:val="clear" w:color="auto" w:fill="E6EEFF"/>
          </w:tcPr>
          <w:p>
            <w:pPr>
              <w:spacing w:after="0"/>
              <w:rPr>
                <w:sz w:val="19"/>
                <w:szCs w:val="19"/>
                <w:color w:val="auto"/>
              </w:rPr>
            </w:pPr>
          </w:p>
        </w:tc>
        <w:tc>
          <w:tcPr>
            <w:tcW w:w="19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3,348,000</w:t>
            </w:r>
          </w:p>
        </w:tc>
        <w:tc>
          <w:tcPr>
            <w:tcW w:w="1780" w:type="dxa"/>
            <w:vAlign w:val="bottom"/>
            <w:gridSpan w:val="2"/>
            <w:shd w:val="clear" w:color="auto" w:fill="E6EEFF"/>
          </w:tcPr>
          <w:p>
            <w:pPr>
              <w:jc w:val="right"/>
              <w:spacing w:after="0"/>
              <w:rPr>
                <w:sz w:val="20"/>
                <w:szCs w:val="20"/>
                <w:color w:val="auto"/>
              </w:rPr>
            </w:pPr>
            <w:r>
              <w:rPr>
                <w:rFonts w:ascii="Calibri" w:cs="Calibri" w:eastAsia="Calibri" w:hAnsi="Calibri"/>
                <w:sz w:val="17"/>
                <w:szCs w:val="17"/>
                <w:color w:val="auto"/>
              </w:rPr>
              <w:t>99</w:t>
            </w:r>
          </w:p>
        </w:tc>
        <w:tc>
          <w:tcPr>
            <w:tcW w:w="120" w:type="dxa"/>
            <w:vAlign w:val="bottom"/>
            <w:shd w:val="clear" w:color="auto" w:fill="E6EEFF"/>
          </w:tcPr>
          <w:p>
            <w:pPr>
              <w:spacing w:after="0"/>
              <w:rPr>
                <w:sz w:val="19"/>
                <w:szCs w:val="19"/>
                <w:color w:val="auto"/>
              </w:rPr>
            </w:pPr>
          </w:p>
        </w:tc>
        <w:tc>
          <w:tcPr>
            <w:tcW w:w="17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0.96 %</w:t>
            </w:r>
          </w:p>
        </w:tc>
      </w:tr>
      <w:tr>
        <w:trPr>
          <w:trHeight w:val="219"/>
        </w:trPr>
        <w:tc>
          <w:tcPr>
            <w:tcW w:w="5300" w:type="dxa"/>
            <w:vAlign w:val="bottom"/>
            <w:gridSpan w:val="2"/>
          </w:tcPr>
          <w:p>
            <w:pPr>
              <w:ind w:left="20"/>
              <w:spacing w:after="0" w:line="219" w:lineRule="exact"/>
              <w:rPr>
                <w:sz w:val="20"/>
                <w:szCs w:val="20"/>
                <w:color w:val="auto"/>
              </w:rPr>
            </w:pPr>
            <w:r>
              <w:rPr>
                <w:rFonts w:ascii="Calibri" w:cs="Calibri" w:eastAsia="Calibri" w:hAnsi="Calibri"/>
                <w:sz w:val="17"/>
                <w:szCs w:val="17"/>
                <w:b w:val="1"/>
                <w:bCs w:val="1"/>
                <w:color w:val="1C4787"/>
              </w:rPr>
              <w:t xml:space="preserve">Total or Weighted Average </w:t>
            </w:r>
            <w:r>
              <w:rPr>
                <w:rFonts w:ascii="Calibri" w:cs="Calibri" w:eastAsia="Calibri" w:hAnsi="Calibri"/>
                <w:sz w:val="22"/>
                <w:szCs w:val="22"/>
                <w:b w:val="1"/>
                <w:bCs w:val="1"/>
                <w:color w:val="1C4787"/>
                <w:vertAlign w:val="superscript"/>
              </w:rPr>
              <w:t>(3)</w:t>
            </w:r>
          </w:p>
        </w:tc>
        <w:tc>
          <w:tcPr>
            <w:tcW w:w="300" w:type="dxa"/>
            <w:vAlign w:val="bottom"/>
            <w:tcBorders>
              <w:bottom w:val="single" w:sz="8" w:color="auto"/>
            </w:tcBorders>
          </w:tcPr>
          <w:p>
            <w:pPr>
              <w:jc w:val="right"/>
              <w:ind w:right="114"/>
              <w:spacing w:after="0" w:line="205" w:lineRule="exact"/>
              <w:rPr>
                <w:sz w:val="20"/>
                <w:szCs w:val="20"/>
                <w:color w:val="auto"/>
              </w:rPr>
            </w:pPr>
            <w:r>
              <w:rPr>
                <w:rFonts w:ascii="Calibri" w:cs="Calibri" w:eastAsia="Calibri" w:hAnsi="Calibri"/>
                <w:sz w:val="17"/>
                <w:szCs w:val="17"/>
                <w:color w:val="auto"/>
                <w:w w:val="92"/>
              </w:rPr>
              <w:t>$</w:t>
            </w:r>
          </w:p>
        </w:tc>
        <w:tc>
          <w:tcPr>
            <w:tcW w:w="1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6,350,000</w:t>
            </w:r>
          </w:p>
        </w:tc>
        <w:tc>
          <w:tcPr>
            <w:tcW w:w="1780" w:type="dxa"/>
            <w:vAlign w:val="bottom"/>
            <w:gridSpan w:val="2"/>
          </w:tcPr>
          <w:p>
            <w:pPr>
              <w:jc w:val="right"/>
              <w:spacing w:after="0"/>
              <w:rPr>
                <w:sz w:val="20"/>
                <w:szCs w:val="20"/>
                <w:color w:val="auto"/>
              </w:rPr>
            </w:pPr>
            <w:r>
              <w:rPr>
                <w:rFonts w:ascii="Calibri" w:cs="Calibri" w:eastAsia="Calibri" w:hAnsi="Calibri"/>
                <w:sz w:val="17"/>
                <w:szCs w:val="17"/>
                <w:color w:val="auto"/>
              </w:rPr>
              <w:t>73</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Calibri" w:cs="Calibri" w:eastAsia="Calibri" w:hAnsi="Calibri"/>
                <w:sz w:val="17"/>
                <w:szCs w:val="17"/>
                <w:color w:val="auto"/>
              </w:rPr>
              <w:t>0.72 %</w:t>
            </w: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118" w:lineRule="exact"/>
        <w:rPr>
          <w:sz w:val="20"/>
          <w:szCs w:val="20"/>
          <w:color w:val="auto"/>
        </w:rPr>
      </w:pPr>
    </w:p>
    <w:p>
      <w:pPr>
        <w:ind w:left="300" w:hanging="297"/>
        <w:spacing w:after="0"/>
        <w:tabs>
          <w:tab w:leader="none" w:pos="300" w:val="left"/>
        </w:tabs>
        <w:numPr>
          <w:ilvl w:val="0"/>
          <w:numId w:val="38"/>
        </w:numPr>
        <w:rPr>
          <w:rFonts w:ascii="Calibri" w:cs="Calibri" w:eastAsia="Calibri" w:hAnsi="Calibri"/>
          <w:sz w:val="17"/>
          <w:szCs w:val="17"/>
          <w:color w:val="auto"/>
        </w:rPr>
      </w:pPr>
      <w:r>
        <w:rPr>
          <w:rFonts w:ascii="Calibri" w:cs="Calibri" w:eastAsia="Calibri" w:hAnsi="Calibri"/>
          <w:sz w:val="17"/>
          <w:szCs w:val="17"/>
          <w:color w:val="auto"/>
        </w:rPr>
        <w:t>Pay Fixed/Receive Variable</w:t>
      </w:r>
    </w:p>
    <w:p>
      <w:pPr>
        <w:spacing w:after="0" w:line="52" w:lineRule="exact"/>
        <w:rPr>
          <w:rFonts w:ascii="Calibri" w:cs="Calibri" w:eastAsia="Calibri" w:hAnsi="Calibri"/>
          <w:sz w:val="17"/>
          <w:szCs w:val="17"/>
          <w:color w:val="auto"/>
        </w:rPr>
      </w:pPr>
    </w:p>
    <w:p>
      <w:pPr>
        <w:ind w:left="320" w:hanging="317"/>
        <w:spacing w:after="0" w:line="237" w:lineRule="auto"/>
        <w:tabs>
          <w:tab w:leader="none" w:pos="313" w:val="left"/>
        </w:tabs>
        <w:numPr>
          <w:ilvl w:val="0"/>
          <w:numId w:val="38"/>
        </w:numPr>
        <w:rPr>
          <w:rFonts w:ascii="Calibri" w:cs="Calibri" w:eastAsia="Calibri" w:hAnsi="Calibri"/>
          <w:sz w:val="17"/>
          <w:szCs w:val="17"/>
          <w:color w:val="auto"/>
        </w:rPr>
      </w:pPr>
      <w:r>
        <w:rPr>
          <w:rFonts w:ascii="Calibri" w:cs="Calibri" w:eastAsia="Calibri" w:hAnsi="Calibri"/>
          <w:sz w:val="17"/>
          <w:szCs w:val="17"/>
          <w:color w:val="auto"/>
        </w:rPr>
        <w:t>Of this amount, $1,475,000 notonal are SOFR based swaps, the last of which matures in 2033; and $5,311,000 notonal are Federal Funds Rate based swaps, the last of which matures in 2032. Of this amount, $1,275,000 notonal are centrally-cleared interest rate swap contracts, the last of which matures in 2033.</w:t>
      </w:r>
    </w:p>
    <w:p>
      <w:pPr>
        <w:spacing w:after="0" w:line="54" w:lineRule="exact"/>
        <w:rPr>
          <w:rFonts w:ascii="Calibri" w:cs="Calibri" w:eastAsia="Calibri" w:hAnsi="Calibri"/>
          <w:sz w:val="17"/>
          <w:szCs w:val="17"/>
          <w:color w:val="auto"/>
        </w:rPr>
      </w:pPr>
    </w:p>
    <w:p>
      <w:pPr>
        <w:ind w:left="320" w:hanging="317"/>
        <w:spacing w:after="0" w:line="237" w:lineRule="auto"/>
        <w:tabs>
          <w:tab w:leader="none" w:pos="313" w:val="left"/>
        </w:tabs>
        <w:numPr>
          <w:ilvl w:val="0"/>
          <w:numId w:val="38"/>
        </w:numPr>
        <w:rPr>
          <w:rFonts w:ascii="Calibri" w:cs="Calibri" w:eastAsia="Calibri" w:hAnsi="Calibri"/>
          <w:sz w:val="17"/>
          <w:szCs w:val="17"/>
          <w:color w:val="auto"/>
        </w:rPr>
      </w:pPr>
      <w:r>
        <w:rPr>
          <w:rFonts w:ascii="Calibri" w:cs="Calibri" w:eastAsia="Calibri" w:hAnsi="Calibri"/>
          <w:sz w:val="17"/>
          <w:szCs w:val="17"/>
          <w:color w:val="auto"/>
        </w:rPr>
        <w:t>Of this amount, $803,000 notonal are SOFR based swaps, the last of which matures in 2032; and $5,547,000 notonal are Federal Funds Rate based swaps, the last of which matures in 2032.</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400" w:type="dxa"/>
            <w:vAlign w:val="bottom"/>
            <w:gridSpan w:val="2"/>
            <w:shd w:val="clear" w:color="auto" w:fill="E6EEFF"/>
          </w:tcPr>
          <w:p>
            <w:pPr>
              <w:ind w:left="1880"/>
              <w:spacing w:after="0"/>
              <w:rPr>
                <w:sz w:val="20"/>
                <w:szCs w:val="20"/>
                <w:color w:val="auto"/>
              </w:rPr>
            </w:pPr>
            <w:r>
              <w:rPr>
                <w:rFonts w:ascii="Calibri" w:cs="Calibri" w:eastAsia="Calibri" w:hAnsi="Calibri"/>
                <w:sz w:val="17"/>
                <w:szCs w:val="17"/>
                <w:b w:val="1"/>
                <w:bCs w:val="1"/>
                <w:color w:val="1C4787"/>
              </w:rPr>
              <w:t>TBA Agency Securites</w:t>
            </w:r>
          </w:p>
        </w:tc>
        <w:tc>
          <w:tcPr>
            <w:tcW w:w="200" w:type="dxa"/>
            <w:vAlign w:val="bottom"/>
            <w:shd w:val="clear" w:color="auto" w:fill="E6EEFF"/>
          </w:tcPr>
          <w:p>
            <w:pPr>
              <w:spacing w:after="0"/>
              <w:rPr>
                <w:sz w:val="19"/>
                <w:szCs w:val="19"/>
                <w:color w:val="auto"/>
              </w:rPr>
            </w:pPr>
          </w:p>
        </w:tc>
        <w:tc>
          <w:tcPr>
            <w:tcW w:w="1760" w:type="dxa"/>
            <w:vAlign w:val="bottom"/>
            <w:gridSpan w:val="2"/>
            <w:shd w:val="clear" w:color="auto" w:fill="E6EEFF"/>
          </w:tcPr>
          <w:p>
            <w:pPr>
              <w:ind w:left="120"/>
              <w:spacing w:after="0"/>
              <w:rPr>
                <w:sz w:val="20"/>
                <w:szCs w:val="20"/>
                <w:color w:val="auto"/>
              </w:rPr>
            </w:pPr>
            <w:r>
              <w:rPr>
                <w:rFonts w:ascii="Calibri" w:cs="Calibri" w:eastAsia="Calibri" w:hAnsi="Calibri"/>
                <w:sz w:val="17"/>
                <w:szCs w:val="17"/>
                <w:b w:val="1"/>
                <w:bCs w:val="1"/>
                <w:color w:val="1C4787"/>
              </w:rPr>
              <w:t>Notonal Amount</w:t>
            </w:r>
          </w:p>
        </w:tc>
        <w:tc>
          <w:tcPr>
            <w:tcW w:w="320" w:type="dxa"/>
            <w:vAlign w:val="bottom"/>
            <w:shd w:val="clear" w:color="auto" w:fill="E6EEFF"/>
          </w:tcPr>
          <w:p>
            <w:pPr>
              <w:spacing w:after="0"/>
              <w:rPr>
                <w:sz w:val="19"/>
                <w:szCs w:val="19"/>
                <w:color w:val="auto"/>
              </w:rPr>
            </w:pPr>
          </w:p>
        </w:tc>
        <w:tc>
          <w:tcPr>
            <w:tcW w:w="1580" w:type="dxa"/>
            <w:vAlign w:val="bottom"/>
            <w:gridSpan w:val="2"/>
            <w:shd w:val="clear" w:color="auto" w:fill="E6EEFF"/>
          </w:tcPr>
          <w:p>
            <w:pPr>
              <w:ind w:left="220"/>
              <w:spacing w:after="0"/>
              <w:rPr>
                <w:sz w:val="20"/>
                <w:szCs w:val="20"/>
                <w:color w:val="auto"/>
              </w:rPr>
            </w:pPr>
            <w:r>
              <w:rPr>
                <w:rFonts w:ascii="Calibri" w:cs="Calibri" w:eastAsia="Calibri" w:hAnsi="Calibri"/>
                <w:sz w:val="17"/>
                <w:szCs w:val="17"/>
                <w:b w:val="1"/>
                <w:bCs w:val="1"/>
                <w:color w:val="1C4787"/>
              </w:rPr>
              <w:t>Cost Basis</w:t>
            </w:r>
          </w:p>
        </w:tc>
        <w:tc>
          <w:tcPr>
            <w:tcW w:w="360" w:type="dxa"/>
            <w:vAlign w:val="bottom"/>
            <w:shd w:val="clear" w:color="auto" w:fill="E6EEFF"/>
          </w:tcPr>
          <w:p>
            <w:pPr>
              <w:spacing w:after="0"/>
              <w:rPr>
                <w:sz w:val="19"/>
                <w:szCs w:val="19"/>
                <w:color w:val="auto"/>
              </w:rPr>
            </w:pPr>
          </w:p>
        </w:tc>
        <w:tc>
          <w:tcPr>
            <w:tcW w:w="1560" w:type="dxa"/>
            <w:vAlign w:val="bottom"/>
            <w:shd w:val="clear" w:color="auto" w:fill="E6EEFF"/>
          </w:tcPr>
          <w:p>
            <w:pPr>
              <w:jc w:val="right"/>
              <w:ind w:right="534"/>
              <w:spacing w:after="0"/>
              <w:rPr>
                <w:sz w:val="20"/>
                <w:szCs w:val="20"/>
                <w:color w:val="auto"/>
              </w:rPr>
            </w:pPr>
            <w:r>
              <w:rPr>
                <w:rFonts w:ascii="Calibri" w:cs="Calibri" w:eastAsia="Calibri" w:hAnsi="Calibri"/>
                <w:sz w:val="17"/>
                <w:szCs w:val="17"/>
                <w:b w:val="1"/>
                <w:bCs w:val="1"/>
                <w:color w:val="1C4787"/>
              </w:rPr>
              <w:t>Fair Value</w:t>
            </w:r>
          </w:p>
        </w:tc>
      </w:tr>
      <w:tr>
        <w:trPr>
          <w:trHeight w:val="205"/>
        </w:trPr>
        <w:tc>
          <w:tcPr>
            <w:tcW w:w="528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9"/>
        </w:trPr>
        <w:tc>
          <w:tcPr>
            <w:tcW w:w="5400" w:type="dxa"/>
            <w:vAlign w:val="bottom"/>
            <w:gridSpan w:val="2"/>
            <w:shd w:val="clear" w:color="auto" w:fill="E6EEFF"/>
          </w:tcPr>
          <w:p>
            <w:pPr>
              <w:ind w:left="200"/>
              <w:spacing w:after="0"/>
              <w:rPr>
                <w:sz w:val="20"/>
                <w:szCs w:val="20"/>
                <w:color w:val="auto"/>
              </w:rPr>
            </w:pPr>
            <w:r>
              <w:rPr>
                <w:rFonts w:ascii="Calibri" w:cs="Calibri" w:eastAsia="Calibri" w:hAnsi="Calibri"/>
                <w:sz w:val="17"/>
                <w:szCs w:val="17"/>
                <w:color w:val="auto"/>
              </w:rPr>
              <w:t>30 Year Long, 6.0%</w:t>
            </w:r>
          </w:p>
        </w:tc>
        <w:tc>
          <w:tcPr>
            <w:tcW w:w="200" w:type="dxa"/>
            <w:vAlign w:val="bottom"/>
            <w:tcBorders>
              <w:bottom w:val="single" w:sz="8" w:color="auto"/>
            </w:tcBorders>
            <w:shd w:val="clear" w:color="auto" w:fill="E6EEFF"/>
          </w:tcPr>
          <w:p>
            <w:pPr>
              <w:spacing w:after="0"/>
              <w:rPr>
                <w:sz w:val="19"/>
                <w:szCs w:val="19"/>
                <w:color w:val="auto"/>
              </w:rPr>
            </w:pPr>
          </w:p>
        </w:tc>
        <w:tc>
          <w:tcPr>
            <w:tcW w:w="16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300,000</w:t>
            </w:r>
          </w:p>
        </w:tc>
        <w:tc>
          <w:tcPr>
            <w:tcW w:w="120" w:type="dxa"/>
            <w:vAlign w:val="bottom"/>
            <w:shd w:val="clear" w:color="auto" w:fill="E6EEFF"/>
          </w:tcPr>
          <w:p>
            <w:pPr>
              <w:spacing w:after="0"/>
              <w:rPr>
                <w:sz w:val="19"/>
                <w:szCs w:val="19"/>
                <w:color w:val="auto"/>
              </w:rPr>
            </w:pPr>
          </w:p>
        </w:tc>
        <w:tc>
          <w:tcPr>
            <w:tcW w:w="320" w:type="dxa"/>
            <w:vAlign w:val="bottom"/>
            <w:tcBorders>
              <w:bottom w:val="single" w:sz="8" w:color="auto"/>
            </w:tcBorders>
            <w:shd w:val="clear" w:color="auto" w:fill="E6EEFF"/>
          </w:tcPr>
          <w:p>
            <w:pPr>
              <w:spacing w:after="0"/>
              <w:rPr>
                <w:sz w:val="19"/>
                <w:szCs w:val="19"/>
                <w:color w:val="auto"/>
              </w:rPr>
            </w:pPr>
          </w:p>
        </w:tc>
        <w:tc>
          <w:tcPr>
            <w:tcW w:w="146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303,223</w:t>
            </w:r>
          </w:p>
        </w:tc>
        <w:tc>
          <w:tcPr>
            <w:tcW w:w="120" w:type="dxa"/>
            <w:vAlign w:val="bottom"/>
            <w:shd w:val="clear" w:color="auto" w:fill="E6EEFF"/>
          </w:tcPr>
          <w:p>
            <w:pPr>
              <w:spacing w:after="0"/>
              <w:rPr>
                <w:sz w:val="19"/>
                <w:szCs w:val="19"/>
                <w:color w:val="auto"/>
              </w:rPr>
            </w:pPr>
          </w:p>
        </w:tc>
        <w:tc>
          <w:tcPr>
            <w:tcW w:w="360" w:type="dxa"/>
            <w:vAlign w:val="bottom"/>
            <w:tcBorders>
              <w:bottom w:val="single" w:sz="8" w:color="auto"/>
            </w:tcBorders>
            <w:shd w:val="clear" w:color="auto" w:fill="E6EEFF"/>
          </w:tcPr>
          <w:p>
            <w:pPr>
              <w:spacing w:after="0"/>
              <w:rPr>
                <w:sz w:val="19"/>
                <w:szCs w:val="19"/>
                <w:color w:val="auto"/>
              </w:rPr>
            </w:pPr>
          </w:p>
        </w:tc>
        <w:tc>
          <w:tcPr>
            <w:tcW w:w="156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305,039</w:t>
            </w:r>
          </w:p>
        </w:tc>
      </w:tr>
      <w:tr>
        <w:trPr>
          <w:trHeight w:val="219"/>
        </w:trPr>
        <w:tc>
          <w:tcPr>
            <w:tcW w:w="5400" w:type="dxa"/>
            <w:vAlign w:val="bottom"/>
            <w:gridSpan w:val="2"/>
          </w:tcPr>
          <w:p>
            <w:pPr>
              <w:ind w:left="20"/>
              <w:spacing w:after="0" w:line="219" w:lineRule="exact"/>
              <w:rPr>
                <w:sz w:val="20"/>
                <w:szCs w:val="20"/>
                <w:color w:val="auto"/>
              </w:rPr>
            </w:pPr>
            <w:r>
              <w:rPr>
                <w:rFonts w:ascii="Calibri" w:cs="Calibri" w:eastAsia="Calibri" w:hAnsi="Calibri"/>
                <w:sz w:val="17"/>
                <w:szCs w:val="17"/>
                <w:b w:val="1"/>
                <w:bCs w:val="1"/>
                <w:color w:val="1C4787"/>
              </w:rPr>
              <w:t xml:space="preserve">Total </w:t>
            </w:r>
            <w:r>
              <w:rPr>
                <w:rFonts w:ascii="Calibri" w:cs="Calibri" w:eastAsia="Calibri" w:hAnsi="Calibri"/>
                <w:sz w:val="22"/>
                <w:szCs w:val="22"/>
                <w:b w:val="1"/>
                <w:bCs w:val="1"/>
                <w:color w:val="1C4787"/>
                <w:vertAlign w:val="superscript"/>
              </w:rPr>
              <w:t>(1)</w:t>
            </w:r>
          </w:p>
        </w:tc>
        <w:tc>
          <w:tcPr>
            <w:tcW w:w="200" w:type="dxa"/>
            <w:vAlign w:val="bottom"/>
            <w:tcBorders>
              <w:bottom w:val="single" w:sz="8" w:color="auto"/>
            </w:tcBorders>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6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300,000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4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303,223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line="205" w:lineRule="exact"/>
              <w:rPr>
                <w:sz w:val="20"/>
                <w:szCs w:val="20"/>
                <w:color w:val="auto"/>
              </w:rPr>
            </w:pPr>
            <w:r>
              <w:rPr>
                <w:rFonts w:ascii="Calibri" w:cs="Calibri" w:eastAsia="Calibri" w:hAnsi="Calibri"/>
                <w:sz w:val="17"/>
                <w:szCs w:val="17"/>
                <w:color w:val="auto"/>
                <w:w w:val="92"/>
              </w:rPr>
              <w:t>$</w:t>
            </w:r>
          </w:p>
        </w:tc>
        <w:tc>
          <w:tcPr>
            <w:tcW w:w="15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305,039</w:t>
            </w:r>
          </w:p>
        </w:tc>
      </w:tr>
      <w:tr>
        <w:trPr>
          <w:trHeight w:val="20"/>
        </w:trPr>
        <w:tc>
          <w:tcPr>
            <w:tcW w:w="5280" w:type="dxa"/>
            <w:vAlign w:val="bottom"/>
            <w:tcBorders>
              <w:bottom w:val="single" w:sz="8" w:color="E6EEFF"/>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6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08"/>
        </w:trPr>
        <w:tc>
          <w:tcPr>
            <w:tcW w:w="5280" w:type="dxa"/>
            <w:vAlign w:val="bottom"/>
            <w:shd w:val="clear" w:color="auto" w:fill="E6EEFF"/>
          </w:tcPr>
          <w:p>
            <w:pPr>
              <w:spacing w:after="0"/>
              <w:rPr>
                <w:sz w:val="9"/>
                <w:szCs w:val="9"/>
                <w:color w:val="auto"/>
              </w:rPr>
            </w:pPr>
          </w:p>
        </w:tc>
        <w:tc>
          <w:tcPr>
            <w:tcW w:w="120" w:type="dxa"/>
            <w:vAlign w:val="bottom"/>
            <w:shd w:val="clear" w:color="auto" w:fill="E6EEFF"/>
          </w:tcPr>
          <w:p>
            <w:pPr>
              <w:spacing w:after="0"/>
              <w:rPr>
                <w:sz w:val="9"/>
                <w:szCs w:val="9"/>
                <w:color w:val="auto"/>
              </w:rPr>
            </w:pPr>
          </w:p>
        </w:tc>
        <w:tc>
          <w:tcPr>
            <w:tcW w:w="200" w:type="dxa"/>
            <w:vAlign w:val="bottom"/>
            <w:shd w:val="clear" w:color="auto" w:fill="E6EEFF"/>
          </w:tcPr>
          <w:p>
            <w:pPr>
              <w:spacing w:after="0"/>
              <w:rPr>
                <w:sz w:val="9"/>
                <w:szCs w:val="9"/>
                <w:color w:val="auto"/>
              </w:rPr>
            </w:pPr>
          </w:p>
        </w:tc>
        <w:tc>
          <w:tcPr>
            <w:tcW w:w="1640" w:type="dxa"/>
            <w:vAlign w:val="bottom"/>
            <w:shd w:val="clear" w:color="auto" w:fill="E6EEFF"/>
          </w:tcPr>
          <w:p>
            <w:pPr>
              <w:spacing w:after="0"/>
              <w:rPr>
                <w:sz w:val="9"/>
                <w:szCs w:val="9"/>
                <w:color w:val="auto"/>
              </w:rPr>
            </w:pPr>
          </w:p>
        </w:tc>
        <w:tc>
          <w:tcPr>
            <w:tcW w:w="120" w:type="dxa"/>
            <w:vAlign w:val="bottom"/>
            <w:shd w:val="clear" w:color="auto" w:fill="E6EEFF"/>
          </w:tcPr>
          <w:p>
            <w:pPr>
              <w:spacing w:after="0"/>
              <w:rPr>
                <w:sz w:val="9"/>
                <w:szCs w:val="9"/>
                <w:color w:val="auto"/>
              </w:rPr>
            </w:pPr>
          </w:p>
        </w:tc>
        <w:tc>
          <w:tcPr>
            <w:tcW w:w="320" w:type="dxa"/>
            <w:vAlign w:val="bottom"/>
            <w:shd w:val="clear" w:color="auto" w:fill="E6EEFF"/>
          </w:tcPr>
          <w:p>
            <w:pPr>
              <w:spacing w:after="0"/>
              <w:rPr>
                <w:sz w:val="9"/>
                <w:szCs w:val="9"/>
                <w:color w:val="auto"/>
              </w:rPr>
            </w:pPr>
          </w:p>
        </w:tc>
        <w:tc>
          <w:tcPr>
            <w:tcW w:w="1460" w:type="dxa"/>
            <w:vAlign w:val="bottom"/>
            <w:shd w:val="clear" w:color="auto" w:fill="E6EEFF"/>
          </w:tcPr>
          <w:p>
            <w:pPr>
              <w:spacing w:after="0"/>
              <w:rPr>
                <w:sz w:val="9"/>
                <w:szCs w:val="9"/>
                <w:color w:val="auto"/>
              </w:rPr>
            </w:pPr>
          </w:p>
        </w:tc>
        <w:tc>
          <w:tcPr>
            <w:tcW w:w="120" w:type="dxa"/>
            <w:vAlign w:val="bottom"/>
            <w:shd w:val="clear" w:color="auto" w:fill="E6EEFF"/>
          </w:tcPr>
          <w:p>
            <w:pPr>
              <w:spacing w:after="0"/>
              <w:rPr>
                <w:sz w:val="9"/>
                <w:szCs w:val="9"/>
                <w:color w:val="auto"/>
              </w:rPr>
            </w:pPr>
          </w:p>
        </w:tc>
        <w:tc>
          <w:tcPr>
            <w:tcW w:w="360" w:type="dxa"/>
            <w:vAlign w:val="bottom"/>
            <w:shd w:val="clear" w:color="auto" w:fill="E6EEFF"/>
          </w:tcPr>
          <w:p>
            <w:pPr>
              <w:spacing w:after="0"/>
              <w:rPr>
                <w:sz w:val="9"/>
                <w:szCs w:val="9"/>
                <w:color w:val="auto"/>
              </w:rPr>
            </w:pPr>
          </w:p>
        </w:tc>
        <w:tc>
          <w:tcPr>
            <w:tcW w:w="1560" w:type="dxa"/>
            <w:vAlign w:val="bottom"/>
            <w:shd w:val="clear" w:color="auto" w:fill="E6EEFF"/>
          </w:tcPr>
          <w:p>
            <w:pPr>
              <w:spacing w:after="0"/>
              <w:rPr>
                <w:sz w:val="9"/>
                <w:szCs w:val="9"/>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400" w:type="dxa"/>
            <w:vAlign w:val="bottom"/>
            <w:gridSpan w:val="2"/>
          </w:tcPr>
          <w:p>
            <w:pPr>
              <w:ind w:left="1880"/>
              <w:spacing w:after="0" w:line="205" w:lineRule="exact"/>
              <w:rPr>
                <w:sz w:val="20"/>
                <w:szCs w:val="20"/>
                <w:color w:val="auto"/>
              </w:rPr>
            </w:pPr>
            <w:r>
              <w:rPr>
                <w:rFonts w:ascii="Calibri" w:cs="Calibri" w:eastAsia="Calibri" w:hAnsi="Calibri"/>
                <w:sz w:val="17"/>
                <w:szCs w:val="17"/>
                <w:b w:val="1"/>
                <w:bCs w:val="1"/>
                <w:color w:val="1C4787"/>
              </w:rPr>
              <w:t>TBA Agency Securites</w:t>
            </w:r>
          </w:p>
        </w:tc>
        <w:tc>
          <w:tcPr>
            <w:tcW w:w="200" w:type="dxa"/>
            <w:vAlign w:val="bottom"/>
          </w:tcPr>
          <w:p>
            <w:pPr>
              <w:spacing w:after="0"/>
              <w:rPr>
                <w:sz w:val="18"/>
                <w:szCs w:val="18"/>
                <w:color w:val="auto"/>
              </w:rPr>
            </w:pPr>
          </w:p>
        </w:tc>
        <w:tc>
          <w:tcPr>
            <w:tcW w:w="1760" w:type="dxa"/>
            <w:vAlign w:val="bottom"/>
            <w:gridSpan w:val="2"/>
          </w:tcPr>
          <w:p>
            <w:pPr>
              <w:ind w:left="120"/>
              <w:spacing w:after="0" w:line="205" w:lineRule="exact"/>
              <w:rPr>
                <w:sz w:val="20"/>
                <w:szCs w:val="20"/>
                <w:color w:val="auto"/>
              </w:rPr>
            </w:pPr>
            <w:r>
              <w:rPr>
                <w:rFonts w:ascii="Calibri" w:cs="Calibri" w:eastAsia="Calibri" w:hAnsi="Calibri"/>
                <w:sz w:val="17"/>
                <w:szCs w:val="17"/>
                <w:b w:val="1"/>
                <w:bCs w:val="1"/>
                <w:color w:val="1C4787"/>
              </w:rPr>
              <w:t>Notonal Amount</w:t>
            </w:r>
          </w:p>
        </w:tc>
        <w:tc>
          <w:tcPr>
            <w:tcW w:w="320" w:type="dxa"/>
            <w:vAlign w:val="bottom"/>
          </w:tcPr>
          <w:p>
            <w:pPr>
              <w:spacing w:after="0"/>
              <w:rPr>
                <w:sz w:val="18"/>
                <w:szCs w:val="18"/>
                <w:color w:val="auto"/>
              </w:rPr>
            </w:pPr>
          </w:p>
        </w:tc>
        <w:tc>
          <w:tcPr>
            <w:tcW w:w="1580" w:type="dxa"/>
            <w:vAlign w:val="bottom"/>
            <w:gridSpan w:val="2"/>
          </w:tcPr>
          <w:p>
            <w:pPr>
              <w:ind w:left="220"/>
              <w:spacing w:after="0" w:line="205" w:lineRule="exact"/>
              <w:rPr>
                <w:sz w:val="20"/>
                <w:szCs w:val="20"/>
                <w:color w:val="auto"/>
              </w:rPr>
            </w:pPr>
            <w:r>
              <w:rPr>
                <w:rFonts w:ascii="Calibri" w:cs="Calibri" w:eastAsia="Calibri" w:hAnsi="Calibri"/>
                <w:sz w:val="17"/>
                <w:szCs w:val="17"/>
                <w:b w:val="1"/>
                <w:bCs w:val="1"/>
                <w:color w:val="1C4787"/>
              </w:rPr>
              <w:t>Cost Basis</w:t>
            </w:r>
          </w:p>
        </w:tc>
        <w:tc>
          <w:tcPr>
            <w:tcW w:w="360" w:type="dxa"/>
            <w:vAlign w:val="bottom"/>
          </w:tcPr>
          <w:p>
            <w:pPr>
              <w:spacing w:after="0"/>
              <w:rPr>
                <w:sz w:val="18"/>
                <w:szCs w:val="18"/>
                <w:color w:val="auto"/>
              </w:rPr>
            </w:pPr>
          </w:p>
        </w:tc>
        <w:tc>
          <w:tcPr>
            <w:tcW w:w="1560" w:type="dxa"/>
            <w:vAlign w:val="bottom"/>
          </w:tcPr>
          <w:p>
            <w:pPr>
              <w:jc w:val="right"/>
              <w:ind w:right="534"/>
              <w:spacing w:after="0" w:line="205" w:lineRule="exact"/>
              <w:rPr>
                <w:sz w:val="20"/>
                <w:szCs w:val="20"/>
                <w:color w:val="auto"/>
              </w:rPr>
            </w:pPr>
            <w:r>
              <w:rPr>
                <w:rFonts w:ascii="Calibri" w:cs="Calibri" w:eastAsia="Calibri" w:hAnsi="Calibri"/>
                <w:sz w:val="17"/>
                <w:szCs w:val="17"/>
                <w:b w:val="1"/>
                <w:bCs w:val="1"/>
                <w:color w:val="1C4787"/>
              </w:rPr>
              <w:t>Fair Value</w:t>
            </w:r>
          </w:p>
        </w:tc>
      </w:tr>
      <w:tr>
        <w:trPr>
          <w:trHeight w:val="219"/>
        </w:trPr>
        <w:tc>
          <w:tcPr>
            <w:tcW w:w="5280" w:type="dxa"/>
            <w:vAlign w:val="bottom"/>
            <w:tcBorders>
              <w:top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20" w:type="dxa"/>
            <w:vAlign w:val="bottom"/>
            <w:tcBorders>
              <w:top w:val="single" w:sz="8" w:color="E6EEFF"/>
            </w:tcBorders>
            <w:shd w:val="clear" w:color="auto" w:fill="E6EEFF"/>
          </w:tcPr>
          <w:p>
            <w:pPr>
              <w:spacing w:after="0"/>
              <w:rPr>
                <w:sz w:val="19"/>
                <w:szCs w:val="19"/>
                <w:color w:val="auto"/>
              </w:rPr>
            </w:pPr>
          </w:p>
        </w:tc>
        <w:tc>
          <w:tcPr>
            <w:tcW w:w="200" w:type="dxa"/>
            <w:vAlign w:val="bottom"/>
            <w:tcBorders>
              <w:top w:val="single" w:sz="8" w:color="auto"/>
            </w:tcBorders>
            <w:shd w:val="clear" w:color="auto" w:fill="E6EEFF"/>
          </w:tcPr>
          <w:p>
            <w:pPr>
              <w:spacing w:after="0"/>
              <w:rPr>
                <w:sz w:val="19"/>
                <w:szCs w:val="19"/>
                <w:color w:val="auto"/>
              </w:rPr>
            </w:pPr>
          </w:p>
        </w:tc>
        <w:tc>
          <w:tcPr>
            <w:tcW w:w="1640" w:type="dxa"/>
            <w:vAlign w:val="bottom"/>
            <w:tcBorders>
              <w:top w:val="single" w:sz="8" w:color="auto"/>
            </w:tcBorders>
            <w:shd w:val="clear" w:color="auto" w:fill="E6EEFF"/>
          </w:tcPr>
          <w:p>
            <w:pPr>
              <w:spacing w:after="0"/>
              <w:rPr>
                <w:sz w:val="19"/>
                <w:szCs w:val="19"/>
                <w:color w:val="auto"/>
              </w:rPr>
            </w:pPr>
          </w:p>
        </w:tc>
        <w:tc>
          <w:tcPr>
            <w:tcW w:w="120" w:type="dxa"/>
            <w:vAlign w:val="bottom"/>
            <w:tcBorders>
              <w:top w:val="single" w:sz="8" w:color="E6EEFF"/>
            </w:tcBorders>
            <w:shd w:val="clear" w:color="auto" w:fill="E6EEFF"/>
          </w:tcPr>
          <w:p>
            <w:pPr>
              <w:spacing w:after="0"/>
              <w:rPr>
                <w:sz w:val="19"/>
                <w:szCs w:val="19"/>
                <w:color w:val="auto"/>
              </w:rPr>
            </w:pPr>
          </w:p>
        </w:tc>
        <w:tc>
          <w:tcPr>
            <w:tcW w:w="320" w:type="dxa"/>
            <w:vAlign w:val="bottom"/>
            <w:tcBorders>
              <w:top w:val="single" w:sz="8" w:color="auto"/>
            </w:tcBorders>
            <w:shd w:val="clear" w:color="auto" w:fill="E6EEFF"/>
          </w:tcPr>
          <w:p>
            <w:pPr>
              <w:spacing w:after="0"/>
              <w:rPr>
                <w:sz w:val="19"/>
                <w:szCs w:val="19"/>
                <w:color w:val="auto"/>
              </w:rPr>
            </w:pPr>
          </w:p>
        </w:tc>
        <w:tc>
          <w:tcPr>
            <w:tcW w:w="1460" w:type="dxa"/>
            <w:vAlign w:val="bottom"/>
            <w:tcBorders>
              <w:top w:val="single" w:sz="8" w:color="auto"/>
            </w:tcBorders>
            <w:shd w:val="clear" w:color="auto" w:fill="E6EEFF"/>
          </w:tcPr>
          <w:p>
            <w:pPr>
              <w:spacing w:after="0"/>
              <w:rPr>
                <w:sz w:val="19"/>
                <w:szCs w:val="19"/>
                <w:color w:val="auto"/>
              </w:rPr>
            </w:pPr>
          </w:p>
        </w:tc>
        <w:tc>
          <w:tcPr>
            <w:tcW w:w="120" w:type="dxa"/>
            <w:vAlign w:val="bottom"/>
            <w:tcBorders>
              <w:top w:val="single" w:sz="8" w:color="E6EEFF"/>
            </w:tcBorders>
            <w:shd w:val="clear" w:color="auto" w:fill="E6EEFF"/>
          </w:tcPr>
          <w:p>
            <w:pPr>
              <w:spacing w:after="0"/>
              <w:rPr>
                <w:sz w:val="19"/>
                <w:szCs w:val="19"/>
                <w:color w:val="auto"/>
              </w:rPr>
            </w:pPr>
          </w:p>
        </w:tc>
        <w:tc>
          <w:tcPr>
            <w:tcW w:w="360" w:type="dxa"/>
            <w:vAlign w:val="bottom"/>
            <w:tcBorders>
              <w:top w:val="single" w:sz="8" w:color="auto"/>
            </w:tcBorders>
            <w:shd w:val="clear" w:color="auto" w:fill="E6EEFF"/>
          </w:tcPr>
          <w:p>
            <w:pPr>
              <w:spacing w:after="0"/>
              <w:rPr>
                <w:sz w:val="19"/>
                <w:szCs w:val="19"/>
                <w:color w:val="auto"/>
              </w:rPr>
            </w:pPr>
          </w:p>
        </w:tc>
        <w:tc>
          <w:tcPr>
            <w:tcW w:w="1560" w:type="dxa"/>
            <w:vAlign w:val="bottom"/>
            <w:tcBorders>
              <w:top w:val="single" w:sz="8" w:color="auto"/>
            </w:tcBorders>
            <w:shd w:val="clear" w:color="auto" w:fill="E6EEFF"/>
          </w:tcPr>
          <w:p>
            <w:pPr>
              <w:spacing w:after="0"/>
              <w:rPr>
                <w:sz w:val="19"/>
                <w:szCs w:val="19"/>
                <w:color w:val="auto"/>
              </w:rPr>
            </w:pPr>
          </w:p>
        </w:tc>
      </w:tr>
      <w:tr>
        <w:trPr>
          <w:trHeight w:val="212"/>
        </w:trPr>
        <w:tc>
          <w:tcPr>
            <w:tcW w:w="5400" w:type="dxa"/>
            <w:vAlign w:val="bottom"/>
            <w:gridSpan w:val="2"/>
          </w:tcPr>
          <w:p>
            <w:pPr>
              <w:ind w:left="200"/>
              <w:spacing w:after="0" w:line="205" w:lineRule="exact"/>
              <w:rPr>
                <w:sz w:val="20"/>
                <w:szCs w:val="20"/>
                <w:color w:val="auto"/>
              </w:rPr>
            </w:pPr>
            <w:r>
              <w:rPr>
                <w:rFonts w:ascii="Calibri" w:cs="Calibri" w:eastAsia="Calibri" w:hAnsi="Calibri"/>
                <w:sz w:val="17"/>
                <w:szCs w:val="17"/>
                <w:color w:val="auto"/>
              </w:rPr>
              <w:t>30 Year Long, 4.5%</w:t>
            </w:r>
          </w:p>
        </w:tc>
        <w:tc>
          <w:tcPr>
            <w:tcW w:w="200" w:type="dxa"/>
            <w:vAlign w:val="bottom"/>
          </w:tcPr>
          <w:p>
            <w:pPr>
              <w:spacing w:after="0"/>
              <w:rPr>
                <w:sz w:val="18"/>
                <w:szCs w:val="18"/>
                <w:color w:val="auto"/>
              </w:rPr>
            </w:pPr>
          </w:p>
        </w:tc>
        <w:tc>
          <w:tcPr>
            <w:tcW w:w="1640" w:type="dxa"/>
            <w:vAlign w:val="bottom"/>
          </w:tcPr>
          <w:p>
            <w:pPr>
              <w:jc w:val="right"/>
              <w:spacing w:after="0" w:line="205" w:lineRule="exact"/>
              <w:rPr>
                <w:sz w:val="20"/>
                <w:szCs w:val="20"/>
                <w:color w:val="auto"/>
              </w:rPr>
            </w:pPr>
            <w:r>
              <w:rPr>
                <w:rFonts w:ascii="Calibri" w:cs="Calibri" w:eastAsia="Calibri" w:hAnsi="Calibri"/>
                <w:sz w:val="17"/>
                <w:szCs w:val="17"/>
                <w:color w:val="auto"/>
              </w:rPr>
              <w:t>500,000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line="205" w:lineRule="exact"/>
              <w:rPr>
                <w:sz w:val="20"/>
                <w:szCs w:val="20"/>
                <w:color w:val="auto"/>
              </w:rPr>
            </w:pPr>
            <w:r>
              <w:rPr>
                <w:rFonts w:ascii="Calibri" w:cs="Calibri" w:eastAsia="Calibri" w:hAnsi="Calibri"/>
                <w:sz w:val="17"/>
                <w:szCs w:val="17"/>
                <w:color w:val="auto"/>
              </w:rPr>
              <w:t>489,805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line="205" w:lineRule="exact"/>
              <w:rPr>
                <w:sz w:val="20"/>
                <w:szCs w:val="20"/>
                <w:color w:val="auto"/>
              </w:rPr>
            </w:pPr>
            <w:r>
              <w:rPr>
                <w:rFonts w:ascii="Calibri" w:cs="Calibri" w:eastAsia="Calibri" w:hAnsi="Calibri"/>
                <w:sz w:val="17"/>
                <w:szCs w:val="17"/>
                <w:color w:val="auto"/>
              </w:rPr>
              <w:t>481,641</w:t>
            </w:r>
          </w:p>
        </w:tc>
      </w:tr>
      <w:tr>
        <w:trPr>
          <w:trHeight w:val="219"/>
        </w:trPr>
        <w:tc>
          <w:tcPr>
            <w:tcW w:w="5400" w:type="dxa"/>
            <w:vAlign w:val="bottom"/>
            <w:gridSpan w:val="2"/>
            <w:shd w:val="clear" w:color="auto" w:fill="E6EEFF"/>
          </w:tcPr>
          <w:p>
            <w:pPr>
              <w:ind w:left="200"/>
              <w:spacing w:after="0"/>
              <w:rPr>
                <w:sz w:val="20"/>
                <w:szCs w:val="20"/>
                <w:color w:val="auto"/>
              </w:rPr>
            </w:pPr>
            <w:r>
              <w:rPr>
                <w:rFonts w:ascii="Calibri" w:cs="Calibri" w:eastAsia="Calibri" w:hAnsi="Calibri"/>
                <w:sz w:val="17"/>
                <w:szCs w:val="17"/>
                <w:color w:val="auto"/>
              </w:rPr>
              <w:t>30 Year Long, 5.0%</w:t>
            </w:r>
          </w:p>
        </w:tc>
        <w:tc>
          <w:tcPr>
            <w:tcW w:w="200" w:type="dxa"/>
            <w:vAlign w:val="bottom"/>
            <w:tcBorders>
              <w:bottom w:val="single" w:sz="8" w:color="auto"/>
            </w:tcBorders>
            <w:shd w:val="clear" w:color="auto" w:fill="E6EEFF"/>
          </w:tcPr>
          <w:p>
            <w:pPr>
              <w:spacing w:after="0"/>
              <w:rPr>
                <w:sz w:val="19"/>
                <w:szCs w:val="19"/>
                <w:color w:val="auto"/>
              </w:rPr>
            </w:pPr>
          </w:p>
        </w:tc>
        <w:tc>
          <w:tcPr>
            <w:tcW w:w="164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300,000</w:t>
            </w:r>
          </w:p>
        </w:tc>
        <w:tc>
          <w:tcPr>
            <w:tcW w:w="120" w:type="dxa"/>
            <w:vAlign w:val="bottom"/>
            <w:shd w:val="clear" w:color="auto" w:fill="E6EEFF"/>
          </w:tcPr>
          <w:p>
            <w:pPr>
              <w:spacing w:after="0"/>
              <w:rPr>
                <w:sz w:val="19"/>
                <w:szCs w:val="19"/>
                <w:color w:val="auto"/>
              </w:rPr>
            </w:pPr>
          </w:p>
        </w:tc>
        <w:tc>
          <w:tcPr>
            <w:tcW w:w="320" w:type="dxa"/>
            <w:vAlign w:val="bottom"/>
            <w:tcBorders>
              <w:bottom w:val="single" w:sz="8" w:color="auto"/>
            </w:tcBorders>
            <w:shd w:val="clear" w:color="auto" w:fill="E6EEFF"/>
          </w:tcPr>
          <w:p>
            <w:pPr>
              <w:spacing w:after="0"/>
              <w:rPr>
                <w:sz w:val="19"/>
                <w:szCs w:val="19"/>
                <w:color w:val="auto"/>
              </w:rPr>
            </w:pPr>
          </w:p>
        </w:tc>
        <w:tc>
          <w:tcPr>
            <w:tcW w:w="146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300,164</w:t>
            </w:r>
          </w:p>
        </w:tc>
        <w:tc>
          <w:tcPr>
            <w:tcW w:w="120" w:type="dxa"/>
            <w:vAlign w:val="bottom"/>
            <w:shd w:val="clear" w:color="auto" w:fill="E6EEFF"/>
          </w:tcPr>
          <w:p>
            <w:pPr>
              <w:spacing w:after="0"/>
              <w:rPr>
                <w:sz w:val="19"/>
                <w:szCs w:val="19"/>
                <w:color w:val="auto"/>
              </w:rPr>
            </w:pPr>
          </w:p>
        </w:tc>
        <w:tc>
          <w:tcPr>
            <w:tcW w:w="360" w:type="dxa"/>
            <w:vAlign w:val="bottom"/>
            <w:tcBorders>
              <w:bottom w:val="single" w:sz="8" w:color="auto"/>
            </w:tcBorders>
            <w:shd w:val="clear" w:color="auto" w:fill="E6EEFF"/>
          </w:tcPr>
          <w:p>
            <w:pPr>
              <w:spacing w:after="0"/>
              <w:rPr>
                <w:sz w:val="19"/>
                <w:szCs w:val="19"/>
                <w:color w:val="auto"/>
              </w:rPr>
            </w:pPr>
          </w:p>
        </w:tc>
        <w:tc>
          <w:tcPr>
            <w:tcW w:w="156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295,828</w:t>
            </w:r>
          </w:p>
        </w:tc>
      </w:tr>
      <w:tr>
        <w:trPr>
          <w:trHeight w:val="219"/>
        </w:trPr>
        <w:tc>
          <w:tcPr>
            <w:tcW w:w="5400" w:type="dxa"/>
            <w:vAlign w:val="bottom"/>
            <w:gridSpan w:val="2"/>
          </w:tcPr>
          <w:p>
            <w:pPr>
              <w:ind w:left="20"/>
              <w:spacing w:after="0" w:line="219" w:lineRule="exact"/>
              <w:rPr>
                <w:sz w:val="20"/>
                <w:szCs w:val="20"/>
                <w:color w:val="auto"/>
              </w:rPr>
            </w:pPr>
            <w:r>
              <w:rPr>
                <w:rFonts w:ascii="Calibri" w:cs="Calibri" w:eastAsia="Calibri" w:hAnsi="Calibri"/>
                <w:sz w:val="17"/>
                <w:szCs w:val="17"/>
                <w:b w:val="1"/>
                <w:bCs w:val="1"/>
                <w:color w:val="1C4787"/>
              </w:rPr>
              <w:t xml:space="preserve">Total </w:t>
            </w:r>
            <w:r>
              <w:rPr>
                <w:rFonts w:ascii="Calibri" w:cs="Calibri" w:eastAsia="Calibri" w:hAnsi="Calibri"/>
                <w:sz w:val="22"/>
                <w:szCs w:val="22"/>
                <w:b w:val="1"/>
                <w:bCs w:val="1"/>
                <w:color w:val="1C4787"/>
                <w:vertAlign w:val="superscript"/>
              </w:rPr>
              <w:t>(1)</w:t>
            </w:r>
          </w:p>
        </w:tc>
        <w:tc>
          <w:tcPr>
            <w:tcW w:w="200" w:type="dxa"/>
            <w:vAlign w:val="bottom"/>
            <w:tcBorders>
              <w:bottom w:val="single" w:sz="8" w:color="auto"/>
            </w:tcBorders>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16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800,000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line="205" w:lineRule="exact"/>
              <w:rPr>
                <w:sz w:val="20"/>
                <w:szCs w:val="20"/>
                <w:color w:val="auto"/>
              </w:rPr>
            </w:pPr>
            <w:r>
              <w:rPr>
                <w:rFonts w:ascii="Calibri" w:cs="Calibri" w:eastAsia="Calibri" w:hAnsi="Calibri"/>
                <w:sz w:val="17"/>
                <w:szCs w:val="17"/>
                <w:color w:val="auto"/>
                <w:w w:val="92"/>
              </w:rPr>
              <w:t>$</w:t>
            </w:r>
          </w:p>
        </w:tc>
        <w:tc>
          <w:tcPr>
            <w:tcW w:w="14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789,969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line="205" w:lineRule="exact"/>
              <w:rPr>
                <w:sz w:val="20"/>
                <w:szCs w:val="20"/>
                <w:color w:val="auto"/>
              </w:rPr>
            </w:pPr>
            <w:r>
              <w:rPr>
                <w:rFonts w:ascii="Calibri" w:cs="Calibri" w:eastAsia="Calibri" w:hAnsi="Calibri"/>
                <w:sz w:val="17"/>
                <w:szCs w:val="17"/>
                <w:color w:val="auto"/>
                <w:w w:val="92"/>
              </w:rPr>
              <w:t>$</w:t>
            </w:r>
          </w:p>
        </w:tc>
        <w:tc>
          <w:tcPr>
            <w:tcW w:w="15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777,469</w:t>
            </w: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Calibri" w:cs="Calibri" w:eastAsia="Calibri" w:hAnsi="Calibri"/>
          <w:sz w:val="17"/>
          <w:szCs w:val="17"/>
          <w:color w:val="auto"/>
        </w:rPr>
        <w:t>(1)  $0 notonal and $400,000 notonal were forward setling at December 31, 2023 and December 31, 2022, respectvely.</w:t>
      </w:r>
    </w:p>
    <w:p>
      <w:pPr>
        <w:spacing w:after="0" w:line="33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Note 8 - Commitments and Contngencies</w:t>
      </w:r>
    </w:p>
    <w:p>
      <w:pPr>
        <w:spacing w:after="0" w:line="102"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Management</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Company is managed by ACM, pursuant to a management agreement (see also Note 14, “Related Party Transactons”). The management agreement enttles ACM to receive a management fee payable monthly in arrears. Currently, the monthly management fee is 1/12th of the sum of (a) 1.5% of gross equity raised up to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1163955</wp:posOffset>
            </wp:positionV>
            <wp:extent cx="716407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440055</wp:posOffset>
            </wp:positionV>
            <wp:extent cx="458470" cy="5073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97" w:name="page98"/>
    <w:bookmarkEnd w:id="97"/>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96</w:t>
      </w:r>
    </w:p>
    <w:p>
      <w:pPr>
        <w:spacing w:after="0" w:line="200" w:lineRule="exact"/>
        <w:rPr>
          <w:sz w:val="20"/>
          <w:szCs w:val="20"/>
          <w:color w:val="auto"/>
        </w:rPr>
      </w:pPr>
    </w:p>
    <w:p>
      <w:pPr>
        <w:spacing w:after="0" w:line="318"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billion plus (b) 0.75% of gross equity raised in excess of $1.0 billion. Gross equity raised includes the total amounts of paid in capital relatng to both our common and preferred stock, before deducton of brokerage commissions and other costs of capital raising. Amounts paid to stockholders to repurchase stock, before deducton of brokerage commissions and costs, reduces gross equity raised. Dividends specifcally designated by the Board as liquidaton dividends will reduce the amount of gross equity raised. To date, the Board has not so designated any of the dividends paid by the Company. Realized and unrealized gains and losses do not afect the amount of gross equity raised. At December 31, 2023, December 31, 2022 and December 31, 2021, the efectve management fee, prior to management fees waived, was 0.93%, 0.95% and 0.98% based on gross equity raised of $4,231,965, $3,787,042 and $3,313,937, respectvely.</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ACM began waiving 40% of its management fee during the second quarter of 2020 and on January 13, 2021, ACM notfed ARMOUR that it intended to adjust the fee waiver to the rate of $2,400 for the frst quarter of 2021 and $800 per month thereafer. On April 20, 2021, ACM notfed ARMOUR that it intended to adjust the fee waiver to the rate of $2,100 for the second quarter of 2021 and $700 per month thereafer. On October 25, 2021, ACM notfed ARMOUR that it intended to adjust the fee waiver from the rate of $700 per month to $650 per month, efectve November 1, 2021, untl further notce. On February 14, 2023, ACM notfed ARMOUR that it intended to adjust the fee waiver to the rate of $1,650 for the frst quarter of 2023 and $550 per month thereafer untl ACM provides further notce to ARMOUR.</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During the years ended December 31, 2023, December 31, 2022 and December 31, 2021 ACM voluntarily waived management fees of $6,600, $7,800 and $8,600 respectvely. The monthly management fees are not calculated based on the performance of our assets. Accordingly, the payment of our monthly management fees may not decline in the event of a decline in our earnings and may cause us to incur losses. We are also responsible for any costs and expenses that ACM incurs solely on our behalf other than the various overhead expenses specifed in the terms of the management agreement.</w:t>
      </w:r>
    </w:p>
    <w:p>
      <w:pPr>
        <w:spacing w:after="0" w:line="170" w:lineRule="exact"/>
        <w:rPr>
          <w:sz w:val="20"/>
          <w:szCs w:val="20"/>
          <w:color w:val="auto"/>
        </w:rPr>
      </w:pPr>
    </w:p>
    <w:p>
      <w:pPr>
        <w:jc w:val="both"/>
        <w:ind w:firstLine="619"/>
        <w:spacing w:after="0" w:line="259" w:lineRule="auto"/>
        <w:rPr>
          <w:sz w:val="20"/>
          <w:szCs w:val="20"/>
          <w:color w:val="auto"/>
        </w:rPr>
      </w:pPr>
      <w:r>
        <w:rPr>
          <w:rFonts w:ascii="Calibri" w:cs="Calibri" w:eastAsia="Calibri" w:hAnsi="Calibri"/>
          <w:sz w:val="16"/>
          <w:szCs w:val="16"/>
          <w:color w:val="auto"/>
        </w:rPr>
        <w:t>ACM may terminate this waiver by providing notce to ARMOUR on or before the 25th day of the preceding month. This waiver does not consttute a waiver of any other amounts due to ACM from ARMOUR under the management agreement or otherwise, including but not limited to any expense reimbursements, any amounts calculated by reference to the contractual Base Management Fee, or any awards under the 2009 Stock Incentve Plan as amended (the “Plan”).</w:t>
      </w:r>
    </w:p>
    <w:p>
      <w:pPr>
        <w:spacing w:after="0" w:line="167"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On February 14, 2023, the Company extended the contractual term of the management agreement through December 31, 2029. Based on the management fee base, gross equity raised, as of December 31, 2023, the Company’s contractual management fee commitments are:</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7480" w:type="dxa"/>
            <w:vAlign w:val="bottom"/>
            <w:gridSpan w:val="2"/>
            <w:shd w:val="clear" w:color="auto" w:fill="E6EEFF"/>
          </w:tcPr>
          <w:p>
            <w:pPr>
              <w:ind w:left="3540"/>
              <w:spacing w:after="0"/>
              <w:rPr>
                <w:sz w:val="20"/>
                <w:szCs w:val="20"/>
                <w:color w:val="auto"/>
              </w:rPr>
            </w:pPr>
            <w:r>
              <w:rPr>
                <w:rFonts w:ascii="Calibri" w:cs="Calibri" w:eastAsia="Calibri" w:hAnsi="Calibri"/>
                <w:sz w:val="17"/>
                <w:szCs w:val="17"/>
                <w:b w:val="1"/>
                <w:bCs w:val="1"/>
                <w:color w:val="1C4787"/>
              </w:rPr>
              <w:t>Year</w:t>
            </w:r>
          </w:p>
        </w:tc>
        <w:tc>
          <w:tcPr>
            <w:tcW w:w="480" w:type="dxa"/>
            <w:vAlign w:val="bottom"/>
            <w:shd w:val="clear" w:color="auto" w:fill="E6EEFF"/>
          </w:tcPr>
          <w:p>
            <w:pPr>
              <w:spacing w:after="0"/>
              <w:rPr>
                <w:sz w:val="19"/>
                <w:szCs w:val="19"/>
                <w:color w:val="auto"/>
              </w:rPr>
            </w:pPr>
          </w:p>
        </w:tc>
        <w:tc>
          <w:tcPr>
            <w:tcW w:w="3260" w:type="dxa"/>
            <w:vAlign w:val="bottom"/>
            <w:shd w:val="clear" w:color="auto" w:fill="E6EEFF"/>
          </w:tcPr>
          <w:p>
            <w:pPr>
              <w:jc w:val="right"/>
              <w:ind w:right="754"/>
              <w:spacing w:after="0"/>
              <w:rPr>
                <w:sz w:val="20"/>
                <w:szCs w:val="20"/>
                <w:color w:val="auto"/>
              </w:rPr>
            </w:pPr>
            <w:r>
              <w:rPr>
                <w:rFonts w:ascii="Calibri" w:cs="Calibri" w:eastAsia="Calibri" w:hAnsi="Calibri"/>
                <w:sz w:val="17"/>
                <w:szCs w:val="17"/>
                <w:b w:val="1"/>
                <w:bCs w:val="1"/>
                <w:color w:val="1C4787"/>
              </w:rPr>
              <w:t>Contractual Management Fee</w:t>
            </w:r>
          </w:p>
        </w:tc>
      </w:tr>
      <w:tr>
        <w:trPr>
          <w:trHeight w:val="205"/>
        </w:trPr>
        <w:tc>
          <w:tcPr>
            <w:tcW w:w="740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2024</w:t>
            </w: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39,240</w:t>
            </w:r>
          </w:p>
        </w:tc>
      </w:tr>
      <w:tr>
        <w:trPr>
          <w:trHeight w:val="226"/>
        </w:trPr>
        <w:tc>
          <w:tcPr>
            <w:tcW w:w="740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2025</w:t>
            </w:r>
          </w:p>
        </w:tc>
        <w:tc>
          <w:tcPr>
            <w:tcW w:w="80" w:type="dxa"/>
            <w:vAlign w:val="bottom"/>
            <w:shd w:val="clear" w:color="auto" w:fill="E6EEFF"/>
          </w:tcPr>
          <w:p>
            <w:pPr>
              <w:spacing w:after="0"/>
              <w:rPr>
                <w:sz w:val="19"/>
                <w:szCs w:val="19"/>
                <w:color w:val="auto"/>
              </w:rPr>
            </w:pPr>
          </w:p>
        </w:tc>
        <w:tc>
          <w:tcPr>
            <w:tcW w:w="480" w:type="dxa"/>
            <w:vAlign w:val="bottom"/>
            <w:shd w:val="clear" w:color="auto" w:fill="E6EEFF"/>
          </w:tcPr>
          <w:p>
            <w:pPr>
              <w:spacing w:after="0"/>
              <w:rPr>
                <w:sz w:val="19"/>
                <w:szCs w:val="19"/>
                <w:color w:val="auto"/>
              </w:rPr>
            </w:pPr>
          </w:p>
        </w:tc>
        <w:tc>
          <w:tcPr>
            <w:tcW w:w="32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39,240</w:t>
            </w:r>
          </w:p>
        </w:tc>
      </w:tr>
      <w:tr>
        <w:trPr>
          <w:trHeight w:val="212"/>
        </w:trPr>
        <w:tc>
          <w:tcPr>
            <w:tcW w:w="7400" w:type="dxa"/>
            <w:vAlign w:val="bottom"/>
          </w:tcPr>
          <w:p>
            <w:pPr>
              <w:ind w:left="20"/>
              <w:spacing w:after="0" w:line="205" w:lineRule="exact"/>
              <w:rPr>
                <w:sz w:val="20"/>
                <w:szCs w:val="20"/>
                <w:color w:val="auto"/>
              </w:rPr>
            </w:pPr>
            <w:r>
              <w:rPr>
                <w:rFonts w:ascii="Calibri" w:cs="Calibri" w:eastAsia="Calibri" w:hAnsi="Calibri"/>
                <w:sz w:val="17"/>
                <w:szCs w:val="17"/>
                <w:color w:val="auto"/>
              </w:rPr>
              <w:t>2026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60" w:type="dxa"/>
            <w:vAlign w:val="bottom"/>
          </w:tcPr>
          <w:p>
            <w:pPr>
              <w:jc w:val="right"/>
              <w:spacing w:after="0" w:line="205" w:lineRule="exact"/>
              <w:rPr>
                <w:sz w:val="20"/>
                <w:szCs w:val="20"/>
                <w:color w:val="auto"/>
              </w:rPr>
            </w:pPr>
            <w:r>
              <w:rPr>
                <w:rFonts w:ascii="Calibri" w:cs="Calibri" w:eastAsia="Calibri" w:hAnsi="Calibri"/>
                <w:sz w:val="17"/>
                <w:szCs w:val="17"/>
                <w:color w:val="auto"/>
              </w:rPr>
              <w:t>39,240</w:t>
            </w:r>
          </w:p>
        </w:tc>
      </w:tr>
      <w:tr>
        <w:trPr>
          <w:trHeight w:val="226"/>
        </w:trPr>
        <w:tc>
          <w:tcPr>
            <w:tcW w:w="740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2027</w:t>
            </w:r>
          </w:p>
        </w:tc>
        <w:tc>
          <w:tcPr>
            <w:tcW w:w="80" w:type="dxa"/>
            <w:vAlign w:val="bottom"/>
            <w:shd w:val="clear" w:color="auto" w:fill="E6EEFF"/>
          </w:tcPr>
          <w:p>
            <w:pPr>
              <w:spacing w:after="0"/>
              <w:rPr>
                <w:sz w:val="19"/>
                <w:szCs w:val="19"/>
                <w:color w:val="auto"/>
              </w:rPr>
            </w:pPr>
          </w:p>
        </w:tc>
        <w:tc>
          <w:tcPr>
            <w:tcW w:w="480" w:type="dxa"/>
            <w:vAlign w:val="bottom"/>
            <w:shd w:val="clear" w:color="auto" w:fill="E6EEFF"/>
          </w:tcPr>
          <w:p>
            <w:pPr>
              <w:spacing w:after="0"/>
              <w:rPr>
                <w:sz w:val="19"/>
                <w:szCs w:val="19"/>
                <w:color w:val="auto"/>
              </w:rPr>
            </w:pPr>
          </w:p>
        </w:tc>
        <w:tc>
          <w:tcPr>
            <w:tcW w:w="32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39,240</w:t>
            </w:r>
          </w:p>
        </w:tc>
      </w:tr>
      <w:tr>
        <w:trPr>
          <w:trHeight w:val="212"/>
        </w:trPr>
        <w:tc>
          <w:tcPr>
            <w:tcW w:w="7400" w:type="dxa"/>
            <w:vAlign w:val="bottom"/>
          </w:tcPr>
          <w:p>
            <w:pPr>
              <w:ind w:left="20"/>
              <w:spacing w:after="0" w:line="205" w:lineRule="exact"/>
              <w:rPr>
                <w:sz w:val="20"/>
                <w:szCs w:val="20"/>
                <w:color w:val="auto"/>
              </w:rPr>
            </w:pPr>
            <w:r>
              <w:rPr>
                <w:rFonts w:ascii="Calibri" w:cs="Calibri" w:eastAsia="Calibri" w:hAnsi="Calibri"/>
                <w:sz w:val="17"/>
                <w:szCs w:val="17"/>
                <w:color w:val="auto"/>
              </w:rPr>
              <w:t>2028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60" w:type="dxa"/>
            <w:vAlign w:val="bottom"/>
          </w:tcPr>
          <w:p>
            <w:pPr>
              <w:jc w:val="right"/>
              <w:spacing w:after="0" w:line="205" w:lineRule="exact"/>
              <w:rPr>
                <w:sz w:val="20"/>
                <w:szCs w:val="20"/>
                <w:color w:val="auto"/>
              </w:rPr>
            </w:pPr>
            <w:r>
              <w:rPr>
                <w:rFonts w:ascii="Calibri" w:cs="Calibri" w:eastAsia="Calibri" w:hAnsi="Calibri"/>
                <w:sz w:val="17"/>
                <w:szCs w:val="17"/>
                <w:color w:val="auto"/>
              </w:rPr>
              <w:t>39,240</w:t>
            </w:r>
          </w:p>
        </w:tc>
      </w:tr>
      <w:tr>
        <w:trPr>
          <w:trHeight w:val="219"/>
        </w:trPr>
        <w:tc>
          <w:tcPr>
            <w:tcW w:w="740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2029</w:t>
            </w:r>
          </w:p>
        </w:tc>
        <w:tc>
          <w:tcPr>
            <w:tcW w:w="80" w:type="dxa"/>
            <w:vAlign w:val="bottom"/>
            <w:shd w:val="clear" w:color="auto" w:fill="E6EEFF"/>
          </w:tcPr>
          <w:p>
            <w:pPr>
              <w:spacing w:after="0"/>
              <w:rPr>
                <w:sz w:val="19"/>
                <w:szCs w:val="19"/>
                <w:color w:val="auto"/>
              </w:rPr>
            </w:pPr>
          </w:p>
        </w:tc>
        <w:tc>
          <w:tcPr>
            <w:tcW w:w="480" w:type="dxa"/>
            <w:vAlign w:val="bottom"/>
            <w:tcBorders>
              <w:bottom w:val="single" w:sz="8" w:color="auto"/>
            </w:tcBorders>
            <w:shd w:val="clear" w:color="auto" w:fill="E6EEFF"/>
          </w:tcPr>
          <w:p>
            <w:pPr>
              <w:spacing w:after="0"/>
              <w:rPr>
                <w:sz w:val="19"/>
                <w:szCs w:val="19"/>
                <w:color w:val="auto"/>
              </w:rPr>
            </w:pPr>
          </w:p>
        </w:tc>
        <w:tc>
          <w:tcPr>
            <w:tcW w:w="326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39,240</w:t>
            </w:r>
          </w:p>
        </w:tc>
      </w:tr>
      <w:tr>
        <w:trPr>
          <w:trHeight w:val="219"/>
        </w:trPr>
        <w:tc>
          <w:tcPr>
            <w:tcW w:w="7480" w:type="dxa"/>
            <w:vAlign w:val="bottom"/>
            <w:gridSpan w:val="2"/>
          </w:tcPr>
          <w:p>
            <w:pPr>
              <w:ind w:left="20"/>
              <w:spacing w:after="0"/>
              <w:rPr>
                <w:sz w:val="20"/>
                <w:szCs w:val="20"/>
                <w:color w:val="auto"/>
              </w:rPr>
            </w:pPr>
            <w:r>
              <w:rPr>
                <w:rFonts w:ascii="Calibri" w:cs="Calibri" w:eastAsia="Calibri" w:hAnsi="Calibri"/>
                <w:sz w:val="17"/>
                <w:szCs w:val="17"/>
                <w:b w:val="1"/>
                <w:bCs w:val="1"/>
                <w:color w:val="auto"/>
              </w:rPr>
              <w:t>Total</w:t>
            </w:r>
          </w:p>
        </w:tc>
        <w:tc>
          <w:tcPr>
            <w:tcW w:w="480" w:type="dxa"/>
            <w:vAlign w:val="bottom"/>
            <w:tcBorders>
              <w:bottom w:val="single" w:sz="8" w:color="auto"/>
            </w:tcBorders>
          </w:tcPr>
          <w:p>
            <w:pPr>
              <w:jc w:val="right"/>
              <w:ind w:right="274"/>
              <w:spacing w:after="0" w:line="205" w:lineRule="exact"/>
              <w:rPr>
                <w:sz w:val="20"/>
                <w:szCs w:val="20"/>
                <w:color w:val="auto"/>
              </w:rPr>
            </w:pPr>
            <w:r>
              <w:rPr>
                <w:rFonts w:ascii="Calibri" w:cs="Calibri" w:eastAsia="Calibri" w:hAnsi="Calibri"/>
                <w:sz w:val="17"/>
                <w:szCs w:val="17"/>
                <w:color w:val="auto"/>
              </w:rPr>
              <w:t>$</w:t>
            </w:r>
          </w:p>
        </w:tc>
        <w:tc>
          <w:tcPr>
            <w:tcW w:w="32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235,440</w:t>
            </w:r>
          </w:p>
        </w:tc>
      </w:tr>
      <w:tr>
        <w:trPr>
          <w:trHeight w:val="20"/>
        </w:trPr>
        <w:tc>
          <w:tcPr>
            <w:tcW w:w="7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Company cannot voluntarily terminate the management agreement without cause before the expiraton of its contractual term. If the management agreement is terminated in connecton with a liquidaton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98" w:name="page99"/>
    <w:bookmarkEnd w:id="98"/>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97</w:t>
      </w:r>
    </w:p>
    <w:p>
      <w:pPr>
        <w:spacing w:after="0" w:line="200" w:lineRule="exact"/>
        <w:rPr>
          <w:sz w:val="20"/>
          <w:szCs w:val="20"/>
          <w:color w:val="auto"/>
        </w:rPr>
      </w:pPr>
    </w:p>
    <w:p>
      <w:pPr>
        <w:spacing w:after="0" w:line="318"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the Company or certain business combinaton transactons, the Company is obliged to pay ACM a terminaton fee equal to 4 tmes the contractual management fee (before any waiver) for the preceding 12 months.</w:t>
      </w:r>
    </w:p>
    <w:p>
      <w:pPr>
        <w:spacing w:after="0" w:line="181"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Indemnifcatons and Litgaton</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enter into certain contracts that contain a variety of indemnifcatons, principally with ACM and underwriters, against third-party claims for errors and omissions in connecton with their services to us. We have not incurred any costs to defend lawsuits or setle claims related to these indemnifcaton agreements. As a result, the estmated fair value of these agreements, as well as the maximum amount atributable to past events, is not material. Accordingly, we have no liabilites recorded for these agreements at December 31, 2023 and December 31, 2022.</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Nine putatve class acton lawsuits were fled in connecton with the tender ofer and merger for JAVELIN alleging, among other things, breach of fduciary dutes and seeking equitable relief, including, among other relief, to enjoin consummaton of the transactons, or rescind or unwind the transactons if already consummated, and award costs and disbursements, including reasonable atorneys' fees and expenses. The sole Florida lawsuit was never served on the defendants, and that case was voluntarily dismissed and closed on January 20, 2017. On April 25, 2016, the Maryland court issued an order consolidatng the eight Maryland cases into one acton, captoned In re JAVELIN Mortgage Investment Corp. Shareholder Litgaton (Case No. 24-C-16-001542), and designated counsel for one of the Maryland cases as interim lead co-counsel. On May 26, 2016, interim lead counsel fled the Consolidated Amended Class Acton Complaint for Breach of Fiduciary Duty assertng consolidated claims of breach of fduciary duty, aiding and abetng the breaches of fduciary duty, and waste. On June 27, 2016, defendants fled a Moton to Dismiss the Consolidated Amended Class Acton Complaint for failing to state a claim upon which relief can be granted. A hearing was held on the Moton to Dismiss on March 3, 2017, and the Court reserved ruling. The Court deferred ruling on the Moton to Dismiss several tmes. On February 14, 2024, the Court issued an order grantng defendants’ Moton to Dismiss, and dismissed all of plaintfs’ claims with prejudice, and without leave to amend. On March 11, 2024, plaintfs fled a Notce of Appeal of the Court's order of dismissal.</w:t>
      </w:r>
    </w:p>
    <w:p>
      <w:pPr>
        <w:spacing w:after="0" w:line="186"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Each of ARMOUR, JAVELIN, ACM and the Individual Defendants intends to defend the claims made in these lawsuits vigorously; however, there can be no assurance that any of ARMOUR, JAVELIN, ACM or the Individual Defendants will prevail in its defense of any of these lawsuits to which it is a party. An unfavorable resoluton of any such litgaton surrounding the Transactons may result in monetary damages being awarded to the plaintfs and the putatve class of former stockholders of JAVELIN and the cost of defending the litgaton, even if resolved favorably, could be substantal. Due to the preliminary nature of all of these suits, ARMOUR is not able at this tme to estmate their outcome.</w:t>
      </w:r>
    </w:p>
    <w:p>
      <w:pPr>
        <w:spacing w:after="0" w:line="16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Note 9 - Stock Based Compensaton</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adopted the Plan to atract, retain and reward directors and other persons who provide services to us in the course of operatons. The Plan authorizes the Board to grant awards including common stock, restricted shares of common stock (“RSUs”), stock optons, performance shares, performance units, stock appreciaton rights and other equity and cash-based awards (collectvely, “Awards”), subject to terms as provided in the Plan. In connecton with the Reverse Stock Split, the number of shares of common stock issuable under the Plan was proportonately adjusted. At December 31, 2023, there were 173 shares available for future issuance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1418590</wp:posOffset>
            </wp:positionV>
            <wp:extent cx="716407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694690</wp:posOffset>
            </wp:positionV>
            <wp:extent cx="458470" cy="5073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99" w:name="page100"/>
    <w:bookmarkEnd w:id="99"/>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98</w:t>
      </w:r>
    </w:p>
    <w:p>
      <w:pPr>
        <w:spacing w:after="0" w:line="200" w:lineRule="exact"/>
        <w:rPr>
          <w:sz w:val="20"/>
          <w:szCs w:val="20"/>
          <w:color w:val="auto"/>
        </w:rPr>
      </w:pPr>
    </w:p>
    <w:p>
      <w:pPr>
        <w:spacing w:after="0" w:line="315"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Transactons related to awards for the years ended December 31, 2023, December 31, 2022 and December 31, 2021 are summarized below:</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4080" w:type="dxa"/>
            <w:vAlign w:val="bottom"/>
            <w:shd w:val="clear" w:color="auto" w:fill="E6EEFF"/>
          </w:tcPr>
          <w:p>
            <w:pPr>
              <w:spacing w:after="0"/>
              <w:rPr>
                <w:sz w:val="19"/>
                <w:szCs w:val="19"/>
                <w:color w:val="auto"/>
              </w:rPr>
            </w:pPr>
          </w:p>
        </w:tc>
        <w:tc>
          <w:tcPr>
            <w:tcW w:w="960" w:type="dxa"/>
            <w:vAlign w:val="bottom"/>
            <w:tcBorders>
              <w:bottom w:val="single" w:sz="8" w:color="auto"/>
            </w:tcBorders>
            <w:shd w:val="clear" w:color="auto" w:fill="E6EEFF"/>
          </w:tcPr>
          <w:p>
            <w:pPr>
              <w:spacing w:after="0"/>
              <w:rPr>
                <w:sz w:val="19"/>
                <w:szCs w:val="19"/>
                <w:color w:val="auto"/>
              </w:rPr>
            </w:pPr>
          </w:p>
        </w:tc>
        <w:tc>
          <w:tcPr>
            <w:tcW w:w="120" w:type="dxa"/>
            <w:vAlign w:val="bottom"/>
            <w:tcBorders>
              <w:bottom w:val="single" w:sz="8" w:color="auto"/>
            </w:tcBorders>
            <w:shd w:val="clear" w:color="auto" w:fill="E6EEFF"/>
          </w:tcPr>
          <w:p>
            <w:pPr>
              <w:spacing w:after="0"/>
              <w:rPr>
                <w:sz w:val="19"/>
                <w:szCs w:val="19"/>
                <w:color w:val="auto"/>
              </w:rPr>
            </w:pPr>
          </w:p>
        </w:tc>
        <w:tc>
          <w:tcPr>
            <w:tcW w:w="100" w:type="dxa"/>
            <w:vAlign w:val="bottom"/>
            <w:tcBorders>
              <w:bottom w:val="single" w:sz="8" w:color="auto"/>
            </w:tcBorders>
            <w:shd w:val="clear" w:color="auto" w:fill="E6EEFF"/>
          </w:tcPr>
          <w:p>
            <w:pPr>
              <w:spacing w:after="0"/>
              <w:rPr>
                <w:sz w:val="19"/>
                <w:szCs w:val="19"/>
                <w:color w:val="auto"/>
              </w:rPr>
            </w:pPr>
          </w:p>
        </w:tc>
        <w:tc>
          <w:tcPr>
            <w:tcW w:w="1100" w:type="dxa"/>
            <w:vAlign w:val="bottom"/>
            <w:tcBorders>
              <w:bottom w:val="single" w:sz="8" w:color="auto"/>
            </w:tcBorders>
            <w:shd w:val="clear" w:color="auto" w:fill="E6EEFF"/>
          </w:tcPr>
          <w:p>
            <w:pPr>
              <w:spacing w:after="0"/>
              <w:rPr>
                <w:sz w:val="19"/>
                <w:szCs w:val="19"/>
                <w:color w:val="auto"/>
              </w:rPr>
            </w:pPr>
          </w:p>
        </w:tc>
        <w:tc>
          <w:tcPr>
            <w:tcW w:w="120" w:type="dxa"/>
            <w:vAlign w:val="bottom"/>
            <w:tcBorders>
              <w:bottom w:val="single" w:sz="8" w:color="auto"/>
            </w:tcBorders>
            <w:shd w:val="clear" w:color="auto" w:fill="E6EEFF"/>
          </w:tcPr>
          <w:p>
            <w:pPr>
              <w:spacing w:after="0"/>
              <w:rPr>
                <w:sz w:val="19"/>
                <w:szCs w:val="19"/>
                <w:color w:val="auto"/>
              </w:rPr>
            </w:pPr>
          </w:p>
        </w:tc>
        <w:tc>
          <w:tcPr>
            <w:tcW w:w="2420" w:type="dxa"/>
            <w:vAlign w:val="bottom"/>
            <w:tcBorders>
              <w:bottom w:val="single" w:sz="8" w:color="auto"/>
            </w:tcBorders>
            <w:gridSpan w:val="5"/>
            <w:shd w:val="clear" w:color="auto" w:fill="E6EEFF"/>
          </w:tcPr>
          <w:p>
            <w:pPr>
              <w:jc w:val="center"/>
              <w:ind w:right="120"/>
              <w:spacing w:after="0"/>
              <w:rPr>
                <w:sz w:val="20"/>
                <w:szCs w:val="20"/>
                <w:color w:val="auto"/>
              </w:rPr>
            </w:pPr>
            <w:r>
              <w:rPr>
                <w:rFonts w:ascii="Calibri" w:cs="Calibri" w:eastAsia="Calibri" w:hAnsi="Calibri"/>
                <w:sz w:val="17"/>
                <w:szCs w:val="17"/>
                <w:b w:val="1"/>
                <w:bCs w:val="1"/>
                <w:color w:val="1C4787"/>
                <w:w w:val="97"/>
              </w:rPr>
              <w:t>For the Years Ended</w:t>
            </w:r>
          </w:p>
        </w:tc>
        <w:tc>
          <w:tcPr>
            <w:tcW w:w="960" w:type="dxa"/>
            <w:vAlign w:val="bottom"/>
            <w:tcBorders>
              <w:bottom w:val="single" w:sz="8" w:color="auto"/>
            </w:tcBorders>
            <w:shd w:val="clear" w:color="auto" w:fill="E6EEFF"/>
          </w:tcPr>
          <w:p>
            <w:pPr>
              <w:spacing w:after="0"/>
              <w:rPr>
                <w:sz w:val="19"/>
                <w:szCs w:val="19"/>
                <w:color w:val="auto"/>
              </w:rPr>
            </w:pPr>
          </w:p>
        </w:tc>
        <w:tc>
          <w:tcPr>
            <w:tcW w:w="100" w:type="dxa"/>
            <w:vAlign w:val="bottom"/>
            <w:tcBorders>
              <w:bottom w:val="single" w:sz="8" w:color="auto"/>
            </w:tcBorders>
            <w:shd w:val="clear" w:color="auto" w:fill="E6EEFF"/>
          </w:tcPr>
          <w:p>
            <w:pPr>
              <w:spacing w:after="0"/>
              <w:rPr>
                <w:sz w:val="19"/>
                <w:szCs w:val="19"/>
                <w:color w:val="auto"/>
              </w:rPr>
            </w:pPr>
          </w:p>
        </w:tc>
        <w:tc>
          <w:tcPr>
            <w:tcW w:w="120" w:type="dxa"/>
            <w:vAlign w:val="bottom"/>
            <w:tcBorders>
              <w:bottom w:val="single" w:sz="8" w:color="auto"/>
            </w:tcBorders>
            <w:shd w:val="clear" w:color="auto" w:fill="E6EEFF"/>
          </w:tcPr>
          <w:p>
            <w:pPr>
              <w:spacing w:after="0"/>
              <w:rPr>
                <w:sz w:val="19"/>
                <w:szCs w:val="19"/>
                <w:color w:val="auto"/>
              </w:rPr>
            </w:pPr>
          </w:p>
        </w:tc>
        <w:tc>
          <w:tcPr>
            <w:tcW w:w="1080" w:type="dxa"/>
            <w:vAlign w:val="bottom"/>
            <w:tcBorders>
              <w:bottom w:val="single" w:sz="8" w:color="auto"/>
            </w:tcBorders>
            <w:shd w:val="clear" w:color="auto" w:fill="E6EEFF"/>
          </w:tcPr>
          <w:p>
            <w:pPr>
              <w:spacing w:after="0"/>
              <w:rPr>
                <w:sz w:val="19"/>
                <w:szCs w:val="19"/>
                <w:color w:val="auto"/>
              </w:rPr>
            </w:pPr>
          </w:p>
        </w:tc>
      </w:tr>
      <w:tr>
        <w:trPr>
          <w:trHeight w:val="205"/>
        </w:trPr>
        <w:tc>
          <w:tcPr>
            <w:tcW w:w="4080" w:type="dxa"/>
            <w:vAlign w:val="bottom"/>
          </w:tcPr>
          <w:p>
            <w:pPr>
              <w:spacing w:after="0"/>
              <w:rPr>
                <w:sz w:val="17"/>
                <w:szCs w:val="17"/>
                <w:color w:val="auto"/>
              </w:rPr>
            </w:pPr>
          </w:p>
        </w:tc>
        <w:tc>
          <w:tcPr>
            <w:tcW w:w="2400" w:type="dxa"/>
            <w:vAlign w:val="bottom"/>
            <w:gridSpan w:val="5"/>
          </w:tcPr>
          <w:p>
            <w:pPr>
              <w:jc w:val="center"/>
              <w:ind w:right="100"/>
              <w:spacing w:after="0" w:line="205" w:lineRule="exact"/>
              <w:rPr>
                <w:sz w:val="20"/>
                <w:szCs w:val="20"/>
                <w:color w:val="auto"/>
              </w:rPr>
            </w:pPr>
            <w:r>
              <w:rPr>
                <w:rFonts w:ascii="Calibri" w:cs="Calibri" w:eastAsia="Calibri" w:hAnsi="Calibri"/>
                <w:sz w:val="17"/>
                <w:szCs w:val="17"/>
                <w:b w:val="1"/>
                <w:bCs w:val="1"/>
                <w:color w:val="1C4787"/>
                <w:w w:val="98"/>
              </w:rPr>
              <w:t>December 31, 2023</w:t>
            </w:r>
          </w:p>
        </w:tc>
        <w:tc>
          <w:tcPr>
            <w:tcW w:w="2420" w:type="dxa"/>
            <w:vAlign w:val="bottom"/>
            <w:gridSpan w:val="5"/>
          </w:tcPr>
          <w:p>
            <w:pPr>
              <w:jc w:val="center"/>
              <w:ind w:right="120"/>
              <w:spacing w:after="0" w:line="205" w:lineRule="exact"/>
              <w:rPr>
                <w:sz w:val="20"/>
                <w:szCs w:val="20"/>
                <w:color w:val="auto"/>
              </w:rPr>
            </w:pPr>
            <w:r>
              <w:rPr>
                <w:rFonts w:ascii="Calibri" w:cs="Calibri" w:eastAsia="Calibri" w:hAnsi="Calibri"/>
                <w:sz w:val="17"/>
                <w:szCs w:val="17"/>
                <w:b w:val="1"/>
                <w:bCs w:val="1"/>
                <w:color w:val="1C4787"/>
                <w:w w:val="98"/>
              </w:rPr>
              <w:t>December 31, 2022</w:t>
            </w:r>
          </w:p>
        </w:tc>
        <w:tc>
          <w:tcPr>
            <w:tcW w:w="2260" w:type="dxa"/>
            <w:vAlign w:val="bottom"/>
            <w:gridSpan w:val="4"/>
          </w:tcPr>
          <w:p>
            <w:pPr>
              <w:jc w:val="center"/>
              <w:spacing w:after="0" w:line="205" w:lineRule="exact"/>
              <w:rPr>
                <w:sz w:val="20"/>
                <w:szCs w:val="20"/>
                <w:color w:val="auto"/>
              </w:rPr>
            </w:pPr>
            <w:r>
              <w:rPr>
                <w:rFonts w:ascii="Calibri" w:cs="Calibri" w:eastAsia="Calibri" w:hAnsi="Calibri"/>
                <w:sz w:val="17"/>
                <w:szCs w:val="17"/>
                <w:b w:val="1"/>
                <w:bCs w:val="1"/>
                <w:color w:val="1C4787"/>
                <w:w w:val="98"/>
              </w:rPr>
              <w:t>December 31, 2021</w:t>
            </w:r>
          </w:p>
        </w:tc>
      </w:tr>
      <w:tr>
        <w:trPr>
          <w:trHeight w:val="159"/>
        </w:trPr>
        <w:tc>
          <w:tcPr>
            <w:tcW w:w="4080" w:type="dxa"/>
            <w:vAlign w:val="bottom"/>
            <w:tcBorders>
              <w:top w:val="single" w:sz="8" w:color="E6EEFF"/>
            </w:tcBorders>
            <w:shd w:val="clear" w:color="auto" w:fill="E6EEFF"/>
          </w:tcPr>
          <w:p>
            <w:pPr>
              <w:spacing w:after="0"/>
              <w:rPr>
                <w:sz w:val="13"/>
                <w:szCs w:val="13"/>
                <w:color w:val="auto"/>
              </w:rPr>
            </w:pPr>
          </w:p>
        </w:tc>
        <w:tc>
          <w:tcPr>
            <w:tcW w:w="960" w:type="dxa"/>
            <w:vAlign w:val="bottom"/>
            <w:tcBorders>
              <w:top w:val="single" w:sz="8" w:color="auto"/>
            </w:tcBorders>
            <w:shd w:val="clear" w:color="auto" w:fill="E6EEFF"/>
          </w:tcPr>
          <w:p>
            <w:pPr>
              <w:spacing w:after="0"/>
              <w:rPr>
                <w:sz w:val="13"/>
                <w:szCs w:val="13"/>
                <w:color w:val="auto"/>
              </w:rPr>
            </w:pPr>
          </w:p>
        </w:tc>
        <w:tc>
          <w:tcPr>
            <w:tcW w:w="120" w:type="dxa"/>
            <w:vAlign w:val="bottom"/>
            <w:tcBorders>
              <w:top w:val="single" w:sz="8" w:color="auto"/>
            </w:tcBorders>
            <w:shd w:val="clear" w:color="auto" w:fill="E6EEFF"/>
          </w:tcPr>
          <w:p>
            <w:pPr>
              <w:spacing w:after="0"/>
              <w:rPr>
                <w:sz w:val="13"/>
                <w:szCs w:val="13"/>
                <w:color w:val="auto"/>
              </w:rPr>
            </w:pPr>
          </w:p>
        </w:tc>
        <w:tc>
          <w:tcPr>
            <w:tcW w:w="100" w:type="dxa"/>
            <w:vAlign w:val="bottom"/>
            <w:tcBorders>
              <w:top w:val="single" w:sz="8" w:color="auto"/>
            </w:tcBorders>
            <w:shd w:val="clear" w:color="auto" w:fill="E6EEFF"/>
          </w:tcPr>
          <w:p>
            <w:pPr>
              <w:spacing w:after="0"/>
              <w:rPr>
                <w:sz w:val="13"/>
                <w:szCs w:val="13"/>
                <w:color w:val="auto"/>
              </w:rPr>
            </w:pPr>
          </w:p>
        </w:tc>
        <w:tc>
          <w:tcPr>
            <w:tcW w:w="1100" w:type="dxa"/>
            <w:vAlign w:val="bottom"/>
            <w:tcBorders>
              <w:top w:val="single" w:sz="8" w:color="auto"/>
            </w:tcBorders>
            <w:shd w:val="clear" w:color="auto" w:fill="E6EEFF"/>
          </w:tcPr>
          <w:p>
            <w:pPr>
              <w:jc w:val="center"/>
              <w:ind w:right="14"/>
              <w:spacing w:after="0" w:line="160" w:lineRule="exact"/>
              <w:rPr>
                <w:sz w:val="20"/>
                <w:szCs w:val="20"/>
                <w:color w:val="auto"/>
              </w:rPr>
            </w:pPr>
            <w:r>
              <w:rPr>
                <w:rFonts w:ascii="Calibri" w:cs="Calibri" w:eastAsia="Calibri" w:hAnsi="Calibri"/>
                <w:sz w:val="17"/>
                <w:szCs w:val="17"/>
                <w:b w:val="1"/>
                <w:bCs w:val="1"/>
                <w:color w:val="1C4787"/>
                <w:w w:val="98"/>
              </w:rPr>
              <w:t>Weighted</w:t>
            </w:r>
          </w:p>
        </w:tc>
        <w:tc>
          <w:tcPr>
            <w:tcW w:w="120" w:type="dxa"/>
            <w:vAlign w:val="bottom"/>
            <w:tcBorders>
              <w:top w:val="single" w:sz="8" w:color="E6EEFF"/>
            </w:tcBorders>
            <w:shd w:val="clear" w:color="auto" w:fill="E6EEFF"/>
          </w:tcPr>
          <w:p>
            <w:pPr>
              <w:spacing w:after="0"/>
              <w:rPr>
                <w:sz w:val="13"/>
                <w:szCs w:val="13"/>
                <w:color w:val="auto"/>
              </w:rPr>
            </w:pPr>
          </w:p>
        </w:tc>
        <w:tc>
          <w:tcPr>
            <w:tcW w:w="940" w:type="dxa"/>
            <w:vAlign w:val="bottom"/>
            <w:tcBorders>
              <w:top w:val="single" w:sz="8" w:color="auto"/>
            </w:tcBorders>
            <w:shd w:val="clear" w:color="auto" w:fill="E6EEFF"/>
          </w:tcPr>
          <w:p>
            <w:pPr>
              <w:spacing w:after="0"/>
              <w:rPr>
                <w:sz w:val="13"/>
                <w:szCs w:val="13"/>
                <w:color w:val="auto"/>
              </w:rPr>
            </w:pPr>
          </w:p>
        </w:tc>
        <w:tc>
          <w:tcPr>
            <w:tcW w:w="160" w:type="dxa"/>
            <w:vAlign w:val="bottom"/>
            <w:tcBorders>
              <w:top w:val="single" w:sz="8" w:color="auto"/>
            </w:tcBorders>
            <w:shd w:val="clear" w:color="auto" w:fill="E6EEFF"/>
          </w:tcPr>
          <w:p>
            <w:pPr>
              <w:spacing w:after="0"/>
              <w:rPr>
                <w:sz w:val="13"/>
                <w:szCs w:val="13"/>
                <w:color w:val="auto"/>
              </w:rPr>
            </w:pPr>
          </w:p>
        </w:tc>
        <w:tc>
          <w:tcPr>
            <w:tcW w:w="100" w:type="dxa"/>
            <w:vAlign w:val="bottom"/>
            <w:tcBorders>
              <w:top w:val="single" w:sz="8" w:color="auto"/>
            </w:tcBorders>
            <w:shd w:val="clear" w:color="auto" w:fill="E6EEFF"/>
          </w:tcPr>
          <w:p>
            <w:pPr>
              <w:spacing w:after="0"/>
              <w:rPr>
                <w:sz w:val="13"/>
                <w:szCs w:val="13"/>
                <w:color w:val="auto"/>
              </w:rPr>
            </w:pPr>
          </w:p>
        </w:tc>
        <w:tc>
          <w:tcPr>
            <w:tcW w:w="1100" w:type="dxa"/>
            <w:vAlign w:val="bottom"/>
            <w:tcBorders>
              <w:top w:val="single" w:sz="8" w:color="auto"/>
            </w:tcBorders>
            <w:shd w:val="clear" w:color="auto" w:fill="E6EEFF"/>
          </w:tcPr>
          <w:p>
            <w:pPr>
              <w:jc w:val="center"/>
              <w:ind w:right="14"/>
              <w:spacing w:after="0" w:line="160" w:lineRule="exact"/>
              <w:rPr>
                <w:sz w:val="20"/>
                <w:szCs w:val="20"/>
                <w:color w:val="auto"/>
              </w:rPr>
            </w:pPr>
            <w:r>
              <w:rPr>
                <w:rFonts w:ascii="Calibri" w:cs="Calibri" w:eastAsia="Calibri" w:hAnsi="Calibri"/>
                <w:sz w:val="17"/>
                <w:szCs w:val="17"/>
                <w:b w:val="1"/>
                <w:bCs w:val="1"/>
                <w:color w:val="1C4787"/>
                <w:w w:val="98"/>
              </w:rPr>
              <w:t>Weighted</w:t>
            </w:r>
          </w:p>
        </w:tc>
        <w:tc>
          <w:tcPr>
            <w:tcW w:w="120" w:type="dxa"/>
            <w:vAlign w:val="bottom"/>
            <w:tcBorders>
              <w:top w:val="single" w:sz="8" w:color="E6EEFF"/>
            </w:tcBorders>
            <w:shd w:val="clear" w:color="auto" w:fill="E6EEFF"/>
          </w:tcPr>
          <w:p>
            <w:pPr>
              <w:spacing w:after="0"/>
              <w:rPr>
                <w:sz w:val="13"/>
                <w:szCs w:val="13"/>
                <w:color w:val="auto"/>
              </w:rPr>
            </w:pPr>
          </w:p>
        </w:tc>
        <w:tc>
          <w:tcPr>
            <w:tcW w:w="960" w:type="dxa"/>
            <w:vAlign w:val="bottom"/>
            <w:tcBorders>
              <w:top w:val="single" w:sz="8" w:color="auto"/>
            </w:tcBorders>
            <w:shd w:val="clear" w:color="auto" w:fill="E6EEFF"/>
          </w:tcPr>
          <w:p>
            <w:pPr>
              <w:spacing w:after="0"/>
              <w:rPr>
                <w:sz w:val="13"/>
                <w:szCs w:val="13"/>
                <w:color w:val="auto"/>
              </w:rPr>
            </w:pPr>
          </w:p>
        </w:tc>
        <w:tc>
          <w:tcPr>
            <w:tcW w:w="100" w:type="dxa"/>
            <w:vAlign w:val="bottom"/>
            <w:tcBorders>
              <w:top w:val="single" w:sz="8" w:color="auto"/>
            </w:tcBorders>
            <w:shd w:val="clear" w:color="auto" w:fill="E6EEFF"/>
          </w:tcPr>
          <w:p>
            <w:pPr>
              <w:spacing w:after="0"/>
              <w:rPr>
                <w:sz w:val="13"/>
                <w:szCs w:val="13"/>
                <w:color w:val="auto"/>
              </w:rPr>
            </w:pPr>
          </w:p>
        </w:tc>
        <w:tc>
          <w:tcPr>
            <w:tcW w:w="120" w:type="dxa"/>
            <w:vAlign w:val="bottom"/>
            <w:tcBorders>
              <w:top w:val="single" w:sz="8" w:color="auto"/>
            </w:tcBorders>
            <w:shd w:val="clear" w:color="auto" w:fill="E6EEFF"/>
          </w:tcPr>
          <w:p>
            <w:pPr>
              <w:spacing w:after="0"/>
              <w:rPr>
                <w:sz w:val="13"/>
                <w:szCs w:val="13"/>
                <w:color w:val="auto"/>
              </w:rPr>
            </w:pPr>
          </w:p>
        </w:tc>
        <w:tc>
          <w:tcPr>
            <w:tcW w:w="1080" w:type="dxa"/>
            <w:vAlign w:val="bottom"/>
            <w:tcBorders>
              <w:top w:val="single" w:sz="8" w:color="auto"/>
            </w:tcBorders>
            <w:shd w:val="clear" w:color="auto" w:fill="E6EEFF"/>
          </w:tcPr>
          <w:p>
            <w:pPr>
              <w:jc w:val="center"/>
              <w:ind w:right="14"/>
              <w:spacing w:after="0" w:line="160" w:lineRule="exact"/>
              <w:rPr>
                <w:sz w:val="20"/>
                <w:szCs w:val="20"/>
                <w:color w:val="auto"/>
              </w:rPr>
            </w:pPr>
            <w:r>
              <w:rPr>
                <w:rFonts w:ascii="Calibri" w:cs="Calibri" w:eastAsia="Calibri" w:hAnsi="Calibri"/>
                <w:sz w:val="17"/>
                <w:szCs w:val="17"/>
                <w:b w:val="1"/>
                <w:bCs w:val="1"/>
                <w:color w:val="1C4787"/>
                <w:w w:val="95"/>
              </w:rPr>
              <w:t>Weighted</w:t>
            </w:r>
          </w:p>
        </w:tc>
      </w:tr>
      <w:tr>
        <w:trPr>
          <w:trHeight w:val="168"/>
        </w:trPr>
        <w:tc>
          <w:tcPr>
            <w:tcW w:w="4080" w:type="dxa"/>
            <w:vAlign w:val="bottom"/>
            <w:shd w:val="clear" w:color="auto" w:fill="E6EEFF"/>
          </w:tcPr>
          <w:p>
            <w:pPr>
              <w:spacing w:after="0"/>
              <w:rPr>
                <w:sz w:val="14"/>
                <w:szCs w:val="14"/>
                <w:color w:val="auto"/>
              </w:rPr>
            </w:pPr>
          </w:p>
        </w:tc>
        <w:tc>
          <w:tcPr>
            <w:tcW w:w="96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00" w:type="dxa"/>
            <w:vAlign w:val="bottom"/>
            <w:shd w:val="clear" w:color="auto" w:fill="E6EEFF"/>
          </w:tcPr>
          <w:p>
            <w:pPr>
              <w:spacing w:after="0"/>
              <w:rPr>
                <w:sz w:val="14"/>
                <w:szCs w:val="14"/>
                <w:color w:val="auto"/>
              </w:rPr>
            </w:pPr>
          </w:p>
        </w:tc>
        <w:tc>
          <w:tcPr>
            <w:tcW w:w="1220" w:type="dxa"/>
            <w:vAlign w:val="bottom"/>
            <w:gridSpan w:val="2"/>
            <w:shd w:val="clear" w:color="auto" w:fill="E6EEFF"/>
          </w:tcPr>
          <w:p>
            <w:pPr>
              <w:jc w:val="center"/>
              <w:ind w:right="220"/>
              <w:spacing w:after="0" w:line="167" w:lineRule="exact"/>
              <w:rPr>
                <w:sz w:val="20"/>
                <w:szCs w:val="20"/>
                <w:color w:val="auto"/>
              </w:rPr>
            </w:pPr>
            <w:r>
              <w:rPr>
                <w:rFonts w:ascii="Calibri" w:cs="Calibri" w:eastAsia="Calibri" w:hAnsi="Calibri"/>
                <w:sz w:val="17"/>
                <w:szCs w:val="17"/>
                <w:b w:val="1"/>
                <w:bCs w:val="1"/>
                <w:color w:val="1C4787"/>
                <w:w w:val="97"/>
              </w:rPr>
              <w:t>Average Grant</w:t>
            </w:r>
          </w:p>
        </w:tc>
        <w:tc>
          <w:tcPr>
            <w:tcW w:w="940" w:type="dxa"/>
            <w:vAlign w:val="bottom"/>
            <w:shd w:val="clear" w:color="auto" w:fill="E6EEFF"/>
          </w:tcPr>
          <w:p>
            <w:pPr>
              <w:spacing w:after="0"/>
              <w:rPr>
                <w:sz w:val="14"/>
                <w:szCs w:val="14"/>
                <w:color w:val="auto"/>
              </w:rPr>
            </w:pPr>
          </w:p>
        </w:tc>
        <w:tc>
          <w:tcPr>
            <w:tcW w:w="160" w:type="dxa"/>
            <w:vAlign w:val="bottom"/>
            <w:shd w:val="clear" w:color="auto" w:fill="E6EEFF"/>
          </w:tcPr>
          <w:p>
            <w:pPr>
              <w:spacing w:after="0"/>
              <w:rPr>
                <w:sz w:val="14"/>
                <w:szCs w:val="14"/>
                <w:color w:val="auto"/>
              </w:rPr>
            </w:pPr>
          </w:p>
        </w:tc>
        <w:tc>
          <w:tcPr>
            <w:tcW w:w="100" w:type="dxa"/>
            <w:vAlign w:val="bottom"/>
            <w:shd w:val="clear" w:color="auto" w:fill="E6EEFF"/>
          </w:tcPr>
          <w:p>
            <w:pPr>
              <w:spacing w:after="0"/>
              <w:rPr>
                <w:sz w:val="14"/>
                <w:szCs w:val="14"/>
                <w:color w:val="auto"/>
              </w:rPr>
            </w:pPr>
          </w:p>
        </w:tc>
        <w:tc>
          <w:tcPr>
            <w:tcW w:w="1220" w:type="dxa"/>
            <w:vAlign w:val="bottom"/>
            <w:gridSpan w:val="2"/>
            <w:shd w:val="clear" w:color="auto" w:fill="E6EEFF"/>
          </w:tcPr>
          <w:p>
            <w:pPr>
              <w:jc w:val="center"/>
              <w:ind w:right="220"/>
              <w:spacing w:after="0" w:line="167" w:lineRule="exact"/>
              <w:rPr>
                <w:sz w:val="20"/>
                <w:szCs w:val="20"/>
                <w:color w:val="auto"/>
              </w:rPr>
            </w:pPr>
            <w:r>
              <w:rPr>
                <w:rFonts w:ascii="Calibri" w:cs="Calibri" w:eastAsia="Calibri" w:hAnsi="Calibri"/>
                <w:sz w:val="17"/>
                <w:szCs w:val="17"/>
                <w:b w:val="1"/>
                <w:bCs w:val="1"/>
                <w:color w:val="1C4787"/>
                <w:w w:val="97"/>
              </w:rPr>
              <w:t>Average Grant</w:t>
            </w:r>
          </w:p>
        </w:tc>
        <w:tc>
          <w:tcPr>
            <w:tcW w:w="960" w:type="dxa"/>
            <w:vAlign w:val="bottom"/>
            <w:shd w:val="clear" w:color="auto" w:fill="E6EEFF"/>
          </w:tcPr>
          <w:p>
            <w:pPr>
              <w:spacing w:after="0"/>
              <w:rPr>
                <w:sz w:val="14"/>
                <w:szCs w:val="14"/>
                <w:color w:val="auto"/>
              </w:rPr>
            </w:pPr>
          </w:p>
        </w:tc>
        <w:tc>
          <w:tcPr>
            <w:tcW w:w="10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080" w:type="dxa"/>
            <w:vAlign w:val="bottom"/>
            <w:shd w:val="clear" w:color="auto" w:fill="E6EEFF"/>
          </w:tcPr>
          <w:p>
            <w:pPr>
              <w:jc w:val="center"/>
              <w:ind w:right="14"/>
              <w:spacing w:after="0" w:line="167" w:lineRule="exact"/>
              <w:rPr>
                <w:sz w:val="20"/>
                <w:szCs w:val="20"/>
                <w:color w:val="auto"/>
              </w:rPr>
            </w:pPr>
            <w:r>
              <w:rPr>
                <w:rFonts w:ascii="Calibri" w:cs="Calibri" w:eastAsia="Calibri" w:hAnsi="Calibri"/>
                <w:sz w:val="17"/>
                <w:szCs w:val="17"/>
                <w:b w:val="1"/>
                <w:bCs w:val="1"/>
                <w:color w:val="1C4787"/>
                <w:w w:val="95"/>
              </w:rPr>
              <w:t>Average Grant</w:t>
            </w:r>
          </w:p>
        </w:tc>
      </w:tr>
      <w:tr>
        <w:trPr>
          <w:trHeight w:val="168"/>
        </w:trPr>
        <w:tc>
          <w:tcPr>
            <w:tcW w:w="4080" w:type="dxa"/>
            <w:vAlign w:val="bottom"/>
            <w:shd w:val="clear" w:color="auto" w:fill="E6EEFF"/>
          </w:tcPr>
          <w:p>
            <w:pPr>
              <w:spacing w:after="0"/>
              <w:rPr>
                <w:sz w:val="14"/>
                <w:szCs w:val="14"/>
                <w:color w:val="auto"/>
              </w:rPr>
            </w:pPr>
          </w:p>
        </w:tc>
        <w:tc>
          <w:tcPr>
            <w:tcW w:w="960" w:type="dxa"/>
            <w:vAlign w:val="bottom"/>
            <w:shd w:val="clear" w:color="auto" w:fill="E6EEFF"/>
          </w:tcPr>
          <w:p>
            <w:pPr>
              <w:ind w:left="100"/>
              <w:spacing w:after="0" w:line="167" w:lineRule="exact"/>
              <w:rPr>
                <w:sz w:val="20"/>
                <w:szCs w:val="20"/>
                <w:color w:val="auto"/>
              </w:rPr>
            </w:pPr>
            <w:r>
              <w:rPr>
                <w:rFonts w:ascii="Calibri" w:cs="Calibri" w:eastAsia="Calibri" w:hAnsi="Calibri"/>
                <w:sz w:val="17"/>
                <w:szCs w:val="17"/>
                <w:b w:val="1"/>
                <w:bCs w:val="1"/>
                <w:color w:val="1C4787"/>
              </w:rPr>
              <w:t>Number of</w:t>
            </w:r>
          </w:p>
        </w:tc>
        <w:tc>
          <w:tcPr>
            <w:tcW w:w="120" w:type="dxa"/>
            <w:vAlign w:val="bottom"/>
            <w:shd w:val="clear" w:color="auto" w:fill="E6EEFF"/>
          </w:tcPr>
          <w:p>
            <w:pPr>
              <w:spacing w:after="0"/>
              <w:rPr>
                <w:sz w:val="14"/>
                <w:szCs w:val="14"/>
                <w:color w:val="auto"/>
              </w:rPr>
            </w:pPr>
          </w:p>
        </w:tc>
        <w:tc>
          <w:tcPr>
            <w:tcW w:w="1320" w:type="dxa"/>
            <w:vAlign w:val="bottom"/>
            <w:gridSpan w:val="3"/>
            <w:shd w:val="clear" w:color="auto" w:fill="E6EEFF"/>
          </w:tcPr>
          <w:p>
            <w:pPr>
              <w:jc w:val="center"/>
              <w:ind w:right="120"/>
              <w:spacing w:after="0" w:line="167" w:lineRule="exact"/>
              <w:rPr>
                <w:sz w:val="20"/>
                <w:szCs w:val="20"/>
                <w:color w:val="auto"/>
              </w:rPr>
            </w:pPr>
            <w:r>
              <w:rPr>
                <w:rFonts w:ascii="Calibri" w:cs="Calibri" w:eastAsia="Calibri" w:hAnsi="Calibri"/>
                <w:sz w:val="17"/>
                <w:szCs w:val="17"/>
                <w:b w:val="1"/>
                <w:bCs w:val="1"/>
                <w:color w:val="1C4787"/>
                <w:w w:val="96"/>
              </w:rPr>
              <w:t>Date Fair Value</w:t>
            </w:r>
          </w:p>
        </w:tc>
        <w:tc>
          <w:tcPr>
            <w:tcW w:w="940" w:type="dxa"/>
            <w:vAlign w:val="bottom"/>
            <w:shd w:val="clear" w:color="auto" w:fill="E6EEFF"/>
          </w:tcPr>
          <w:p>
            <w:pPr>
              <w:jc w:val="right"/>
              <w:ind w:right="14"/>
              <w:spacing w:after="0" w:line="167" w:lineRule="exact"/>
              <w:rPr>
                <w:sz w:val="20"/>
                <w:szCs w:val="20"/>
                <w:color w:val="auto"/>
              </w:rPr>
            </w:pPr>
            <w:r>
              <w:rPr>
                <w:rFonts w:ascii="Calibri" w:cs="Calibri" w:eastAsia="Calibri" w:hAnsi="Calibri"/>
                <w:sz w:val="17"/>
                <w:szCs w:val="17"/>
                <w:b w:val="1"/>
                <w:bCs w:val="1"/>
                <w:color w:val="1C4787"/>
              </w:rPr>
              <w:t>Number of</w:t>
            </w:r>
          </w:p>
        </w:tc>
        <w:tc>
          <w:tcPr>
            <w:tcW w:w="160" w:type="dxa"/>
            <w:vAlign w:val="bottom"/>
            <w:shd w:val="clear" w:color="auto" w:fill="E6EEFF"/>
          </w:tcPr>
          <w:p>
            <w:pPr>
              <w:spacing w:after="0"/>
              <w:rPr>
                <w:sz w:val="14"/>
                <w:szCs w:val="14"/>
                <w:color w:val="auto"/>
              </w:rPr>
            </w:pPr>
          </w:p>
        </w:tc>
        <w:tc>
          <w:tcPr>
            <w:tcW w:w="1320" w:type="dxa"/>
            <w:vAlign w:val="bottom"/>
            <w:gridSpan w:val="3"/>
            <w:shd w:val="clear" w:color="auto" w:fill="E6EEFF"/>
          </w:tcPr>
          <w:p>
            <w:pPr>
              <w:jc w:val="center"/>
              <w:ind w:right="120"/>
              <w:spacing w:after="0" w:line="167" w:lineRule="exact"/>
              <w:rPr>
                <w:sz w:val="20"/>
                <w:szCs w:val="20"/>
                <w:color w:val="auto"/>
              </w:rPr>
            </w:pPr>
            <w:r>
              <w:rPr>
                <w:rFonts w:ascii="Calibri" w:cs="Calibri" w:eastAsia="Calibri" w:hAnsi="Calibri"/>
                <w:sz w:val="17"/>
                <w:szCs w:val="17"/>
                <w:b w:val="1"/>
                <w:bCs w:val="1"/>
                <w:color w:val="1C4787"/>
                <w:w w:val="96"/>
              </w:rPr>
              <w:t>Date Fair Value</w:t>
            </w:r>
          </w:p>
        </w:tc>
        <w:tc>
          <w:tcPr>
            <w:tcW w:w="960" w:type="dxa"/>
            <w:vAlign w:val="bottom"/>
            <w:shd w:val="clear" w:color="auto" w:fill="E6EEFF"/>
          </w:tcPr>
          <w:p>
            <w:pPr>
              <w:jc w:val="right"/>
              <w:ind w:right="14"/>
              <w:spacing w:after="0" w:line="167" w:lineRule="exact"/>
              <w:rPr>
                <w:sz w:val="20"/>
                <w:szCs w:val="20"/>
                <w:color w:val="auto"/>
              </w:rPr>
            </w:pPr>
            <w:r>
              <w:rPr>
                <w:rFonts w:ascii="Calibri" w:cs="Calibri" w:eastAsia="Calibri" w:hAnsi="Calibri"/>
                <w:sz w:val="17"/>
                <w:szCs w:val="17"/>
                <w:b w:val="1"/>
                <w:bCs w:val="1"/>
                <w:color w:val="1C4787"/>
              </w:rPr>
              <w:t>Number of</w:t>
            </w:r>
          </w:p>
        </w:tc>
        <w:tc>
          <w:tcPr>
            <w:tcW w:w="100" w:type="dxa"/>
            <w:vAlign w:val="bottom"/>
            <w:shd w:val="clear" w:color="auto" w:fill="E6EEFF"/>
          </w:tcPr>
          <w:p>
            <w:pPr>
              <w:spacing w:after="0"/>
              <w:rPr>
                <w:sz w:val="14"/>
                <w:szCs w:val="14"/>
                <w:color w:val="auto"/>
              </w:rPr>
            </w:pPr>
          </w:p>
        </w:tc>
        <w:tc>
          <w:tcPr>
            <w:tcW w:w="1200" w:type="dxa"/>
            <w:vAlign w:val="bottom"/>
            <w:gridSpan w:val="2"/>
            <w:shd w:val="clear" w:color="auto" w:fill="E6EEFF"/>
          </w:tcPr>
          <w:p>
            <w:pPr>
              <w:jc w:val="center"/>
              <w:spacing w:after="0" w:line="167" w:lineRule="exact"/>
              <w:rPr>
                <w:sz w:val="20"/>
                <w:szCs w:val="20"/>
                <w:color w:val="auto"/>
              </w:rPr>
            </w:pPr>
            <w:r>
              <w:rPr>
                <w:rFonts w:ascii="Calibri" w:cs="Calibri" w:eastAsia="Calibri" w:hAnsi="Calibri"/>
                <w:sz w:val="17"/>
                <w:szCs w:val="17"/>
                <w:b w:val="1"/>
                <w:bCs w:val="1"/>
                <w:color w:val="1C4787"/>
                <w:w w:val="98"/>
              </w:rPr>
              <w:t>Date Fair Value</w:t>
            </w:r>
          </w:p>
        </w:tc>
      </w:tr>
      <w:tr>
        <w:trPr>
          <w:trHeight w:val="240"/>
        </w:trPr>
        <w:tc>
          <w:tcPr>
            <w:tcW w:w="4080" w:type="dxa"/>
            <w:vAlign w:val="bottom"/>
            <w:tcBorders>
              <w:bottom w:val="single" w:sz="8" w:color="E6EEFF"/>
            </w:tcBorders>
            <w:shd w:val="clear" w:color="auto" w:fill="E6EEFF"/>
          </w:tcPr>
          <w:p>
            <w:pPr>
              <w:spacing w:after="0"/>
              <w:rPr>
                <w:sz w:val="20"/>
                <w:szCs w:val="20"/>
                <w:color w:val="auto"/>
              </w:rPr>
            </w:pPr>
          </w:p>
        </w:tc>
        <w:tc>
          <w:tcPr>
            <w:tcW w:w="960" w:type="dxa"/>
            <w:vAlign w:val="bottom"/>
            <w:tcBorders>
              <w:bottom w:val="single" w:sz="8" w:color="E6EEFF"/>
            </w:tcBorders>
            <w:shd w:val="clear" w:color="auto" w:fill="E6EEFF"/>
          </w:tcPr>
          <w:p>
            <w:pPr>
              <w:ind w:left="220"/>
              <w:spacing w:after="0" w:line="205" w:lineRule="exact"/>
              <w:rPr>
                <w:sz w:val="20"/>
                <w:szCs w:val="20"/>
                <w:color w:val="auto"/>
              </w:rPr>
            </w:pPr>
            <w:r>
              <w:rPr>
                <w:rFonts w:ascii="Calibri" w:cs="Calibri" w:eastAsia="Calibri" w:hAnsi="Calibri"/>
                <w:sz w:val="17"/>
                <w:szCs w:val="17"/>
                <w:b w:val="1"/>
                <w:bCs w:val="1"/>
                <w:color w:val="1C4787"/>
              </w:rPr>
              <w:t>Awards</w:t>
            </w:r>
          </w:p>
        </w:tc>
        <w:tc>
          <w:tcPr>
            <w:tcW w:w="120" w:type="dxa"/>
            <w:vAlign w:val="bottom"/>
            <w:tcBorders>
              <w:bottom w:val="single" w:sz="8" w:color="E6EEFF"/>
            </w:tcBorders>
            <w:shd w:val="clear" w:color="auto" w:fill="E6EEFF"/>
          </w:tcPr>
          <w:p>
            <w:pPr>
              <w:spacing w:after="0"/>
              <w:rPr>
                <w:sz w:val="20"/>
                <w:szCs w:val="20"/>
                <w:color w:val="auto"/>
              </w:rPr>
            </w:pPr>
          </w:p>
        </w:tc>
        <w:tc>
          <w:tcPr>
            <w:tcW w:w="100" w:type="dxa"/>
            <w:vAlign w:val="bottom"/>
            <w:tcBorders>
              <w:bottom w:val="single" w:sz="8" w:color="E6EEFF"/>
            </w:tcBorders>
            <w:shd w:val="clear" w:color="auto" w:fill="E6EEFF"/>
          </w:tcPr>
          <w:p>
            <w:pPr>
              <w:spacing w:after="0"/>
              <w:rPr>
                <w:sz w:val="20"/>
                <w:szCs w:val="20"/>
                <w:color w:val="auto"/>
              </w:rPr>
            </w:pPr>
          </w:p>
        </w:tc>
        <w:tc>
          <w:tcPr>
            <w:tcW w:w="1220" w:type="dxa"/>
            <w:vAlign w:val="bottom"/>
            <w:tcBorders>
              <w:bottom w:val="single" w:sz="8" w:color="E6EEFF"/>
            </w:tcBorders>
            <w:gridSpan w:val="2"/>
            <w:shd w:val="clear" w:color="auto" w:fill="E6EEFF"/>
          </w:tcPr>
          <w:p>
            <w:pPr>
              <w:jc w:val="center"/>
              <w:ind w:right="220"/>
              <w:spacing w:after="0"/>
              <w:rPr>
                <w:sz w:val="20"/>
                <w:szCs w:val="20"/>
                <w:color w:val="auto"/>
              </w:rPr>
            </w:pPr>
            <w:r>
              <w:rPr>
                <w:rFonts w:ascii="Calibri" w:cs="Calibri" w:eastAsia="Calibri" w:hAnsi="Calibri"/>
                <w:sz w:val="17"/>
                <w:szCs w:val="17"/>
                <w:b w:val="1"/>
                <w:bCs w:val="1"/>
                <w:color w:val="1C4787"/>
                <w:w w:val="97"/>
              </w:rPr>
              <w:t>per Award</w:t>
            </w:r>
          </w:p>
        </w:tc>
        <w:tc>
          <w:tcPr>
            <w:tcW w:w="940" w:type="dxa"/>
            <w:vAlign w:val="bottom"/>
            <w:tcBorders>
              <w:bottom w:val="single" w:sz="8" w:color="E6EEFF"/>
            </w:tcBorders>
            <w:shd w:val="clear" w:color="auto" w:fill="E6EEFF"/>
          </w:tcPr>
          <w:p>
            <w:pPr>
              <w:jc w:val="right"/>
              <w:ind w:right="114"/>
              <w:spacing w:after="0" w:line="205" w:lineRule="exact"/>
              <w:rPr>
                <w:sz w:val="20"/>
                <w:szCs w:val="20"/>
                <w:color w:val="auto"/>
              </w:rPr>
            </w:pPr>
            <w:r>
              <w:rPr>
                <w:rFonts w:ascii="Calibri" w:cs="Calibri" w:eastAsia="Calibri" w:hAnsi="Calibri"/>
                <w:sz w:val="17"/>
                <w:szCs w:val="17"/>
                <w:b w:val="1"/>
                <w:bCs w:val="1"/>
                <w:color w:val="1C4787"/>
              </w:rPr>
              <w:t>Awards</w:t>
            </w:r>
          </w:p>
        </w:tc>
        <w:tc>
          <w:tcPr>
            <w:tcW w:w="160" w:type="dxa"/>
            <w:vAlign w:val="bottom"/>
            <w:tcBorders>
              <w:bottom w:val="single" w:sz="8" w:color="E6EEFF"/>
            </w:tcBorders>
            <w:shd w:val="clear" w:color="auto" w:fill="E6EEFF"/>
          </w:tcPr>
          <w:p>
            <w:pPr>
              <w:spacing w:after="0"/>
              <w:rPr>
                <w:sz w:val="20"/>
                <w:szCs w:val="20"/>
                <w:color w:val="auto"/>
              </w:rPr>
            </w:pPr>
          </w:p>
        </w:tc>
        <w:tc>
          <w:tcPr>
            <w:tcW w:w="100" w:type="dxa"/>
            <w:vAlign w:val="bottom"/>
            <w:tcBorders>
              <w:bottom w:val="single" w:sz="8" w:color="E6EEFF"/>
            </w:tcBorders>
            <w:shd w:val="clear" w:color="auto" w:fill="E6EEFF"/>
          </w:tcPr>
          <w:p>
            <w:pPr>
              <w:spacing w:after="0"/>
              <w:rPr>
                <w:sz w:val="20"/>
                <w:szCs w:val="20"/>
                <w:color w:val="auto"/>
              </w:rPr>
            </w:pPr>
          </w:p>
        </w:tc>
        <w:tc>
          <w:tcPr>
            <w:tcW w:w="1220" w:type="dxa"/>
            <w:vAlign w:val="bottom"/>
            <w:tcBorders>
              <w:bottom w:val="single" w:sz="8" w:color="E6EEFF"/>
            </w:tcBorders>
            <w:gridSpan w:val="2"/>
            <w:shd w:val="clear" w:color="auto" w:fill="E6EEFF"/>
          </w:tcPr>
          <w:p>
            <w:pPr>
              <w:jc w:val="center"/>
              <w:ind w:right="220"/>
              <w:spacing w:after="0"/>
              <w:rPr>
                <w:sz w:val="20"/>
                <w:szCs w:val="20"/>
                <w:color w:val="auto"/>
              </w:rPr>
            </w:pPr>
            <w:r>
              <w:rPr>
                <w:rFonts w:ascii="Calibri" w:cs="Calibri" w:eastAsia="Calibri" w:hAnsi="Calibri"/>
                <w:sz w:val="17"/>
                <w:szCs w:val="17"/>
                <w:b w:val="1"/>
                <w:bCs w:val="1"/>
                <w:color w:val="1C4787"/>
                <w:w w:val="97"/>
              </w:rPr>
              <w:t>per Award</w:t>
            </w:r>
          </w:p>
        </w:tc>
        <w:tc>
          <w:tcPr>
            <w:tcW w:w="960" w:type="dxa"/>
            <w:vAlign w:val="bottom"/>
            <w:tcBorders>
              <w:bottom w:val="single" w:sz="8" w:color="E6EEFF"/>
            </w:tcBorders>
            <w:shd w:val="clear" w:color="auto" w:fill="E6EEFF"/>
          </w:tcPr>
          <w:p>
            <w:pPr>
              <w:jc w:val="right"/>
              <w:ind w:right="134"/>
              <w:spacing w:after="0" w:line="205" w:lineRule="exact"/>
              <w:rPr>
                <w:sz w:val="20"/>
                <w:szCs w:val="20"/>
                <w:color w:val="auto"/>
              </w:rPr>
            </w:pPr>
            <w:r>
              <w:rPr>
                <w:rFonts w:ascii="Calibri" w:cs="Calibri" w:eastAsia="Calibri" w:hAnsi="Calibri"/>
                <w:sz w:val="17"/>
                <w:szCs w:val="17"/>
                <w:b w:val="1"/>
                <w:bCs w:val="1"/>
                <w:color w:val="1C4787"/>
              </w:rPr>
              <w:t>Awards</w:t>
            </w:r>
          </w:p>
        </w:tc>
        <w:tc>
          <w:tcPr>
            <w:tcW w:w="100" w:type="dxa"/>
            <w:vAlign w:val="bottom"/>
            <w:tcBorders>
              <w:bottom w:val="single" w:sz="8" w:color="E6EEFF"/>
            </w:tcBorders>
            <w:shd w:val="clear" w:color="auto" w:fill="E6EEFF"/>
          </w:tcPr>
          <w:p>
            <w:pPr>
              <w:spacing w:after="0"/>
              <w:rPr>
                <w:sz w:val="20"/>
                <w:szCs w:val="20"/>
                <w:color w:val="auto"/>
              </w:rPr>
            </w:pPr>
          </w:p>
        </w:tc>
        <w:tc>
          <w:tcPr>
            <w:tcW w:w="120" w:type="dxa"/>
            <w:vAlign w:val="bottom"/>
            <w:tcBorders>
              <w:bottom w:val="single" w:sz="8" w:color="E6EEFF"/>
            </w:tcBorders>
            <w:shd w:val="clear" w:color="auto" w:fill="E6EEFF"/>
          </w:tcPr>
          <w:p>
            <w:pPr>
              <w:spacing w:after="0"/>
              <w:rPr>
                <w:sz w:val="20"/>
                <w:szCs w:val="20"/>
                <w:color w:val="auto"/>
              </w:rPr>
            </w:pPr>
          </w:p>
        </w:tc>
        <w:tc>
          <w:tcPr>
            <w:tcW w:w="1080" w:type="dxa"/>
            <w:vAlign w:val="bottom"/>
            <w:tcBorders>
              <w:bottom w:val="single" w:sz="8" w:color="E6EEFF"/>
            </w:tcBorders>
            <w:shd w:val="clear" w:color="auto" w:fill="E6EEFF"/>
          </w:tcPr>
          <w:p>
            <w:pPr>
              <w:jc w:val="center"/>
              <w:ind w:right="14"/>
              <w:spacing w:after="0"/>
              <w:rPr>
                <w:sz w:val="20"/>
                <w:szCs w:val="20"/>
                <w:color w:val="auto"/>
              </w:rPr>
            </w:pPr>
            <w:r>
              <w:rPr>
                <w:rFonts w:ascii="Calibri" w:cs="Calibri" w:eastAsia="Calibri" w:hAnsi="Calibri"/>
                <w:sz w:val="17"/>
                <w:szCs w:val="17"/>
                <w:b w:val="1"/>
                <w:bCs w:val="1"/>
                <w:color w:val="1C4787"/>
                <w:w w:val="99"/>
              </w:rPr>
              <w:t>per Award</w:t>
            </w:r>
          </w:p>
        </w:tc>
      </w:tr>
      <w:tr>
        <w:trPr>
          <w:trHeight w:val="205"/>
        </w:trPr>
        <w:tc>
          <w:tcPr>
            <w:tcW w:w="4080" w:type="dxa"/>
            <w:vAlign w:val="bottom"/>
          </w:tcPr>
          <w:p>
            <w:pPr>
              <w:ind w:left="20"/>
              <w:spacing w:after="0" w:line="190" w:lineRule="exact"/>
              <w:rPr>
                <w:sz w:val="20"/>
                <w:szCs w:val="20"/>
                <w:color w:val="auto"/>
              </w:rPr>
            </w:pPr>
            <w:r>
              <w:rPr>
                <w:rFonts w:ascii="Calibri" w:cs="Calibri" w:eastAsia="Calibri" w:hAnsi="Calibri"/>
                <w:sz w:val="17"/>
                <w:szCs w:val="17"/>
                <w:b w:val="1"/>
                <w:bCs w:val="1"/>
                <w:color w:val="1C4787"/>
              </w:rPr>
              <w:t>Unvested RSU Awards Outstanding beginning of period</w:t>
            </w:r>
          </w:p>
        </w:tc>
        <w:tc>
          <w:tcPr>
            <w:tcW w:w="960" w:type="dxa"/>
            <w:vAlign w:val="bottom"/>
            <w:tcBorders>
              <w:top w:val="single" w:sz="8" w:color="auto"/>
            </w:tcBorders>
          </w:tcPr>
          <w:p>
            <w:pPr>
              <w:ind w:left="640"/>
              <w:spacing w:after="0" w:line="205" w:lineRule="exact"/>
              <w:rPr>
                <w:sz w:val="20"/>
                <w:szCs w:val="20"/>
                <w:color w:val="auto"/>
              </w:rPr>
            </w:pPr>
            <w:r>
              <w:rPr>
                <w:rFonts w:ascii="Calibri" w:cs="Calibri" w:eastAsia="Calibri" w:hAnsi="Calibri"/>
                <w:sz w:val="17"/>
                <w:szCs w:val="17"/>
                <w:color w:val="auto"/>
              </w:rPr>
              <w:t>114</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64.40</w:t>
            </w:r>
          </w:p>
        </w:tc>
        <w:tc>
          <w:tcPr>
            <w:tcW w:w="120" w:type="dxa"/>
            <w:vAlign w:val="bottom"/>
          </w:tcPr>
          <w:p>
            <w:pPr>
              <w:spacing w:after="0"/>
              <w:rPr>
                <w:sz w:val="17"/>
                <w:szCs w:val="17"/>
                <w:color w:val="auto"/>
              </w:rPr>
            </w:pPr>
          </w:p>
        </w:tc>
        <w:tc>
          <w:tcPr>
            <w:tcW w:w="94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165</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70.35</w:t>
            </w:r>
          </w:p>
        </w:tc>
        <w:tc>
          <w:tcPr>
            <w:tcW w:w="120" w:type="dxa"/>
            <w:vAlign w:val="bottom"/>
          </w:tcPr>
          <w:p>
            <w:pPr>
              <w:spacing w:after="0"/>
              <w:rPr>
                <w:sz w:val="17"/>
                <w:szCs w:val="17"/>
                <w:color w:val="auto"/>
              </w:rPr>
            </w:pPr>
          </w:p>
        </w:tc>
        <w:tc>
          <w:tcPr>
            <w:tcW w:w="96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99</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center"/>
              <w:spacing w:after="0" w:line="205" w:lineRule="exact"/>
              <w:rPr>
                <w:sz w:val="20"/>
                <w:szCs w:val="20"/>
                <w:color w:val="auto"/>
              </w:rPr>
            </w:pPr>
            <w:r>
              <w:rPr>
                <w:rFonts w:ascii="Calibri" w:cs="Calibri" w:eastAsia="Calibri" w:hAnsi="Calibri"/>
                <w:sz w:val="17"/>
                <w:szCs w:val="17"/>
                <w:color w:val="auto"/>
              </w:rPr>
              <w:t>$</w:t>
            </w:r>
          </w:p>
        </w:tc>
        <w:tc>
          <w:tcPr>
            <w:tcW w:w="108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98.85</w:t>
            </w:r>
          </w:p>
        </w:tc>
      </w:tr>
      <w:tr>
        <w:trPr>
          <w:trHeight w:val="226"/>
        </w:trPr>
        <w:tc>
          <w:tcPr>
            <w:tcW w:w="4080" w:type="dxa"/>
            <w:vAlign w:val="bottom"/>
            <w:shd w:val="clear" w:color="auto" w:fill="E6EEFF"/>
          </w:tcPr>
          <w:p>
            <w:pPr>
              <w:ind w:left="120"/>
              <w:spacing w:after="0" w:line="227" w:lineRule="exact"/>
              <w:rPr>
                <w:sz w:val="20"/>
                <w:szCs w:val="20"/>
                <w:color w:val="auto"/>
              </w:rPr>
            </w:pPr>
            <w:r>
              <w:rPr>
                <w:rFonts w:ascii="Calibri" w:cs="Calibri" w:eastAsia="Calibri" w:hAnsi="Calibri"/>
                <w:sz w:val="17"/>
                <w:szCs w:val="17"/>
                <w:color w:val="auto"/>
              </w:rPr>
              <w:t xml:space="preserve">Granted </w:t>
            </w:r>
            <w:r>
              <w:rPr>
                <w:rFonts w:ascii="Calibri" w:cs="Calibri" w:eastAsia="Calibri" w:hAnsi="Calibri"/>
                <w:sz w:val="22"/>
                <w:szCs w:val="22"/>
                <w:color w:val="auto"/>
                <w:vertAlign w:val="superscript"/>
              </w:rPr>
              <w:t>(1)</w:t>
            </w:r>
          </w:p>
        </w:tc>
        <w:tc>
          <w:tcPr>
            <w:tcW w:w="960" w:type="dxa"/>
            <w:vAlign w:val="bottom"/>
            <w:shd w:val="clear" w:color="auto" w:fill="E6EEFF"/>
          </w:tcPr>
          <w:p>
            <w:pPr>
              <w:ind w:left="640"/>
              <w:spacing w:after="0"/>
              <w:rPr>
                <w:sz w:val="20"/>
                <w:szCs w:val="20"/>
                <w:color w:val="auto"/>
              </w:rPr>
            </w:pPr>
            <w:r>
              <w:rPr>
                <w:rFonts w:ascii="Calibri" w:cs="Calibri" w:eastAsia="Calibri" w:hAnsi="Calibri"/>
                <w:sz w:val="17"/>
                <w:szCs w:val="17"/>
                <w:color w:val="auto"/>
              </w:rPr>
              <w:t>260</w:t>
            </w:r>
          </w:p>
        </w:tc>
        <w:tc>
          <w:tcPr>
            <w:tcW w:w="220" w:type="dxa"/>
            <w:vAlign w:val="bottom"/>
            <w:gridSpan w:val="2"/>
            <w:shd w:val="clear" w:color="auto" w:fill="E6EEFF"/>
          </w:tcPr>
          <w:p>
            <w:pPr>
              <w:jc w:val="center"/>
              <w:ind w:left="54"/>
              <w:spacing w:after="0"/>
              <w:rPr>
                <w:sz w:val="20"/>
                <w:szCs w:val="20"/>
                <w:color w:val="auto"/>
              </w:rPr>
            </w:pPr>
            <w:r>
              <w:rPr>
                <w:rFonts w:ascii="Calibri" w:cs="Calibri" w:eastAsia="Calibri" w:hAnsi="Calibri"/>
                <w:sz w:val="17"/>
                <w:szCs w:val="17"/>
                <w:color w:val="auto"/>
                <w:w w:val="92"/>
              </w:rPr>
              <w:t>$</w:t>
            </w:r>
          </w:p>
        </w:tc>
        <w:tc>
          <w:tcPr>
            <w:tcW w:w="11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29.65</w:t>
            </w:r>
          </w:p>
        </w:tc>
        <w:tc>
          <w:tcPr>
            <w:tcW w:w="120" w:type="dxa"/>
            <w:vAlign w:val="bottom"/>
            <w:shd w:val="clear" w:color="auto" w:fill="E6EEFF"/>
          </w:tcPr>
          <w:p>
            <w:pPr>
              <w:spacing w:after="0"/>
              <w:rPr>
                <w:sz w:val="19"/>
                <w:szCs w:val="19"/>
                <w:color w:val="auto"/>
              </w:rPr>
            </w:pPr>
          </w:p>
        </w:tc>
        <w:tc>
          <w:tcPr>
            <w:tcW w:w="9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w:t>
            </w:r>
          </w:p>
        </w:tc>
        <w:tc>
          <w:tcPr>
            <w:tcW w:w="260" w:type="dxa"/>
            <w:vAlign w:val="bottom"/>
            <w:gridSpan w:val="2"/>
            <w:shd w:val="clear" w:color="auto" w:fill="E6EEFF"/>
          </w:tcPr>
          <w:p>
            <w:pPr>
              <w:jc w:val="center"/>
              <w:ind w:left="94"/>
              <w:spacing w:after="0"/>
              <w:rPr>
                <w:sz w:val="20"/>
                <w:szCs w:val="20"/>
                <w:color w:val="auto"/>
              </w:rPr>
            </w:pPr>
            <w:r>
              <w:rPr>
                <w:rFonts w:ascii="Calibri" w:cs="Calibri" w:eastAsia="Calibri" w:hAnsi="Calibri"/>
                <w:sz w:val="17"/>
                <w:szCs w:val="17"/>
                <w:color w:val="auto"/>
                <w:w w:val="92"/>
              </w:rPr>
              <w:t>$</w:t>
            </w:r>
          </w:p>
        </w:tc>
        <w:tc>
          <w:tcPr>
            <w:tcW w:w="1220" w:type="dxa"/>
            <w:vAlign w:val="bottom"/>
            <w:gridSpan w:val="2"/>
            <w:shd w:val="clear" w:color="auto" w:fill="E6EEFF"/>
          </w:tcPr>
          <w:p>
            <w:pPr>
              <w:jc w:val="right"/>
              <w:ind w:right="180"/>
              <w:spacing w:after="0"/>
              <w:rPr>
                <w:sz w:val="20"/>
                <w:szCs w:val="20"/>
                <w:color w:val="auto"/>
              </w:rPr>
            </w:pPr>
            <w:r>
              <w:rPr>
                <w:rFonts w:ascii="Calibri" w:cs="Calibri" w:eastAsia="Calibri" w:hAnsi="Calibri"/>
                <w:sz w:val="17"/>
                <w:szCs w:val="17"/>
                <w:color w:val="auto"/>
              </w:rPr>
              <w:t>—</w:t>
            </w:r>
          </w:p>
        </w:tc>
        <w:tc>
          <w:tcPr>
            <w:tcW w:w="9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127</w:t>
            </w:r>
          </w:p>
        </w:tc>
        <w:tc>
          <w:tcPr>
            <w:tcW w:w="220" w:type="dxa"/>
            <w:vAlign w:val="bottom"/>
            <w:gridSpan w:val="2"/>
            <w:shd w:val="clear" w:color="auto" w:fill="E6EEFF"/>
          </w:tcPr>
          <w:p>
            <w:pPr>
              <w:jc w:val="center"/>
              <w:ind w:left="34"/>
              <w:spacing w:after="0"/>
              <w:rPr>
                <w:sz w:val="20"/>
                <w:szCs w:val="20"/>
                <w:color w:val="auto"/>
              </w:rPr>
            </w:pPr>
            <w:r>
              <w:rPr>
                <w:rFonts w:ascii="Calibri" w:cs="Calibri" w:eastAsia="Calibri" w:hAnsi="Calibri"/>
                <w:sz w:val="17"/>
                <w:szCs w:val="17"/>
                <w:color w:val="auto"/>
              </w:rPr>
              <w:t>$</w:t>
            </w:r>
          </w:p>
        </w:tc>
        <w:tc>
          <w:tcPr>
            <w:tcW w:w="10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55.40</w:t>
            </w:r>
          </w:p>
        </w:tc>
      </w:tr>
      <w:tr>
        <w:trPr>
          <w:trHeight w:val="212"/>
        </w:trPr>
        <w:tc>
          <w:tcPr>
            <w:tcW w:w="4080" w:type="dxa"/>
            <w:vAlign w:val="bottom"/>
            <w:tcBorders>
              <w:bottom w:val="single" w:sz="8" w:color="E6EEFF"/>
            </w:tcBorders>
          </w:tcPr>
          <w:p>
            <w:pPr>
              <w:ind w:left="120"/>
              <w:spacing w:after="0" w:line="205" w:lineRule="exact"/>
              <w:rPr>
                <w:sz w:val="20"/>
                <w:szCs w:val="20"/>
                <w:color w:val="auto"/>
              </w:rPr>
            </w:pPr>
            <w:r>
              <w:rPr>
                <w:rFonts w:ascii="Calibri" w:cs="Calibri" w:eastAsia="Calibri" w:hAnsi="Calibri"/>
                <w:sz w:val="17"/>
                <w:szCs w:val="17"/>
                <w:color w:val="auto"/>
              </w:rPr>
              <w:t>Vested</w:t>
            </w:r>
          </w:p>
        </w:tc>
        <w:tc>
          <w:tcPr>
            <w:tcW w:w="960" w:type="dxa"/>
            <w:vAlign w:val="bottom"/>
            <w:tcBorders>
              <w:bottom w:val="single" w:sz="8" w:color="auto"/>
            </w:tcBorders>
          </w:tcPr>
          <w:p>
            <w:pPr>
              <w:ind w:left="660"/>
              <w:spacing w:after="0" w:line="205" w:lineRule="exact"/>
              <w:rPr>
                <w:sz w:val="20"/>
                <w:szCs w:val="20"/>
                <w:color w:val="auto"/>
              </w:rPr>
            </w:pPr>
            <w:r>
              <w:rPr>
                <w:rFonts w:ascii="Calibri" w:cs="Calibri" w:eastAsia="Calibri" w:hAnsi="Calibri"/>
                <w:sz w:val="17"/>
                <w:szCs w:val="17"/>
                <w:color w:val="auto"/>
              </w:rPr>
              <w:t>(76)</w:t>
            </w:r>
          </w:p>
        </w:tc>
        <w:tc>
          <w:tcPr>
            <w:tcW w:w="220" w:type="dxa"/>
            <w:vAlign w:val="bottom"/>
            <w:tcBorders>
              <w:bottom w:val="single" w:sz="8" w:color="E6EEFF"/>
            </w:tcBorders>
            <w:gridSpan w:val="2"/>
          </w:tcPr>
          <w:p>
            <w:pPr>
              <w:jc w:val="center"/>
              <w:ind w:left="54"/>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E6EEFF"/>
            </w:tcBorders>
          </w:tcPr>
          <w:p>
            <w:pPr>
              <w:jc w:val="right"/>
              <w:spacing w:after="0" w:line="205" w:lineRule="exact"/>
              <w:rPr>
                <w:sz w:val="20"/>
                <w:szCs w:val="20"/>
                <w:color w:val="auto"/>
              </w:rPr>
            </w:pPr>
            <w:r>
              <w:rPr>
                <w:rFonts w:ascii="Calibri" w:cs="Calibri" w:eastAsia="Calibri" w:hAnsi="Calibri"/>
                <w:sz w:val="17"/>
                <w:szCs w:val="17"/>
                <w:color w:val="auto"/>
              </w:rPr>
              <w:t>48.24</w:t>
            </w:r>
          </w:p>
        </w:tc>
        <w:tc>
          <w:tcPr>
            <w:tcW w:w="120" w:type="dxa"/>
            <w:vAlign w:val="bottom"/>
            <w:tcBorders>
              <w:bottom w:val="single" w:sz="8" w:color="E6EEFF"/>
            </w:tcBorders>
          </w:tcPr>
          <w:p>
            <w:pPr>
              <w:spacing w:after="0"/>
              <w:rPr>
                <w:sz w:val="18"/>
                <w:szCs w:val="18"/>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(51)</w:t>
            </w:r>
          </w:p>
        </w:tc>
        <w:tc>
          <w:tcPr>
            <w:tcW w:w="260" w:type="dxa"/>
            <w:vAlign w:val="bottom"/>
            <w:tcBorders>
              <w:bottom w:val="single" w:sz="8" w:color="E6EEFF"/>
            </w:tcBorders>
            <w:gridSpan w:val="2"/>
          </w:tcPr>
          <w:p>
            <w:pPr>
              <w:jc w:val="center"/>
              <w:ind w:left="94"/>
              <w:spacing w:after="0" w:line="205" w:lineRule="exact"/>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E6EEFF"/>
            </w:tcBorders>
          </w:tcPr>
          <w:p>
            <w:pPr>
              <w:jc w:val="right"/>
              <w:spacing w:after="0" w:line="205" w:lineRule="exact"/>
              <w:rPr>
                <w:sz w:val="20"/>
                <w:szCs w:val="20"/>
                <w:color w:val="auto"/>
              </w:rPr>
            </w:pPr>
            <w:r>
              <w:rPr>
                <w:rFonts w:ascii="Calibri" w:cs="Calibri" w:eastAsia="Calibri" w:hAnsi="Calibri"/>
                <w:sz w:val="17"/>
                <w:szCs w:val="17"/>
                <w:color w:val="auto"/>
              </w:rPr>
              <w:t>83.60</w:t>
            </w:r>
          </w:p>
        </w:tc>
        <w:tc>
          <w:tcPr>
            <w:tcW w:w="120" w:type="dxa"/>
            <w:vAlign w:val="bottom"/>
            <w:tcBorders>
              <w:bottom w:val="single" w:sz="8" w:color="E6EEFF"/>
            </w:tcBorders>
          </w:tcPr>
          <w:p>
            <w:pPr>
              <w:spacing w:after="0"/>
              <w:rPr>
                <w:sz w:val="18"/>
                <w:szCs w:val="18"/>
                <w:color w:val="auto"/>
              </w:rPr>
            </w:pPr>
          </w:p>
        </w:tc>
        <w:tc>
          <w:tcPr>
            <w:tcW w:w="9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(61)</w:t>
            </w:r>
          </w:p>
        </w:tc>
        <w:tc>
          <w:tcPr>
            <w:tcW w:w="220" w:type="dxa"/>
            <w:vAlign w:val="bottom"/>
            <w:tcBorders>
              <w:bottom w:val="single" w:sz="8" w:color="E6EEFF"/>
            </w:tcBorders>
            <w:gridSpan w:val="2"/>
          </w:tcPr>
          <w:p>
            <w:pPr>
              <w:jc w:val="center"/>
              <w:ind w:left="34"/>
              <w:spacing w:after="0" w:line="205" w:lineRule="exact"/>
              <w:rPr>
                <w:sz w:val="20"/>
                <w:szCs w:val="20"/>
                <w:color w:val="auto"/>
              </w:rPr>
            </w:pPr>
            <w:r>
              <w:rPr>
                <w:rFonts w:ascii="Calibri" w:cs="Calibri" w:eastAsia="Calibri" w:hAnsi="Calibri"/>
                <w:sz w:val="17"/>
                <w:szCs w:val="17"/>
                <w:color w:val="auto"/>
              </w:rPr>
              <w:t>$</w:t>
            </w:r>
          </w:p>
        </w:tc>
        <w:tc>
          <w:tcPr>
            <w:tcW w:w="1080" w:type="dxa"/>
            <w:vAlign w:val="bottom"/>
            <w:tcBorders>
              <w:bottom w:val="single" w:sz="8" w:color="E6EEFF"/>
            </w:tcBorders>
          </w:tcPr>
          <w:p>
            <w:pPr>
              <w:jc w:val="right"/>
              <w:spacing w:after="0" w:line="205" w:lineRule="exact"/>
              <w:rPr>
                <w:sz w:val="20"/>
                <w:szCs w:val="20"/>
                <w:color w:val="auto"/>
              </w:rPr>
            </w:pPr>
            <w:r>
              <w:rPr>
                <w:rFonts w:ascii="Calibri" w:cs="Calibri" w:eastAsia="Calibri" w:hAnsi="Calibri"/>
                <w:sz w:val="17"/>
                <w:szCs w:val="17"/>
                <w:color w:val="auto"/>
              </w:rPr>
              <w:t>85.40</w:t>
            </w:r>
          </w:p>
        </w:tc>
      </w:tr>
      <w:tr>
        <w:trPr>
          <w:trHeight w:val="244"/>
        </w:trPr>
        <w:tc>
          <w:tcPr>
            <w:tcW w:w="4080" w:type="dxa"/>
            <w:vAlign w:val="bottom"/>
            <w:tcBorders>
              <w:bottom w:val="single" w:sz="8" w:color="E6EEFF"/>
            </w:tcBorders>
            <w:shd w:val="clear" w:color="auto" w:fill="E6EEFF"/>
          </w:tcPr>
          <w:p>
            <w:pPr>
              <w:ind w:left="20"/>
              <w:spacing w:after="0"/>
              <w:rPr>
                <w:sz w:val="20"/>
                <w:szCs w:val="20"/>
                <w:color w:val="auto"/>
              </w:rPr>
            </w:pPr>
            <w:r>
              <w:rPr>
                <w:rFonts w:ascii="Calibri" w:cs="Calibri" w:eastAsia="Calibri" w:hAnsi="Calibri"/>
                <w:sz w:val="17"/>
                <w:szCs w:val="17"/>
                <w:b w:val="1"/>
                <w:bCs w:val="1"/>
                <w:color w:val="1C4787"/>
              </w:rPr>
              <w:t>Unvested RSU Awards Outstanding end of period</w:t>
            </w:r>
          </w:p>
        </w:tc>
        <w:tc>
          <w:tcPr>
            <w:tcW w:w="960" w:type="dxa"/>
            <w:vAlign w:val="bottom"/>
            <w:tcBorders>
              <w:bottom w:val="single" w:sz="8" w:color="auto"/>
            </w:tcBorders>
            <w:shd w:val="clear" w:color="auto" w:fill="E6EEFF"/>
          </w:tcPr>
          <w:p>
            <w:pPr>
              <w:ind w:left="640"/>
              <w:spacing w:after="0" w:line="205" w:lineRule="exact"/>
              <w:rPr>
                <w:sz w:val="20"/>
                <w:szCs w:val="20"/>
                <w:color w:val="auto"/>
              </w:rPr>
            </w:pPr>
            <w:r>
              <w:rPr>
                <w:rFonts w:ascii="Calibri" w:cs="Calibri" w:eastAsia="Calibri" w:hAnsi="Calibri"/>
                <w:sz w:val="17"/>
                <w:szCs w:val="17"/>
                <w:color w:val="auto"/>
              </w:rPr>
              <w:t>298</w:t>
            </w:r>
          </w:p>
        </w:tc>
        <w:tc>
          <w:tcPr>
            <w:tcW w:w="220" w:type="dxa"/>
            <w:vAlign w:val="bottom"/>
            <w:tcBorders>
              <w:bottom w:val="single" w:sz="8" w:color="E6EEFF"/>
            </w:tcBorders>
            <w:gridSpan w:val="2"/>
            <w:shd w:val="clear" w:color="auto" w:fill="E6EEFF"/>
          </w:tcPr>
          <w:p>
            <w:pPr>
              <w:jc w:val="center"/>
              <w:ind w:left="54"/>
              <w:spacing w:after="0"/>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38.21</w:t>
            </w:r>
          </w:p>
        </w:tc>
        <w:tc>
          <w:tcPr>
            <w:tcW w:w="120" w:type="dxa"/>
            <w:vAlign w:val="bottom"/>
            <w:tcBorders>
              <w:bottom w:val="single" w:sz="8" w:color="E6EEFF"/>
            </w:tcBorders>
            <w:shd w:val="clear" w:color="auto" w:fill="E6EEFF"/>
          </w:tcPr>
          <w:p>
            <w:pPr>
              <w:spacing w:after="0"/>
              <w:rPr>
                <w:sz w:val="20"/>
                <w:szCs w:val="20"/>
                <w:color w:val="auto"/>
              </w:rPr>
            </w:pP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114</w:t>
            </w:r>
          </w:p>
        </w:tc>
        <w:tc>
          <w:tcPr>
            <w:tcW w:w="260" w:type="dxa"/>
            <w:vAlign w:val="bottom"/>
            <w:tcBorders>
              <w:bottom w:val="single" w:sz="8" w:color="E6EEFF"/>
            </w:tcBorders>
            <w:gridSpan w:val="2"/>
            <w:shd w:val="clear" w:color="auto" w:fill="E6EEFF"/>
          </w:tcPr>
          <w:p>
            <w:pPr>
              <w:jc w:val="center"/>
              <w:ind w:left="94"/>
              <w:spacing w:after="0"/>
              <w:rPr>
                <w:sz w:val="20"/>
                <w:szCs w:val="20"/>
                <w:color w:val="auto"/>
              </w:rPr>
            </w:pPr>
            <w:r>
              <w:rPr>
                <w:rFonts w:ascii="Calibri" w:cs="Calibri" w:eastAsia="Calibri" w:hAnsi="Calibri"/>
                <w:sz w:val="17"/>
                <w:szCs w:val="17"/>
                <w:color w:val="auto"/>
                <w:w w:val="92"/>
              </w:rPr>
              <w:t>$</w:t>
            </w:r>
          </w:p>
        </w:tc>
        <w:tc>
          <w:tcPr>
            <w:tcW w:w="110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64.40</w:t>
            </w:r>
          </w:p>
        </w:tc>
        <w:tc>
          <w:tcPr>
            <w:tcW w:w="120" w:type="dxa"/>
            <w:vAlign w:val="bottom"/>
            <w:tcBorders>
              <w:bottom w:val="single" w:sz="8" w:color="E6EEFF"/>
            </w:tcBorders>
            <w:shd w:val="clear" w:color="auto" w:fill="E6EEFF"/>
          </w:tcPr>
          <w:p>
            <w:pPr>
              <w:spacing w:after="0"/>
              <w:rPr>
                <w:sz w:val="20"/>
                <w:szCs w:val="20"/>
                <w:color w:val="auto"/>
              </w:rPr>
            </w:pPr>
          </w:p>
        </w:tc>
        <w:tc>
          <w:tcPr>
            <w:tcW w:w="9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165</w:t>
            </w:r>
          </w:p>
        </w:tc>
        <w:tc>
          <w:tcPr>
            <w:tcW w:w="220" w:type="dxa"/>
            <w:vAlign w:val="bottom"/>
            <w:tcBorders>
              <w:bottom w:val="single" w:sz="8" w:color="E6EEFF"/>
            </w:tcBorders>
            <w:gridSpan w:val="2"/>
            <w:shd w:val="clear" w:color="auto" w:fill="E6EEFF"/>
          </w:tcPr>
          <w:p>
            <w:pPr>
              <w:jc w:val="center"/>
              <w:ind w:left="34"/>
              <w:spacing w:after="0"/>
              <w:rPr>
                <w:sz w:val="20"/>
                <w:szCs w:val="20"/>
                <w:color w:val="auto"/>
              </w:rPr>
            </w:pPr>
            <w:r>
              <w:rPr>
                <w:rFonts w:ascii="Calibri" w:cs="Calibri" w:eastAsia="Calibri" w:hAnsi="Calibri"/>
                <w:sz w:val="17"/>
                <w:szCs w:val="17"/>
                <w:color w:val="auto"/>
              </w:rPr>
              <w:t>$</w:t>
            </w:r>
          </w:p>
        </w:tc>
        <w:tc>
          <w:tcPr>
            <w:tcW w:w="108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70.35</w:t>
            </w:r>
          </w:p>
        </w:tc>
      </w:tr>
      <w:tr>
        <w:trPr>
          <w:trHeight w:val="20"/>
        </w:trPr>
        <w:tc>
          <w:tcPr>
            <w:tcW w:w="4080" w:type="dxa"/>
            <w:vAlign w:val="bottom"/>
            <w:tcBorders>
              <w:top w:val="single" w:sz="8" w:color="E6EEFF"/>
            </w:tcBorders>
          </w:tcPr>
          <w:p>
            <w:pPr>
              <w:spacing w:after="0" w:line="20" w:lineRule="exact"/>
              <w:rPr>
                <w:sz w:val="1"/>
                <w:szCs w:val="1"/>
                <w:color w:val="auto"/>
              </w:rPr>
            </w:pPr>
          </w:p>
        </w:tc>
        <w:tc>
          <w:tcPr>
            <w:tcW w:w="96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10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c>
          <w:tcPr>
            <w:tcW w:w="160" w:type="dxa"/>
            <w:vAlign w:val="bottom"/>
            <w:tcBorders>
              <w:top w:val="single" w:sz="8" w:color="E6EEFF"/>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10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96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1080" w:type="dxa"/>
            <w:vAlign w:val="bottom"/>
            <w:tcBorders>
              <w:top w:val="single" w:sz="8" w:color="E6EEFF"/>
            </w:tcBorders>
          </w:tcPr>
          <w:p>
            <w:pPr>
              <w:spacing w:after="0" w:line="20" w:lineRule="exact"/>
              <w:rPr>
                <w:sz w:val="1"/>
                <w:szCs w:val="1"/>
                <w:color w:val="auto"/>
              </w:rPr>
            </w:pPr>
          </w:p>
        </w:tc>
      </w:tr>
    </w:tbl>
    <w:p>
      <w:pPr>
        <w:spacing w:after="0" w:line="108" w:lineRule="exact"/>
        <w:rPr>
          <w:sz w:val="20"/>
          <w:szCs w:val="20"/>
          <w:color w:val="auto"/>
        </w:rPr>
      </w:pPr>
    </w:p>
    <w:p>
      <w:pPr>
        <w:ind w:left="320" w:hanging="317"/>
        <w:spacing w:after="0" w:line="237" w:lineRule="auto"/>
        <w:tabs>
          <w:tab w:leader="none" w:pos="313" w:val="left"/>
        </w:tabs>
        <w:numPr>
          <w:ilvl w:val="0"/>
          <w:numId w:val="39"/>
        </w:numPr>
        <w:rPr>
          <w:rFonts w:ascii="Calibri" w:cs="Calibri" w:eastAsia="Calibri" w:hAnsi="Calibri"/>
          <w:sz w:val="17"/>
          <w:szCs w:val="17"/>
          <w:color w:val="auto"/>
        </w:rPr>
      </w:pPr>
      <w:r>
        <w:rPr>
          <w:rFonts w:ascii="Calibri" w:cs="Calibri" w:eastAsia="Calibri" w:hAnsi="Calibri"/>
          <w:sz w:val="17"/>
          <w:szCs w:val="17"/>
          <w:color w:val="auto"/>
        </w:rPr>
        <w:t>During the year ended December 31, 2023, 196 RSUs were granted to certain ofcers of ARMOUR and 64 RSUs were granted to the Board. During the year ended December 31, 2021, 107 RSUs were granted to certain ofcers of ARMOUR and 20 RSUs were granted to the Board.</w:t>
      </w:r>
    </w:p>
    <w:p>
      <w:pPr>
        <w:spacing w:after="0" w:line="183" w:lineRule="exact"/>
        <w:rPr>
          <w:sz w:val="20"/>
          <w:szCs w:val="20"/>
          <w:color w:val="auto"/>
        </w:rPr>
      </w:pPr>
    </w:p>
    <w:p>
      <w:pPr>
        <w:jc w:val="both"/>
        <w:ind w:firstLine="773"/>
        <w:spacing w:after="0" w:line="238" w:lineRule="auto"/>
        <w:rPr>
          <w:sz w:val="20"/>
          <w:szCs w:val="20"/>
          <w:color w:val="auto"/>
        </w:rPr>
      </w:pPr>
      <w:r>
        <w:rPr>
          <w:rFonts w:ascii="Calibri" w:cs="Calibri" w:eastAsia="Calibri" w:hAnsi="Calibri"/>
          <w:sz w:val="17"/>
          <w:szCs w:val="17"/>
          <w:color w:val="auto"/>
        </w:rPr>
        <w:t>At December 31, 2023, there was approximately $11,404 of unvested stock based compensaton related to the Awards (based on a weighted grant date price of $38.21 per share), which we expect to recognize as an expense as follows: in 2024 an expense of $3,626, in 2025 an expense of $2,346, and thereafer an expense of $5,432. Our policy is to account for forfeitures as they occur. We also pay each of our non-executve Board members quarterly fees of $33, which are payable in cash, common stock, RSUs or a combinaton of common stock, RSUs and cash at the opton of the director. Non-executve Board members have the opton to partcipate in the Company's Non-Management Director Compensaton and Deferral Program (the "Deferral Program"). The Deferral Program permits non-executve Board members to elect to receive either common stock or RSUs or a combinaton of common stock and RSUs at the opton of the director, instead of all or part of their quarterly cash compensaton and/or all or part of their commitee and chairperson cash retainers.</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Note 10 - Stockholders' Equity</w:t>
      </w:r>
    </w:p>
    <w:p>
      <w:pPr>
        <w:spacing w:after="0" w:line="102"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The following table presents the components of cumulatve distributons to stockholders at December 31, 2023, December 31, 2022 and December 31,</w:t>
      </w:r>
    </w:p>
    <w:p>
      <w:pPr>
        <w:spacing w:after="0" w:line="238" w:lineRule="auto"/>
        <w:rPr>
          <w:sz w:val="20"/>
          <w:szCs w:val="20"/>
          <w:color w:val="auto"/>
        </w:rPr>
      </w:pPr>
      <w:r>
        <w:rPr>
          <w:rFonts w:ascii="Calibri" w:cs="Calibri" w:eastAsia="Calibri" w:hAnsi="Calibri"/>
          <w:sz w:val="17"/>
          <w:szCs w:val="17"/>
          <w:color w:val="auto"/>
        </w:rPr>
        <w:t>2021.</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6580" w:type="dxa"/>
            <w:vAlign w:val="bottom"/>
            <w:shd w:val="clear" w:color="auto" w:fill="E6EEFF"/>
          </w:tcPr>
          <w:p>
            <w:pPr>
              <w:spacing w:after="0"/>
              <w:rPr>
                <w:sz w:val="19"/>
                <w:szCs w:val="19"/>
                <w:color w:val="auto"/>
              </w:rPr>
            </w:pPr>
          </w:p>
        </w:tc>
        <w:tc>
          <w:tcPr>
            <w:tcW w:w="80" w:type="dxa"/>
            <w:vAlign w:val="bottom"/>
            <w:shd w:val="clear" w:color="auto" w:fill="E6EEFF"/>
          </w:tcPr>
          <w:p>
            <w:pPr>
              <w:spacing w:after="0"/>
              <w:rPr>
                <w:sz w:val="19"/>
                <w:szCs w:val="19"/>
                <w:color w:val="auto"/>
              </w:rPr>
            </w:pPr>
          </w:p>
        </w:tc>
        <w:tc>
          <w:tcPr>
            <w:tcW w:w="400" w:type="dxa"/>
            <w:vAlign w:val="bottom"/>
            <w:tcBorders>
              <w:bottom w:val="single" w:sz="8" w:color="auto"/>
            </w:tcBorders>
            <w:shd w:val="clear" w:color="auto" w:fill="E6EEFF"/>
          </w:tcPr>
          <w:p>
            <w:pPr>
              <w:spacing w:after="0"/>
              <w:rPr>
                <w:sz w:val="19"/>
                <w:szCs w:val="19"/>
                <w:color w:val="auto"/>
              </w:rPr>
            </w:pPr>
          </w:p>
        </w:tc>
        <w:tc>
          <w:tcPr>
            <w:tcW w:w="1060" w:type="dxa"/>
            <w:vAlign w:val="bottom"/>
            <w:tcBorders>
              <w:bottom w:val="single" w:sz="8" w:color="auto"/>
            </w:tcBorders>
            <w:shd w:val="clear" w:color="auto" w:fill="E6EEFF"/>
          </w:tcPr>
          <w:p>
            <w:pPr>
              <w:spacing w:after="0"/>
              <w:rPr>
                <w:sz w:val="19"/>
                <w:szCs w:val="19"/>
                <w:color w:val="auto"/>
              </w:rPr>
            </w:pPr>
          </w:p>
        </w:tc>
        <w:tc>
          <w:tcPr>
            <w:tcW w:w="80" w:type="dxa"/>
            <w:vAlign w:val="bottom"/>
            <w:tcBorders>
              <w:bottom w:val="single" w:sz="8" w:color="auto"/>
            </w:tcBorders>
            <w:shd w:val="clear" w:color="auto" w:fill="E6EEFF"/>
          </w:tcPr>
          <w:p>
            <w:pPr>
              <w:spacing w:after="0"/>
              <w:rPr>
                <w:sz w:val="19"/>
                <w:szCs w:val="19"/>
                <w:color w:val="auto"/>
              </w:rPr>
            </w:pPr>
          </w:p>
        </w:tc>
        <w:tc>
          <w:tcPr>
            <w:tcW w:w="1540" w:type="dxa"/>
            <w:vAlign w:val="bottom"/>
            <w:tcBorders>
              <w:bottom w:val="single" w:sz="8" w:color="auto"/>
            </w:tcBorders>
            <w:gridSpan w:val="3"/>
            <w:shd w:val="clear" w:color="auto" w:fill="E6EEFF"/>
          </w:tcPr>
          <w:p>
            <w:pPr>
              <w:ind w:left="40"/>
              <w:spacing w:after="0"/>
              <w:rPr>
                <w:sz w:val="20"/>
                <w:szCs w:val="20"/>
                <w:color w:val="auto"/>
              </w:rPr>
            </w:pPr>
            <w:r>
              <w:rPr>
                <w:rFonts w:ascii="Calibri" w:cs="Calibri" w:eastAsia="Calibri" w:hAnsi="Calibri"/>
                <w:sz w:val="17"/>
                <w:szCs w:val="17"/>
                <w:b w:val="1"/>
                <w:bCs w:val="1"/>
                <w:color w:val="1C4787"/>
              </w:rPr>
              <w:t>For the Years Ended</w:t>
            </w:r>
          </w:p>
        </w:tc>
        <w:tc>
          <w:tcPr>
            <w:tcW w:w="400" w:type="dxa"/>
            <w:vAlign w:val="bottom"/>
            <w:tcBorders>
              <w:bottom w:val="single" w:sz="8" w:color="auto"/>
            </w:tcBorders>
            <w:shd w:val="clear" w:color="auto" w:fill="E6EEFF"/>
          </w:tcPr>
          <w:p>
            <w:pPr>
              <w:spacing w:after="0"/>
              <w:rPr>
                <w:sz w:val="19"/>
                <w:szCs w:val="19"/>
                <w:color w:val="auto"/>
              </w:rPr>
            </w:pPr>
          </w:p>
        </w:tc>
        <w:tc>
          <w:tcPr>
            <w:tcW w:w="1040" w:type="dxa"/>
            <w:vAlign w:val="bottom"/>
            <w:tcBorders>
              <w:bottom w:val="single" w:sz="8" w:color="auto"/>
            </w:tcBorders>
            <w:shd w:val="clear" w:color="auto" w:fill="E6EEFF"/>
          </w:tcPr>
          <w:p>
            <w:pPr>
              <w:spacing w:after="0"/>
              <w:rPr>
                <w:sz w:val="19"/>
                <w:szCs w:val="19"/>
                <w:color w:val="auto"/>
              </w:rPr>
            </w:pPr>
          </w:p>
        </w:tc>
      </w:tr>
      <w:tr>
        <w:trPr>
          <w:trHeight w:val="205"/>
        </w:trPr>
        <w:tc>
          <w:tcPr>
            <w:tcW w:w="6660" w:type="dxa"/>
            <w:vAlign w:val="bottom"/>
            <w:gridSpan w:val="2"/>
          </w:tcPr>
          <w:p>
            <w:pPr>
              <w:ind w:left="20"/>
              <w:spacing w:after="0" w:line="190" w:lineRule="exact"/>
              <w:rPr>
                <w:sz w:val="20"/>
                <w:szCs w:val="20"/>
                <w:color w:val="auto"/>
              </w:rPr>
            </w:pPr>
            <w:r>
              <w:rPr>
                <w:rFonts w:ascii="Calibri" w:cs="Calibri" w:eastAsia="Calibri" w:hAnsi="Calibri"/>
                <w:sz w:val="17"/>
                <w:szCs w:val="17"/>
                <w:b w:val="1"/>
                <w:bCs w:val="1"/>
                <w:color w:val="1C4787"/>
              </w:rPr>
              <w:t>Cumulatve Distributons to Stockholders</w:t>
            </w:r>
          </w:p>
        </w:tc>
        <w:tc>
          <w:tcPr>
            <w:tcW w:w="1540" w:type="dxa"/>
            <w:vAlign w:val="bottom"/>
            <w:gridSpan w:val="3"/>
          </w:tcPr>
          <w:p>
            <w:pPr>
              <w:ind w:left="6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540" w:type="dxa"/>
            <w:vAlign w:val="bottom"/>
            <w:gridSpan w:val="3"/>
          </w:tcPr>
          <w:p>
            <w:pPr>
              <w:ind w:left="4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440" w:type="dxa"/>
            <w:vAlign w:val="bottom"/>
            <w:gridSpan w:val="2"/>
          </w:tcPr>
          <w:p>
            <w:pPr>
              <w:jc w:val="right"/>
              <w:spacing w:after="0" w:line="205" w:lineRule="exact"/>
              <w:rPr>
                <w:sz w:val="20"/>
                <w:szCs w:val="20"/>
                <w:color w:val="auto"/>
              </w:rPr>
            </w:pPr>
            <w:r>
              <w:rPr>
                <w:rFonts w:ascii="Calibri" w:cs="Calibri" w:eastAsia="Calibri" w:hAnsi="Calibri"/>
                <w:sz w:val="17"/>
                <w:szCs w:val="17"/>
                <w:b w:val="1"/>
                <w:bCs w:val="1"/>
                <w:color w:val="1C4787"/>
                <w:w w:val="99"/>
              </w:rPr>
              <w:t>December 31, 2021</w:t>
            </w:r>
          </w:p>
        </w:tc>
      </w:tr>
      <w:tr>
        <w:trPr>
          <w:trHeight w:val="219"/>
        </w:trPr>
        <w:tc>
          <w:tcPr>
            <w:tcW w:w="6580" w:type="dxa"/>
            <w:vAlign w:val="bottom"/>
            <w:tcBorders>
              <w:top w:val="single" w:sz="8" w:color="auto"/>
            </w:tcBorders>
            <w:shd w:val="clear" w:color="auto" w:fill="E6EEFF"/>
          </w:tcPr>
          <w:p>
            <w:pPr>
              <w:ind w:left="120"/>
              <w:spacing w:after="0" w:line="205" w:lineRule="exact"/>
              <w:rPr>
                <w:sz w:val="20"/>
                <w:szCs w:val="20"/>
                <w:color w:val="auto"/>
              </w:rPr>
            </w:pPr>
            <w:r>
              <w:rPr>
                <w:rFonts w:ascii="Calibri" w:cs="Calibri" w:eastAsia="Calibri" w:hAnsi="Calibri"/>
                <w:sz w:val="17"/>
                <w:szCs w:val="17"/>
                <w:color w:val="auto"/>
              </w:rPr>
              <w:t>Preferred dividends</w:t>
            </w:r>
          </w:p>
        </w:tc>
        <w:tc>
          <w:tcPr>
            <w:tcW w:w="80" w:type="dxa"/>
            <w:vAlign w:val="bottom"/>
            <w:tcBorders>
              <w:top w:val="single" w:sz="8" w:color="E6EEFF"/>
            </w:tcBorders>
            <w:shd w:val="clear" w:color="auto" w:fill="E6EEFF"/>
          </w:tcPr>
          <w:p>
            <w:pPr>
              <w:spacing w:after="0"/>
              <w:rPr>
                <w:sz w:val="19"/>
                <w:szCs w:val="19"/>
                <w:color w:val="auto"/>
              </w:rPr>
            </w:pPr>
          </w:p>
        </w:tc>
        <w:tc>
          <w:tcPr>
            <w:tcW w:w="400" w:type="dxa"/>
            <w:vAlign w:val="bottom"/>
            <w:tcBorders>
              <w:top w:val="single" w:sz="8" w:color="auto"/>
            </w:tcBorders>
            <w:shd w:val="clear" w:color="auto" w:fill="E6EEFF"/>
          </w:tcPr>
          <w:p>
            <w:pPr>
              <w:jc w:val="right"/>
              <w:ind w:right="21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156,809</w:t>
            </w:r>
          </w:p>
        </w:tc>
        <w:tc>
          <w:tcPr>
            <w:tcW w:w="80" w:type="dxa"/>
            <w:vAlign w:val="bottom"/>
            <w:tcBorders>
              <w:top w:val="single" w:sz="8" w:color="E6EEFF"/>
            </w:tcBorders>
            <w:shd w:val="clear" w:color="auto" w:fill="E6EEFF"/>
          </w:tcPr>
          <w:p>
            <w:pPr>
              <w:spacing w:after="0"/>
              <w:rPr>
                <w:sz w:val="19"/>
                <w:szCs w:val="19"/>
                <w:color w:val="auto"/>
              </w:rPr>
            </w:pPr>
          </w:p>
        </w:tc>
        <w:tc>
          <w:tcPr>
            <w:tcW w:w="400" w:type="dxa"/>
            <w:vAlign w:val="bottom"/>
            <w:tcBorders>
              <w:top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04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144,827</w:t>
            </w:r>
          </w:p>
        </w:tc>
        <w:tc>
          <w:tcPr>
            <w:tcW w:w="100" w:type="dxa"/>
            <w:vAlign w:val="bottom"/>
            <w:tcBorders>
              <w:top w:val="single" w:sz="8" w:color="E6EEFF"/>
            </w:tcBorders>
            <w:shd w:val="clear" w:color="auto" w:fill="E6EEFF"/>
          </w:tcPr>
          <w:p>
            <w:pPr>
              <w:spacing w:after="0"/>
              <w:rPr>
                <w:sz w:val="19"/>
                <w:szCs w:val="19"/>
                <w:color w:val="auto"/>
              </w:rPr>
            </w:pPr>
          </w:p>
        </w:tc>
        <w:tc>
          <w:tcPr>
            <w:tcW w:w="400" w:type="dxa"/>
            <w:vAlign w:val="bottom"/>
            <w:tcBorders>
              <w:top w:val="single" w:sz="8" w:color="auto"/>
            </w:tcBorders>
            <w:shd w:val="clear" w:color="auto" w:fill="E6EEFF"/>
          </w:tcPr>
          <w:p>
            <w:pPr>
              <w:jc w:val="right"/>
              <w:ind w:right="214"/>
              <w:spacing w:after="0" w:line="205" w:lineRule="exact"/>
              <w:rPr>
                <w:sz w:val="20"/>
                <w:szCs w:val="20"/>
                <w:color w:val="auto"/>
              </w:rPr>
            </w:pPr>
            <w:r>
              <w:rPr>
                <w:rFonts w:ascii="Calibri" w:cs="Calibri" w:eastAsia="Calibri" w:hAnsi="Calibri"/>
                <w:sz w:val="17"/>
                <w:szCs w:val="17"/>
                <w:color w:val="auto"/>
                <w:w w:val="92"/>
              </w:rPr>
              <w:t>$</w:t>
            </w:r>
          </w:p>
        </w:tc>
        <w:tc>
          <w:tcPr>
            <w:tcW w:w="104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132,845</w:t>
            </w:r>
          </w:p>
        </w:tc>
      </w:tr>
      <w:tr>
        <w:trPr>
          <w:trHeight w:val="212"/>
        </w:trPr>
        <w:tc>
          <w:tcPr>
            <w:tcW w:w="6660" w:type="dxa"/>
            <w:vAlign w:val="bottom"/>
            <w:tcBorders>
              <w:bottom w:val="single" w:sz="8" w:color="E6EEFF"/>
            </w:tcBorders>
            <w:gridSpan w:val="2"/>
          </w:tcPr>
          <w:p>
            <w:pPr>
              <w:ind w:left="120"/>
              <w:spacing w:after="0" w:line="205" w:lineRule="exact"/>
              <w:rPr>
                <w:sz w:val="20"/>
                <w:szCs w:val="20"/>
                <w:color w:val="auto"/>
              </w:rPr>
            </w:pPr>
            <w:r>
              <w:rPr>
                <w:rFonts w:ascii="Calibri" w:cs="Calibri" w:eastAsia="Calibri" w:hAnsi="Calibri"/>
                <w:sz w:val="17"/>
                <w:szCs w:val="17"/>
                <w:color w:val="auto"/>
              </w:rPr>
              <w:t>Common stock dividends</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2,063,758</w:t>
            </w:r>
          </w:p>
        </w:tc>
        <w:tc>
          <w:tcPr>
            <w:tcW w:w="80" w:type="dxa"/>
            <w:vAlign w:val="bottom"/>
            <w:tcBorders>
              <w:bottom w:val="single" w:sz="8" w:color="E6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1,847,534</w:t>
            </w:r>
          </w:p>
        </w:tc>
        <w:tc>
          <w:tcPr>
            <w:tcW w:w="100" w:type="dxa"/>
            <w:vAlign w:val="bottom"/>
            <w:tcBorders>
              <w:bottom w:val="single" w:sz="8" w:color="E6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1,705,110</w:t>
            </w:r>
          </w:p>
        </w:tc>
      </w:tr>
      <w:tr>
        <w:trPr>
          <w:trHeight w:val="244"/>
        </w:trPr>
        <w:tc>
          <w:tcPr>
            <w:tcW w:w="6660" w:type="dxa"/>
            <w:vAlign w:val="bottom"/>
            <w:tcBorders>
              <w:bottom w:val="single" w:sz="8" w:color="E6EEFF"/>
            </w:tcBorders>
            <w:gridSpan w:val="2"/>
            <w:shd w:val="clear" w:color="auto" w:fill="E6EEFF"/>
          </w:tcPr>
          <w:p>
            <w:pPr>
              <w:ind w:left="20"/>
              <w:spacing w:after="0"/>
              <w:rPr>
                <w:sz w:val="20"/>
                <w:szCs w:val="20"/>
                <w:color w:val="auto"/>
              </w:rPr>
            </w:pPr>
            <w:r>
              <w:rPr>
                <w:rFonts w:ascii="Calibri" w:cs="Calibri" w:eastAsia="Calibri" w:hAnsi="Calibri"/>
                <w:sz w:val="17"/>
                <w:szCs w:val="17"/>
                <w:b w:val="1"/>
                <w:bCs w:val="1"/>
                <w:color w:val="1C4787"/>
              </w:rPr>
              <w:t>Total</w:t>
            </w:r>
          </w:p>
        </w:tc>
        <w:tc>
          <w:tcPr>
            <w:tcW w:w="400" w:type="dxa"/>
            <w:vAlign w:val="bottom"/>
            <w:tcBorders>
              <w:bottom w:val="single" w:sz="8" w:color="auto"/>
            </w:tcBorders>
            <w:shd w:val="clear" w:color="auto" w:fill="E6EEFF"/>
          </w:tcPr>
          <w:p>
            <w:pPr>
              <w:jc w:val="right"/>
              <w:ind w:right="21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2,220,567</w:t>
            </w:r>
          </w:p>
        </w:tc>
        <w:tc>
          <w:tcPr>
            <w:tcW w:w="80" w:type="dxa"/>
            <w:vAlign w:val="bottom"/>
            <w:tcBorders>
              <w:bottom w:val="single" w:sz="8" w:color="E6EEFF"/>
            </w:tcBorders>
            <w:shd w:val="clear" w:color="auto" w:fill="E6EEFF"/>
          </w:tcPr>
          <w:p>
            <w:pPr>
              <w:spacing w:after="0"/>
              <w:rPr>
                <w:sz w:val="20"/>
                <w:szCs w:val="20"/>
                <w:color w:val="auto"/>
              </w:rPr>
            </w:pPr>
          </w:p>
        </w:tc>
        <w:tc>
          <w:tcPr>
            <w:tcW w:w="400" w:type="dxa"/>
            <w:vAlign w:val="bottom"/>
            <w:tcBorders>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0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1,992,361</w:t>
            </w:r>
          </w:p>
        </w:tc>
        <w:tc>
          <w:tcPr>
            <w:tcW w:w="100" w:type="dxa"/>
            <w:vAlign w:val="bottom"/>
            <w:tcBorders>
              <w:bottom w:val="single" w:sz="8" w:color="E6EEFF"/>
            </w:tcBorders>
            <w:shd w:val="clear" w:color="auto" w:fill="E6EEFF"/>
          </w:tcPr>
          <w:p>
            <w:pPr>
              <w:spacing w:after="0"/>
              <w:rPr>
                <w:sz w:val="20"/>
                <w:szCs w:val="20"/>
                <w:color w:val="auto"/>
              </w:rPr>
            </w:pPr>
          </w:p>
        </w:tc>
        <w:tc>
          <w:tcPr>
            <w:tcW w:w="400" w:type="dxa"/>
            <w:vAlign w:val="bottom"/>
            <w:tcBorders>
              <w:bottom w:val="single" w:sz="8" w:color="auto"/>
            </w:tcBorders>
            <w:shd w:val="clear" w:color="auto" w:fill="E6EEFF"/>
          </w:tcPr>
          <w:p>
            <w:pPr>
              <w:jc w:val="right"/>
              <w:ind w:right="214"/>
              <w:spacing w:after="0" w:line="205" w:lineRule="exact"/>
              <w:rPr>
                <w:sz w:val="20"/>
                <w:szCs w:val="20"/>
                <w:color w:val="auto"/>
              </w:rPr>
            </w:pPr>
            <w:r>
              <w:rPr>
                <w:rFonts w:ascii="Calibri" w:cs="Calibri" w:eastAsia="Calibri" w:hAnsi="Calibri"/>
                <w:sz w:val="17"/>
                <w:szCs w:val="17"/>
                <w:color w:val="auto"/>
                <w:w w:val="92"/>
              </w:rPr>
              <w:t>$</w:t>
            </w:r>
          </w:p>
        </w:tc>
        <w:tc>
          <w:tcPr>
            <w:tcW w:w="10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1,837,955</w:t>
            </w:r>
          </w:p>
        </w:tc>
      </w:tr>
      <w:tr>
        <w:trPr>
          <w:trHeight w:val="20"/>
        </w:trPr>
        <w:tc>
          <w:tcPr>
            <w:tcW w:w="6580" w:type="dxa"/>
            <w:vAlign w:val="bottom"/>
            <w:tcBorders>
              <w:top w:val="single" w:sz="8" w:color="E6EEFF"/>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400" w:type="dxa"/>
            <w:vAlign w:val="bottom"/>
            <w:tcBorders>
              <w:top w:val="single" w:sz="8" w:color="E6EEFF"/>
              <w:bottom w:val="single" w:sz="8" w:color="auto"/>
            </w:tcBorders>
          </w:tcPr>
          <w:p>
            <w:pPr>
              <w:spacing w:after="0" w:line="20" w:lineRule="exact"/>
              <w:rPr>
                <w:sz w:val="1"/>
                <w:szCs w:val="1"/>
                <w:color w:val="auto"/>
              </w:rPr>
            </w:pPr>
          </w:p>
        </w:tc>
        <w:tc>
          <w:tcPr>
            <w:tcW w:w="1060" w:type="dxa"/>
            <w:vAlign w:val="bottom"/>
            <w:tcBorders>
              <w:top w:val="single" w:sz="8" w:color="E6EEFF"/>
              <w:bottom w:val="single" w:sz="8" w:color="auto"/>
            </w:tcBorders>
          </w:tcPr>
          <w:p>
            <w:pPr>
              <w:spacing w:after="0" w:line="20" w:lineRule="exact"/>
              <w:rPr>
                <w:sz w:val="1"/>
                <w:szCs w:val="1"/>
                <w:color w:val="auto"/>
              </w:rPr>
            </w:pPr>
          </w:p>
        </w:tc>
        <w:tc>
          <w:tcPr>
            <w:tcW w:w="80" w:type="dxa"/>
            <w:vAlign w:val="bottom"/>
            <w:tcBorders>
              <w:top w:val="single" w:sz="8" w:color="E6EEFF"/>
            </w:tcBorders>
          </w:tcPr>
          <w:p>
            <w:pPr>
              <w:spacing w:after="0" w:line="20" w:lineRule="exact"/>
              <w:rPr>
                <w:sz w:val="1"/>
                <w:szCs w:val="1"/>
                <w:color w:val="auto"/>
              </w:rPr>
            </w:pPr>
          </w:p>
        </w:tc>
        <w:tc>
          <w:tcPr>
            <w:tcW w:w="400" w:type="dxa"/>
            <w:vAlign w:val="bottom"/>
            <w:tcBorders>
              <w:top w:val="single" w:sz="8" w:color="E6EEFF"/>
              <w:bottom w:val="single" w:sz="8" w:color="auto"/>
            </w:tcBorders>
          </w:tcPr>
          <w:p>
            <w:pPr>
              <w:spacing w:after="0" w:line="20" w:lineRule="exact"/>
              <w:rPr>
                <w:sz w:val="1"/>
                <w:szCs w:val="1"/>
                <w:color w:val="auto"/>
              </w:rPr>
            </w:pPr>
          </w:p>
        </w:tc>
        <w:tc>
          <w:tcPr>
            <w:tcW w:w="104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400" w:type="dxa"/>
            <w:vAlign w:val="bottom"/>
            <w:tcBorders>
              <w:top w:val="single" w:sz="8" w:color="E6EEFF"/>
              <w:bottom w:val="single" w:sz="8" w:color="auto"/>
            </w:tcBorders>
          </w:tcPr>
          <w:p>
            <w:pPr>
              <w:spacing w:after="0" w:line="20" w:lineRule="exact"/>
              <w:rPr>
                <w:sz w:val="1"/>
                <w:szCs w:val="1"/>
                <w:color w:val="auto"/>
              </w:rPr>
            </w:pPr>
          </w:p>
        </w:tc>
        <w:tc>
          <w:tcPr>
            <w:tcW w:w="1040" w:type="dxa"/>
            <w:vAlign w:val="bottom"/>
            <w:tcBorders>
              <w:top w:val="single" w:sz="8" w:color="E6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Preferred Stock</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At December 31, 2023 and December 31, 2022, we were authorized to issue up to 50,000 shares of preferred stock, par value $0.001 per share, with such designatons, votng and other rights and preferences as may be determined from tme to tme by our Board of Directors (“Board”) or a commitee thereof. On January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00" w:name="page101"/>
    <w:bookmarkEnd w:id="100"/>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99</w:t>
      </w:r>
    </w:p>
    <w:p>
      <w:pPr>
        <w:spacing w:after="0" w:line="200" w:lineRule="exact"/>
        <w:rPr>
          <w:sz w:val="20"/>
          <w:szCs w:val="20"/>
          <w:color w:val="auto"/>
        </w:rPr>
      </w:pPr>
    </w:p>
    <w:p>
      <w:pPr>
        <w:spacing w:after="0" w:line="318"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2020, we fled Artcles Supplementary with the Department to designate 10,000 shares of the Company’s authorized preferred stock, par value $0.001 per share, as shares of 7.00% Series C Preferred Stock with the powers, designatons, preferences and other rights as set forth therein. At December 31, 2023, a total of 40,000 shares of our authorized preferred stock remained available for designaton as future series.</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At December 31, 2023 and December 31, 2022, we had 6,847 shares of Series C Preferred Stock issued and outstanding with a par value of $0.001 per share and a liquidaton preference of $25.00 per share, or $171,175 in the aggregate. Shares designated as Series C Preferred Stock but unissued totaled 3,153 at December 31, 2023. At December 31, 2023, there were no accrued or unpaid dividends on the Series C Preferred Stock.</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On January 29, 2020, the Company entered into an Equity Sales Agreement (the “Preferred C ATM Sales Agreement”) with B. Riley Securites, Inc. (formerly B. Riley FBR, Inc.) and BUCKLER, as sales agents (individually and collectvely, the “Agents"), and ACM, pursuant to which the Company may ofer and sell, over a period of tme and from tme to tme, through one or more of the Agents, as the Company’s agents, up to 6,550 of Series C Preferred Stock. The Preferred C ATM Sales Agreement relates to a proposed “at-the-market” ofering program. Under the Preferred C ATM Sales Agreement, we will pay the agent designated to sell our shares an aggregate commission of up to 2.0% of the gross sales price per share of our common stock sold through the designated agent under the Preferred C ATM Sales Agreement. We did not sell any shares under the Preferred C ATM Sales Agreement during the years ended December 31, 2023 and December 31, 2022. During the year ended December 31, 2021, we sold 1,500 shares under this agreement for proceeds of $36,585, net of issuance costs and commissions of approximately $445.</w:t>
      </w:r>
    </w:p>
    <w:p>
      <w:pPr>
        <w:spacing w:after="0" w:line="169"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Preferred Stock Repurchase Program</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On July 26, 2022, the Board authorized a repurchase program of up to an aggregate of 2,000 shares of the Company’s outstanding Series C Preferred Stock ("Series C Preferred Stock Repurchase Program"). Under the Series C Preferred Stock Repurchase Program, shares may be purchased in the open market, including block trades, through privately negotated transactons, or pursuant to a trading plan separately adopted in the future. The tming, manner, price and amount of any repurchases will be at our discreton, in consultaton with the Pricing Commitee of the Board, subject to the requirements of the Securites Exchange Act of 1934, as amended, and related rules. We are not required to repurchase any shares under the Series C Preferred Stock Repurchase Program and it may be modifed, suspended or terminated at any tme for any reason. We do not intend to purchase shares from our Board or other afliates. Under Maryland law, such repurchased shares are treated as authorized but unissued. We did not repurchase any shares under the Series C Preferred Stock Repurchase Program during the years ended December 31, 2023 and December 31, 2022.</w:t>
      </w:r>
    </w:p>
    <w:p>
      <w:pPr>
        <w:spacing w:after="0" w:line="182"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Common Stock</w:t>
      </w:r>
    </w:p>
    <w:p>
      <w:pPr>
        <w:spacing w:after="0" w:line="102"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On August 29, 2023, we announced that our Board of Directors had approved the Reverse Stock Split. The Reverse Stock Split took efect at approximately</w:t>
      </w:r>
    </w:p>
    <w:p>
      <w:pPr>
        <w:spacing w:after="0" w:line="1" w:lineRule="exact"/>
        <w:rPr>
          <w:sz w:val="20"/>
          <w:szCs w:val="20"/>
          <w:color w:val="auto"/>
        </w:rPr>
      </w:pPr>
    </w:p>
    <w:p>
      <w:pPr>
        <w:spacing w:after="0"/>
        <w:rPr>
          <w:sz w:val="20"/>
          <w:szCs w:val="20"/>
          <w:color w:val="auto"/>
        </w:rPr>
      </w:pPr>
      <w:r>
        <w:rPr>
          <w:rFonts w:ascii="Calibri" w:cs="Calibri" w:eastAsia="Calibri" w:hAnsi="Calibri"/>
          <w:sz w:val="16"/>
          <w:szCs w:val="16"/>
          <w:color w:val="auto"/>
        </w:rPr>
        <w:t>5:00 p.m. Eastern Time on September 29, 2023 (the “Efectve Time”). At the Efectve Time, every fve issued and outstanding shares of common stock was converted</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into one share of common stock and the number of authorized shares of common stock was also reduced, on a one-for-fve basis, from 450,000 to 90,000. The par</w:t>
      </w:r>
    </w:p>
    <w:p>
      <w:pPr>
        <w:spacing w:after="0" w:line="238" w:lineRule="auto"/>
        <w:rPr>
          <w:sz w:val="20"/>
          <w:szCs w:val="20"/>
          <w:color w:val="auto"/>
        </w:rPr>
      </w:pPr>
      <w:r>
        <w:rPr>
          <w:rFonts w:ascii="Calibri" w:cs="Calibri" w:eastAsia="Calibri" w:hAnsi="Calibri"/>
          <w:sz w:val="17"/>
          <w:szCs w:val="17"/>
          <w:color w:val="auto"/>
        </w:rPr>
        <w:t>value of each share of common stock remained unchanged. No fractonal shares were issued in connecton with the Reverse Stock Split.</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At December 31, 2023 and December 31, 2022, we were authorized to issue up to 90,000 and 60,000 shares of common stock, par value $0.001 per share, respectvely, with such designatons, votng and other rights and preferences as may be determined from tme to tme by our Board. We had 48,799 and 32,582 shares of common stock issued and outstanding at December 31, 2023 and December 31, 2022, respectvely.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01" w:name="page102"/>
    <w:bookmarkEnd w:id="101"/>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100</w:t>
      </w:r>
    </w:p>
    <w:p>
      <w:pPr>
        <w:spacing w:after="0" w:line="200" w:lineRule="exact"/>
        <w:rPr>
          <w:sz w:val="20"/>
          <w:szCs w:val="20"/>
          <w:color w:val="auto"/>
        </w:rPr>
      </w:pPr>
    </w:p>
    <w:p>
      <w:pPr>
        <w:spacing w:after="0" w:line="318"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On May 14, 2021, we entered into a new Equity Sales Agreement (the “2021 Common stock ATM Sales Agreement”) with BUCKLER, JMP Securites LLC, Ladenburg Thalmann &amp; Co. Inc. and B. Riley Securites, Inc., as sales agents, relatng to the shares of our common stock. In accordance with the terms of the 2021 Common Stock ATM Sales agreement, we could ofer and sell over a period of tme and from tme to tme, up to 3,400 shares of our common stock, par value $0.001 per share. On November 12, 2021, the 2021 Common stock ATM Sales Agreement was amended to add JonesTrading Insttutonal Services LLC, as a sales agent and to ofer an additonal 5,000 shares available for sale pursuant to the terms of the 2021 Common stock ATM Sales Agreement. On June 9, 2022, the 2021 Common stock ATM Sales Agreement was further amended to ofer an additonal 5,760 shares available for sale. On November 4, 2022, the Common stock ATM Sales Agreement was further amended to ofer an additonal 7,000 shares available for sale. On January 17, 2023, it was amended to add an additonal 9,736 shares pursuant to the terms of the 2021 Common stock ATM Sales Agreement.</w:t>
      </w:r>
    </w:p>
    <w:p>
      <w:pPr>
        <w:spacing w:after="0" w:line="184"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2021 Common stock ATM Sales Agreement related to an "at-the-market" ofering program. The 2021 Common stock ATM Sales Agreement provided that we would pay the agent designated to sell our shares an aggregate commission of up to 2.0% of the gross sales price per share of our common stock sold through the designated agent under the 2021 Common stock ATM Sales Agreement. From January 2023 through July 2023, we sold 13,305 shares under this agreement for proceeds of $367,997, net of issuance costs and commissions of approximately $3,725. Those sales fully utlized the shares allocated to the 2021 Common stock ATM Sales Agreement, which has been completed (see Note 14 - Related Party Transactons for discussion of additonal transactons with BUCKLER).</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On July 26, 2023 we entered into a new Equity Sales Agreement (the “2023 Common stock ATM Sales Agreement”), with BUCKLER, JonesTrading Insttutonal Services LLC, Citzens JMP Securites, LLC (formerly JMP Securites LLC), Ladenburg Thalmann &amp; Co. Inc. and B. Riley Securites, Inc., as sales agents, relatng to the shares of our common stock. In accordance with the terms of the 2023 Common Stock ATM Sales agreement, we may ofer and sell over a period of tme and from tme to tme, up to 15,000 shares of our common stock, par value $0.001 per share. On October 25, 2023, the 2023 Common stock ATM Sales Agreement was amended to add StockBlock Securites LLC, as a sales agent. During the year ended December 31, 2023, we sold 3,328 shares under this agreement for proceeds of 82,100, net of issuance costs and commissions of approximately $903.</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During the year ended December 31, 2023, we issued 3 common shares under our Common Stock Dividend Reinvestment Program ("DRIP") for net proceeds of $51.</w:t>
      </w:r>
    </w:p>
    <w:p>
      <w:pPr>
        <w:spacing w:after="0" w:line="18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Common Stock Repurchase Program</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Efectve October 30, 2023, the Common Stock Repurchase Program authorizaton was increased to 2,500 shares. At December 31, 2023 and December 31, 2022, there were 2,287 and 1,346 authorized shares remaining under the repurchase authorizaton (the "Common Stock Repurchase Program"). During the year ended December 31, 2023 we repurchased a total of 11 fractonal shares for a cost of $233, in connecton with the Reverse Stock Split. During the year ended December 31, 2023, we repurchased 466 common shares under this authorizaton for a cost of $9,702. In January 2024, we repurchased 70 shares under this authorizaton for a cost of $1,344 with BUCKLER. See Note 14 - Related Party Transactons for discussion of additonal transactons with BUCKLER. Under the Common Stock Repurchase Program, shares may be purchased in the open market, including block trades, through privately negotated transactons, or pursuant to a trading plan separately adopted in the future. The tming, manner, price and amount of any repurchases will be at our discreton, subject to the requirements of the Exchange Act, and related rules. We are not required to repurchase any shares under the Common Stock Repurchase Program and it may be modifed, suspended or terminated at any tme for any reason. We do not intend to purchase shares from our Board or other afliates. Under Maryland law, such repurchased shares are treated as authorized but unissued.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1158240</wp:posOffset>
            </wp:positionV>
            <wp:extent cx="7164070"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433705</wp:posOffset>
            </wp:positionV>
            <wp:extent cx="458470" cy="5073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02" w:name="page103"/>
    <w:bookmarkEnd w:id="102"/>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101</w:t>
      </w:r>
    </w:p>
    <w:p>
      <w:pPr>
        <w:spacing w:after="0" w:line="200" w:lineRule="exact"/>
        <w:rPr>
          <w:sz w:val="20"/>
          <w:szCs w:val="20"/>
          <w:color w:val="auto"/>
        </w:rPr>
      </w:pPr>
    </w:p>
    <w:p>
      <w:pPr>
        <w:spacing w:after="0" w:line="315"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Equity Capital Actvites</w:t>
      </w:r>
    </w:p>
    <w:p>
      <w:pPr>
        <w:spacing w:after="0" w:line="102"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The following tables present our equity transactons for the years ended December 31, 2023 , December 31, 2022 and December 31, 2021.</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352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382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1280" w:type="dxa"/>
            <w:vAlign w:val="bottom"/>
            <w:gridSpan w:val="2"/>
            <w:shd w:val="clear" w:color="auto" w:fill="E6EEFF"/>
          </w:tcPr>
          <w:p>
            <w:pPr>
              <w:jc w:val="center"/>
              <w:ind w:right="120"/>
              <w:spacing w:after="0"/>
              <w:rPr>
                <w:sz w:val="20"/>
                <w:szCs w:val="20"/>
                <w:color w:val="auto"/>
              </w:rPr>
            </w:pPr>
            <w:r>
              <w:rPr>
                <w:rFonts w:ascii="Calibri" w:cs="Calibri" w:eastAsia="Calibri" w:hAnsi="Calibri"/>
                <w:sz w:val="17"/>
                <w:szCs w:val="17"/>
                <w:b w:val="1"/>
                <w:bCs w:val="1"/>
                <w:color w:val="1C4787"/>
                <w:w w:val="99"/>
              </w:rPr>
              <w:t>Number of</w:t>
            </w:r>
          </w:p>
        </w:tc>
        <w:tc>
          <w:tcPr>
            <w:tcW w:w="1260" w:type="dxa"/>
            <w:vAlign w:val="bottom"/>
            <w:gridSpan w:val="3"/>
            <w:shd w:val="clear" w:color="auto" w:fill="E6EEFF"/>
          </w:tcPr>
          <w:p>
            <w:pPr>
              <w:ind w:left="60"/>
              <w:spacing w:after="0"/>
              <w:rPr>
                <w:sz w:val="20"/>
                <w:szCs w:val="20"/>
                <w:color w:val="auto"/>
              </w:rPr>
            </w:pPr>
            <w:r>
              <w:rPr>
                <w:rFonts w:ascii="Calibri" w:cs="Calibri" w:eastAsia="Calibri" w:hAnsi="Calibri"/>
                <w:sz w:val="17"/>
                <w:szCs w:val="17"/>
                <w:b w:val="1"/>
                <w:bCs w:val="1"/>
                <w:color w:val="1C4787"/>
              </w:rPr>
              <w:t>Per Share price</w:t>
            </w:r>
          </w:p>
        </w:tc>
        <w:tc>
          <w:tcPr>
            <w:tcW w:w="1100" w:type="dxa"/>
            <w:vAlign w:val="bottom"/>
            <w:gridSpan w:val="2"/>
            <w:shd w:val="clear" w:color="auto" w:fill="E6EEFF"/>
          </w:tcPr>
          <w:p>
            <w:pPr>
              <w:jc w:val="right"/>
              <w:ind w:right="14"/>
              <w:spacing w:after="0"/>
              <w:rPr>
                <w:sz w:val="20"/>
                <w:szCs w:val="20"/>
                <w:color w:val="auto"/>
              </w:rPr>
            </w:pPr>
            <w:r>
              <w:rPr>
                <w:rFonts w:ascii="Calibri" w:cs="Calibri" w:eastAsia="Calibri" w:hAnsi="Calibri"/>
                <w:sz w:val="17"/>
                <w:szCs w:val="17"/>
                <w:b w:val="1"/>
                <w:bCs w:val="1"/>
                <w:color w:val="1C4787"/>
              </w:rPr>
              <w:t>Net Proceeds</w:t>
            </w:r>
          </w:p>
        </w:tc>
        <w:tc>
          <w:tcPr>
            <w:tcW w:w="0" w:type="dxa"/>
            <w:vAlign w:val="bottom"/>
          </w:tcPr>
          <w:p>
            <w:pPr>
              <w:spacing w:after="0"/>
              <w:rPr>
                <w:sz w:val="1"/>
                <w:szCs w:val="1"/>
                <w:color w:val="auto"/>
              </w:rPr>
            </w:pPr>
          </w:p>
        </w:tc>
      </w:tr>
      <w:tr>
        <w:trPr>
          <w:trHeight w:val="116"/>
        </w:trPr>
        <w:tc>
          <w:tcPr>
            <w:tcW w:w="3520" w:type="dxa"/>
            <w:vAlign w:val="bottom"/>
            <w:vMerge w:val="restart"/>
            <w:shd w:val="clear" w:color="auto" w:fill="E6EEFF"/>
          </w:tcPr>
          <w:p>
            <w:pPr>
              <w:ind w:left="1180"/>
              <w:spacing w:after="0" w:line="180" w:lineRule="exact"/>
              <w:rPr>
                <w:sz w:val="20"/>
                <w:szCs w:val="20"/>
                <w:color w:val="auto"/>
              </w:rPr>
            </w:pPr>
            <w:r>
              <w:rPr>
                <w:rFonts w:ascii="Calibri" w:cs="Calibri" w:eastAsia="Calibri" w:hAnsi="Calibri"/>
                <w:sz w:val="17"/>
                <w:szCs w:val="17"/>
                <w:b w:val="1"/>
                <w:bCs w:val="1"/>
                <w:color w:val="1C4787"/>
              </w:rPr>
              <w:t>Transacton Type</w:t>
            </w:r>
          </w:p>
        </w:tc>
        <w:tc>
          <w:tcPr>
            <w:tcW w:w="120" w:type="dxa"/>
            <w:vAlign w:val="bottom"/>
            <w:shd w:val="clear" w:color="auto" w:fill="E6EEFF"/>
          </w:tcPr>
          <w:p>
            <w:pPr>
              <w:spacing w:after="0"/>
              <w:rPr>
                <w:sz w:val="10"/>
                <w:szCs w:val="10"/>
                <w:color w:val="auto"/>
              </w:rPr>
            </w:pPr>
          </w:p>
        </w:tc>
        <w:tc>
          <w:tcPr>
            <w:tcW w:w="3940" w:type="dxa"/>
            <w:vAlign w:val="bottom"/>
            <w:gridSpan w:val="2"/>
            <w:vMerge w:val="restart"/>
            <w:shd w:val="clear" w:color="auto" w:fill="E6EEFF"/>
          </w:tcPr>
          <w:p>
            <w:pPr>
              <w:ind w:left="1320"/>
              <w:spacing w:after="0" w:line="180" w:lineRule="exact"/>
              <w:rPr>
                <w:sz w:val="20"/>
                <w:szCs w:val="20"/>
                <w:color w:val="auto"/>
              </w:rPr>
            </w:pPr>
            <w:r>
              <w:rPr>
                <w:rFonts w:ascii="Calibri" w:cs="Calibri" w:eastAsia="Calibri" w:hAnsi="Calibri"/>
                <w:sz w:val="17"/>
                <w:szCs w:val="17"/>
                <w:b w:val="1"/>
                <w:bCs w:val="1"/>
                <w:color w:val="1C4787"/>
              </w:rPr>
              <w:t>Completon Date</w:t>
            </w:r>
          </w:p>
        </w:tc>
        <w:tc>
          <w:tcPr>
            <w:tcW w:w="1280" w:type="dxa"/>
            <w:vAlign w:val="bottom"/>
            <w:gridSpan w:val="2"/>
            <w:vMerge w:val="restart"/>
            <w:shd w:val="clear" w:color="auto" w:fill="E6EEFF"/>
          </w:tcPr>
          <w:p>
            <w:pPr>
              <w:jc w:val="center"/>
              <w:ind w:right="100"/>
              <w:spacing w:after="0" w:line="180" w:lineRule="exact"/>
              <w:rPr>
                <w:sz w:val="20"/>
                <w:szCs w:val="20"/>
                <w:color w:val="auto"/>
              </w:rPr>
            </w:pPr>
            <w:r>
              <w:rPr>
                <w:rFonts w:ascii="Calibri" w:cs="Calibri" w:eastAsia="Calibri" w:hAnsi="Calibri"/>
                <w:sz w:val="17"/>
                <w:szCs w:val="17"/>
                <w:b w:val="1"/>
                <w:bCs w:val="1"/>
                <w:color w:val="1C4787"/>
                <w:w w:val="97"/>
              </w:rPr>
              <w:t>Shares</w:t>
            </w:r>
          </w:p>
        </w:tc>
        <w:tc>
          <w:tcPr>
            <w:tcW w:w="300" w:type="dxa"/>
            <w:vAlign w:val="bottom"/>
            <w:shd w:val="clear" w:color="auto" w:fill="E6EEFF"/>
          </w:tcPr>
          <w:p>
            <w:pPr>
              <w:spacing w:after="0"/>
              <w:rPr>
                <w:sz w:val="10"/>
                <w:szCs w:val="10"/>
                <w:color w:val="auto"/>
              </w:rPr>
            </w:pPr>
          </w:p>
        </w:tc>
        <w:tc>
          <w:tcPr>
            <w:tcW w:w="840" w:type="dxa"/>
            <w:vAlign w:val="bottom"/>
            <w:shd w:val="clear" w:color="auto" w:fill="E6EEFF"/>
          </w:tcPr>
          <w:p>
            <w:pPr>
              <w:jc w:val="right"/>
              <w:ind w:right="417"/>
              <w:spacing w:after="0" w:line="116" w:lineRule="exact"/>
              <w:rPr>
                <w:sz w:val="20"/>
                <w:szCs w:val="20"/>
                <w:color w:val="auto"/>
              </w:rPr>
            </w:pPr>
            <w:r>
              <w:rPr>
                <w:rFonts w:ascii="Calibri" w:cs="Calibri" w:eastAsia="Calibri" w:hAnsi="Calibri"/>
                <w:sz w:val="11"/>
                <w:szCs w:val="11"/>
                <w:b w:val="1"/>
                <w:bCs w:val="1"/>
                <w:color w:val="1C4787"/>
              </w:rPr>
              <w:t>(1)</w:t>
            </w:r>
          </w:p>
        </w:tc>
        <w:tc>
          <w:tcPr>
            <w:tcW w:w="120" w:type="dxa"/>
            <w:vAlign w:val="bottom"/>
            <w:shd w:val="clear" w:color="auto" w:fill="E6EEFF"/>
          </w:tcPr>
          <w:p>
            <w:pPr>
              <w:spacing w:after="0"/>
              <w:rPr>
                <w:sz w:val="10"/>
                <w:szCs w:val="10"/>
                <w:color w:val="auto"/>
              </w:rPr>
            </w:pPr>
          </w:p>
        </w:tc>
        <w:tc>
          <w:tcPr>
            <w:tcW w:w="200" w:type="dxa"/>
            <w:vAlign w:val="bottom"/>
            <w:shd w:val="clear" w:color="auto" w:fill="E6EEFF"/>
          </w:tcPr>
          <w:p>
            <w:pPr>
              <w:spacing w:after="0"/>
              <w:rPr>
                <w:sz w:val="10"/>
                <w:szCs w:val="10"/>
                <w:color w:val="auto"/>
              </w:rPr>
            </w:pPr>
          </w:p>
        </w:tc>
        <w:tc>
          <w:tcPr>
            <w:tcW w:w="900" w:type="dxa"/>
            <w:vAlign w:val="bottom"/>
            <w:vMerge w:val="restart"/>
            <w:shd w:val="clear" w:color="auto" w:fill="E6EEFF"/>
          </w:tcPr>
          <w:p>
            <w:pPr>
              <w:jc w:val="right"/>
              <w:ind w:right="234"/>
              <w:spacing w:after="0" w:line="180" w:lineRule="exact"/>
              <w:rPr>
                <w:sz w:val="20"/>
                <w:szCs w:val="20"/>
                <w:color w:val="auto"/>
              </w:rPr>
            </w:pPr>
            <w:r>
              <w:rPr>
                <w:rFonts w:ascii="Calibri" w:cs="Calibri" w:eastAsia="Calibri" w:hAnsi="Calibri"/>
                <w:sz w:val="17"/>
                <w:szCs w:val="17"/>
                <w:b w:val="1"/>
                <w:bCs w:val="1"/>
                <w:color w:val="1C4787"/>
              </w:rPr>
              <w:t>(Costs)</w:t>
            </w:r>
          </w:p>
        </w:tc>
        <w:tc>
          <w:tcPr>
            <w:tcW w:w="0" w:type="dxa"/>
            <w:vAlign w:val="bottom"/>
          </w:tcPr>
          <w:p>
            <w:pPr>
              <w:spacing w:after="0"/>
              <w:rPr>
                <w:sz w:val="1"/>
                <w:szCs w:val="1"/>
                <w:color w:val="auto"/>
              </w:rPr>
            </w:pPr>
          </w:p>
        </w:tc>
      </w:tr>
      <w:tr>
        <w:trPr>
          <w:trHeight w:val="64"/>
        </w:trPr>
        <w:tc>
          <w:tcPr>
            <w:tcW w:w="3520" w:type="dxa"/>
            <w:vAlign w:val="bottom"/>
            <w:vMerge w:val="continue"/>
            <w:shd w:val="clear" w:color="auto" w:fill="E6EEFF"/>
          </w:tcPr>
          <w:p>
            <w:pPr>
              <w:spacing w:after="0"/>
              <w:rPr>
                <w:sz w:val="5"/>
                <w:szCs w:val="5"/>
                <w:color w:val="auto"/>
              </w:rPr>
            </w:pPr>
          </w:p>
        </w:tc>
        <w:tc>
          <w:tcPr>
            <w:tcW w:w="120" w:type="dxa"/>
            <w:vAlign w:val="bottom"/>
            <w:shd w:val="clear" w:color="auto" w:fill="E6EEFF"/>
          </w:tcPr>
          <w:p>
            <w:pPr>
              <w:spacing w:after="0"/>
              <w:rPr>
                <w:sz w:val="5"/>
                <w:szCs w:val="5"/>
                <w:color w:val="auto"/>
              </w:rPr>
            </w:pPr>
          </w:p>
        </w:tc>
        <w:tc>
          <w:tcPr>
            <w:tcW w:w="3940" w:type="dxa"/>
            <w:vAlign w:val="bottom"/>
            <w:gridSpan w:val="2"/>
            <w:vMerge w:val="continue"/>
            <w:shd w:val="clear" w:color="auto" w:fill="E6EEFF"/>
          </w:tcPr>
          <w:p>
            <w:pPr>
              <w:spacing w:after="0"/>
              <w:rPr>
                <w:sz w:val="5"/>
                <w:szCs w:val="5"/>
                <w:color w:val="auto"/>
              </w:rPr>
            </w:pPr>
          </w:p>
        </w:tc>
        <w:tc>
          <w:tcPr>
            <w:tcW w:w="1280" w:type="dxa"/>
            <w:vAlign w:val="bottom"/>
            <w:gridSpan w:val="2"/>
            <w:vMerge w:val="continue"/>
            <w:shd w:val="clear" w:color="auto" w:fill="E6EEFF"/>
          </w:tcPr>
          <w:p>
            <w:pPr>
              <w:spacing w:after="0"/>
              <w:rPr>
                <w:sz w:val="5"/>
                <w:szCs w:val="5"/>
                <w:color w:val="auto"/>
              </w:rPr>
            </w:pPr>
          </w:p>
        </w:tc>
        <w:tc>
          <w:tcPr>
            <w:tcW w:w="300" w:type="dxa"/>
            <w:vAlign w:val="bottom"/>
            <w:shd w:val="clear" w:color="auto" w:fill="E6EEFF"/>
          </w:tcPr>
          <w:p>
            <w:pPr>
              <w:spacing w:after="0"/>
              <w:rPr>
                <w:sz w:val="5"/>
                <w:szCs w:val="5"/>
                <w:color w:val="auto"/>
              </w:rPr>
            </w:pPr>
          </w:p>
        </w:tc>
        <w:tc>
          <w:tcPr>
            <w:tcW w:w="840" w:type="dxa"/>
            <w:vAlign w:val="bottom"/>
            <w:shd w:val="clear" w:color="auto" w:fill="E6EEFF"/>
          </w:tcPr>
          <w:p>
            <w:pPr>
              <w:spacing w:after="0"/>
              <w:rPr>
                <w:sz w:val="5"/>
                <w:szCs w:val="5"/>
                <w:color w:val="auto"/>
              </w:rPr>
            </w:pPr>
          </w:p>
        </w:tc>
        <w:tc>
          <w:tcPr>
            <w:tcW w:w="120" w:type="dxa"/>
            <w:vAlign w:val="bottom"/>
            <w:shd w:val="clear" w:color="auto" w:fill="E6EEFF"/>
          </w:tcPr>
          <w:p>
            <w:pPr>
              <w:spacing w:after="0"/>
              <w:rPr>
                <w:sz w:val="5"/>
                <w:szCs w:val="5"/>
                <w:color w:val="auto"/>
              </w:rPr>
            </w:pPr>
          </w:p>
        </w:tc>
        <w:tc>
          <w:tcPr>
            <w:tcW w:w="200" w:type="dxa"/>
            <w:vAlign w:val="bottom"/>
            <w:shd w:val="clear" w:color="auto" w:fill="E6EEFF"/>
          </w:tcPr>
          <w:p>
            <w:pPr>
              <w:spacing w:after="0"/>
              <w:rPr>
                <w:sz w:val="5"/>
                <w:szCs w:val="5"/>
                <w:color w:val="auto"/>
              </w:rPr>
            </w:pPr>
          </w:p>
        </w:tc>
        <w:tc>
          <w:tcPr>
            <w:tcW w:w="900" w:type="dxa"/>
            <w:vAlign w:val="bottom"/>
            <w:vMerge w:val="continue"/>
            <w:shd w:val="clear" w:color="auto" w:fill="E6EEFF"/>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520" w:type="dxa"/>
            <w:vAlign w:val="bottom"/>
            <w:tcBorders>
              <w:top w:val="single" w:sz="8" w:color="auto"/>
              <w:bottom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20" w:type="dxa"/>
            <w:vAlign w:val="bottom"/>
            <w:tcBorders>
              <w:bottom w:val="single" w:sz="8" w:color="E6EEFF"/>
            </w:tcBorders>
          </w:tcPr>
          <w:p>
            <w:pPr>
              <w:spacing w:after="0"/>
              <w:rPr>
                <w:sz w:val="17"/>
                <w:szCs w:val="17"/>
                <w:color w:val="auto"/>
              </w:rPr>
            </w:pPr>
          </w:p>
        </w:tc>
        <w:tc>
          <w:tcPr>
            <w:tcW w:w="3820" w:type="dxa"/>
            <w:vAlign w:val="bottom"/>
            <w:tcBorders>
              <w:top w:val="single" w:sz="8" w:color="auto"/>
              <w:bottom w:val="single" w:sz="8" w:color="E6EEFF"/>
            </w:tcBorders>
          </w:tcPr>
          <w:p>
            <w:pPr>
              <w:spacing w:after="0"/>
              <w:rPr>
                <w:sz w:val="17"/>
                <w:szCs w:val="17"/>
                <w:color w:val="auto"/>
              </w:rPr>
            </w:pPr>
          </w:p>
        </w:tc>
        <w:tc>
          <w:tcPr>
            <w:tcW w:w="120" w:type="dxa"/>
            <w:vAlign w:val="bottom"/>
            <w:tcBorders>
              <w:bottom w:val="single" w:sz="8" w:color="E6EEFF"/>
            </w:tcBorders>
          </w:tcPr>
          <w:p>
            <w:pPr>
              <w:spacing w:after="0"/>
              <w:rPr>
                <w:sz w:val="17"/>
                <w:szCs w:val="17"/>
                <w:color w:val="auto"/>
              </w:rPr>
            </w:pPr>
          </w:p>
        </w:tc>
        <w:tc>
          <w:tcPr>
            <w:tcW w:w="1160" w:type="dxa"/>
            <w:vAlign w:val="bottom"/>
            <w:tcBorders>
              <w:top w:val="single" w:sz="8" w:color="auto"/>
              <w:bottom w:val="single" w:sz="8" w:color="E6EEFF"/>
            </w:tcBorders>
          </w:tcPr>
          <w:p>
            <w:pPr>
              <w:spacing w:after="0"/>
              <w:rPr>
                <w:sz w:val="17"/>
                <w:szCs w:val="17"/>
                <w:color w:val="auto"/>
              </w:rPr>
            </w:pPr>
          </w:p>
        </w:tc>
        <w:tc>
          <w:tcPr>
            <w:tcW w:w="120" w:type="dxa"/>
            <w:vAlign w:val="bottom"/>
            <w:tcBorders>
              <w:bottom w:val="single" w:sz="8" w:color="E6EEFF"/>
            </w:tcBorders>
          </w:tcPr>
          <w:p>
            <w:pPr>
              <w:spacing w:after="0"/>
              <w:rPr>
                <w:sz w:val="17"/>
                <w:szCs w:val="17"/>
                <w:color w:val="auto"/>
              </w:rPr>
            </w:pPr>
          </w:p>
        </w:tc>
        <w:tc>
          <w:tcPr>
            <w:tcW w:w="300" w:type="dxa"/>
            <w:vAlign w:val="bottom"/>
            <w:tcBorders>
              <w:top w:val="single" w:sz="8" w:color="auto"/>
              <w:bottom w:val="single" w:sz="8" w:color="E6EEFF"/>
            </w:tcBorders>
          </w:tcPr>
          <w:p>
            <w:pPr>
              <w:spacing w:after="0"/>
              <w:rPr>
                <w:sz w:val="17"/>
                <w:szCs w:val="17"/>
                <w:color w:val="auto"/>
              </w:rPr>
            </w:pPr>
          </w:p>
        </w:tc>
        <w:tc>
          <w:tcPr>
            <w:tcW w:w="840" w:type="dxa"/>
            <w:vAlign w:val="bottom"/>
            <w:tcBorders>
              <w:top w:val="single" w:sz="8" w:color="auto"/>
              <w:bottom w:val="single" w:sz="8" w:color="E6EEFF"/>
            </w:tcBorders>
          </w:tcPr>
          <w:p>
            <w:pPr>
              <w:spacing w:after="0"/>
              <w:rPr>
                <w:sz w:val="17"/>
                <w:szCs w:val="17"/>
                <w:color w:val="auto"/>
              </w:rPr>
            </w:pPr>
          </w:p>
        </w:tc>
        <w:tc>
          <w:tcPr>
            <w:tcW w:w="120" w:type="dxa"/>
            <w:vAlign w:val="bottom"/>
            <w:tcBorders>
              <w:bottom w:val="single" w:sz="8" w:color="E6EEFF"/>
            </w:tcBorders>
          </w:tcPr>
          <w:p>
            <w:pPr>
              <w:spacing w:after="0"/>
              <w:rPr>
                <w:sz w:val="17"/>
                <w:szCs w:val="17"/>
                <w:color w:val="auto"/>
              </w:rPr>
            </w:pPr>
          </w:p>
        </w:tc>
        <w:tc>
          <w:tcPr>
            <w:tcW w:w="200" w:type="dxa"/>
            <w:vAlign w:val="bottom"/>
            <w:tcBorders>
              <w:top w:val="single" w:sz="8" w:color="auto"/>
              <w:bottom w:val="single" w:sz="8" w:color="E6EEFF"/>
            </w:tcBorders>
          </w:tcPr>
          <w:p>
            <w:pPr>
              <w:spacing w:after="0"/>
              <w:rPr>
                <w:sz w:val="17"/>
                <w:szCs w:val="17"/>
                <w:color w:val="auto"/>
              </w:rPr>
            </w:pPr>
          </w:p>
        </w:tc>
        <w:tc>
          <w:tcPr>
            <w:tcW w:w="900" w:type="dxa"/>
            <w:vAlign w:val="bottom"/>
            <w:tcBorders>
              <w:top w:val="single" w:sz="8" w:color="auto"/>
              <w:bottom w:val="single" w:sz="8" w:color="E6EEFF"/>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2021 Common stock ATM Sales Agreement</w:t>
            </w:r>
          </w:p>
        </w:tc>
        <w:tc>
          <w:tcPr>
            <w:tcW w:w="120" w:type="dxa"/>
            <w:vAlign w:val="bottom"/>
            <w:shd w:val="clear" w:color="auto" w:fill="E6EEFF"/>
          </w:tcPr>
          <w:p>
            <w:pPr>
              <w:spacing w:after="0"/>
              <w:rPr>
                <w:sz w:val="19"/>
                <w:szCs w:val="19"/>
                <w:color w:val="auto"/>
              </w:rPr>
            </w:pPr>
          </w:p>
        </w:tc>
        <w:tc>
          <w:tcPr>
            <w:tcW w:w="3940" w:type="dxa"/>
            <w:vAlign w:val="bottom"/>
            <w:gridSpan w:val="2"/>
            <w:shd w:val="clear" w:color="auto" w:fill="E6EEFF"/>
          </w:tcPr>
          <w:p>
            <w:pPr>
              <w:ind w:left="20"/>
              <w:spacing w:after="0" w:line="197" w:lineRule="exact"/>
              <w:rPr>
                <w:sz w:val="20"/>
                <w:szCs w:val="20"/>
                <w:color w:val="auto"/>
              </w:rPr>
            </w:pPr>
            <w:r>
              <w:rPr>
                <w:rFonts w:ascii="Calibri" w:cs="Calibri" w:eastAsia="Calibri" w:hAnsi="Calibri"/>
                <w:sz w:val="17"/>
                <w:szCs w:val="17"/>
                <w:color w:val="auto"/>
              </w:rPr>
              <w:t>January 4, 2023 - July 12, 2023</w:t>
            </w:r>
          </w:p>
        </w:tc>
        <w:tc>
          <w:tcPr>
            <w:tcW w:w="1160" w:type="dxa"/>
            <w:vAlign w:val="bottom"/>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13,305</w:t>
            </w:r>
          </w:p>
        </w:tc>
        <w:tc>
          <w:tcPr>
            <w:tcW w:w="120" w:type="dxa"/>
            <w:vAlign w:val="bottom"/>
            <w:shd w:val="clear" w:color="auto" w:fill="E6EEFF"/>
          </w:tcPr>
          <w:p>
            <w:pPr>
              <w:spacing w:after="0"/>
              <w:rPr>
                <w:sz w:val="19"/>
                <w:szCs w:val="19"/>
                <w:color w:val="auto"/>
              </w:rPr>
            </w:pPr>
          </w:p>
        </w:tc>
        <w:tc>
          <w:tcPr>
            <w:tcW w:w="300" w:type="dxa"/>
            <w:vAlign w:val="bottom"/>
            <w:shd w:val="clear" w:color="auto" w:fill="E6EEFF"/>
          </w:tcPr>
          <w:p>
            <w:pPr>
              <w:jc w:val="right"/>
              <w:ind w:right="114"/>
              <w:spacing w:after="0" w:line="197" w:lineRule="exact"/>
              <w:rPr>
                <w:sz w:val="20"/>
                <w:szCs w:val="20"/>
                <w:color w:val="auto"/>
              </w:rPr>
            </w:pPr>
            <w:r>
              <w:rPr>
                <w:rFonts w:ascii="Calibri" w:cs="Calibri" w:eastAsia="Calibri" w:hAnsi="Calibri"/>
                <w:sz w:val="17"/>
                <w:szCs w:val="17"/>
                <w:color w:val="auto"/>
                <w:w w:val="92"/>
              </w:rPr>
              <w:t>$</w:t>
            </w:r>
          </w:p>
        </w:tc>
        <w:tc>
          <w:tcPr>
            <w:tcW w:w="840" w:type="dxa"/>
            <w:vAlign w:val="bottom"/>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27.66</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jc w:val="right"/>
              <w:ind w:right="14"/>
              <w:spacing w:after="0" w:line="197" w:lineRule="exact"/>
              <w:rPr>
                <w:sz w:val="20"/>
                <w:szCs w:val="20"/>
                <w:color w:val="auto"/>
              </w:rPr>
            </w:pPr>
            <w:r>
              <w:rPr>
                <w:rFonts w:ascii="Calibri" w:cs="Calibri" w:eastAsia="Calibri" w:hAnsi="Calibri"/>
                <w:sz w:val="17"/>
                <w:szCs w:val="17"/>
                <w:color w:val="auto"/>
                <w:w w:val="92"/>
              </w:rPr>
              <w:t>$</w:t>
            </w:r>
          </w:p>
        </w:tc>
        <w:tc>
          <w:tcPr>
            <w:tcW w:w="900" w:type="dxa"/>
            <w:vAlign w:val="bottom"/>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367,997</w:t>
            </w: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line="205" w:lineRule="exact"/>
              <w:rPr>
                <w:sz w:val="20"/>
                <w:szCs w:val="20"/>
                <w:color w:val="auto"/>
              </w:rPr>
            </w:pPr>
            <w:r>
              <w:rPr>
                <w:rFonts w:ascii="Calibri" w:cs="Calibri" w:eastAsia="Calibri" w:hAnsi="Calibri"/>
                <w:sz w:val="17"/>
                <w:szCs w:val="17"/>
                <w:color w:val="auto"/>
              </w:rPr>
              <w:t>2023 Common stock ATM Sales Agreement</w:t>
            </w:r>
          </w:p>
        </w:tc>
        <w:tc>
          <w:tcPr>
            <w:tcW w:w="120" w:type="dxa"/>
            <w:vAlign w:val="bottom"/>
          </w:tcPr>
          <w:p>
            <w:pPr>
              <w:spacing w:after="0"/>
              <w:rPr>
                <w:sz w:val="18"/>
                <w:szCs w:val="18"/>
                <w:color w:val="auto"/>
              </w:rPr>
            </w:pPr>
          </w:p>
        </w:tc>
        <w:tc>
          <w:tcPr>
            <w:tcW w:w="394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July 26, 2023 - September 29, 2023</w:t>
            </w:r>
          </w:p>
        </w:tc>
        <w:tc>
          <w:tcPr>
            <w:tcW w:w="1160" w:type="dxa"/>
            <w:vAlign w:val="bottom"/>
          </w:tcPr>
          <w:p>
            <w:pPr>
              <w:jc w:val="right"/>
              <w:spacing w:after="0" w:line="205" w:lineRule="exact"/>
              <w:rPr>
                <w:sz w:val="20"/>
                <w:szCs w:val="20"/>
                <w:color w:val="auto"/>
              </w:rPr>
            </w:pPr>
            <w:r>
              <w:rPr>
                <w:rFonts w:ascii="Calibri" w:cs="Calibri" w:eastAsia="Calibri" w:hAnsi="Calibri"/>
                <w:sz w:val="17"/>
                <w:szCs w:val="17"/>
                <w:color w:val="auto"/>
              </w:rPr>
              <w:t>3,328</w:t>
            </w:r>
          </w:p>
        </w:tc>
        <w:tc>
          <w:tcPr>
            <w:tcW w:w="120" w:type="dxa"/>
            <w:vAlign w:val="bottom"/>
          </w:tcPr>
          <w:p>
            <w:pPr>
              <w:spacing w:after="0"/>
              <w:rPr>
                <w:sz w:val="18"/>
                <w:szCs w:val="18"/>
                <w:color w:val="auto"/>
              </w:rPr>
            </w:pPr>
          </w:p>
        </w:tc>
        <w:tc>
          <w:tcPr>
            <w:tcW w:w="300" w:type="dxa"/>
            <w:vAlign w:val="bottom"/>
          </w:tcPr>
          <w:p>
            <w:pPr>
              <w:jc w:val="right"/>
              <w:ind w:right="114"/>
              <w:spacing w:after="0" w:line="205" w:lineRule="exact"/>
              <w:rPr>
                <w:sz w:val="20"/>
                <w:szCs w:val="20"/>
                <w:color w:val="auto"/>
              </w:rPr>
            </w:pPr>
            <w:r>
              <w:rPr>
                <w:rFonts w:ascii="Calibri" w:cs="Calibri" w:eastAsia="Calibri" w:hAnsi="Calibri"/>
                <w:sz w:val="17"/>
                <w:szCs w:val="17"/>
                <w:color w:val="auto"/>
                <w:w w:val="92"/>
              </w:rPr>
              <w:t>$</w:t>
            </w:r>
          </w:p>
        </w:tc>
        <w:tc>
          <w:tcPr>
            <w:tcW w:w="840" w:type="dxa"/>
            <w:vAlign w:val="bottom"/>
          </w:tcPr>
          <w:p>
            <w:pPr>
              <w:jc w:val="right"/>
              <w:spacing w:after="0" w:line="205" w:lineRule="exact"/>
              <w:rPr>
                <w:sz w:val="20"/>
                <w:szCs w:val="20"/>
                <w:color w:val="auto"/>
              </w:rPr>
            </w:pPr>
            <w:r>
              <w:rPr>
                <w:rFonts w:ascii="Calibri" w:cs="Calibri" w:eastAsia="Calibri" w:hAnsi="Calibri"/>
                <w:sz w:val="17"/>
                <w:szCs w:val="17"/>
                <w:color w:val="auto"/>
              </w:rPr>
              <w:t>24.66</w:t>
            </w:r>
          </w:p>
        </w:tc>
        <w:tc>
          <w:tcPr>
            <w:tcW w:w="120" w:type="dxa"/>
            <w:vAlign w:val="bottom"/>
          </w:tcPr>
          <w:p>
            <w:pPr>
              <w:spacing w:after="0"/>
              <w:rPr>
                <w:sz w:val="18"/>
                <w:szCs w:val="18"/>
                <w:color w:val="auto"/>
              </w:rPr>
            </w:pPr>
          </w:p>
        </w:tc>
        <w:tc>
          <w:tcPr>
            <w:tcW w:w="200" w:type="dxa"/>
            <w:vAlign w:val="bottom"/>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900" w:type="dxa"/>
            <w:vAlign w:val="bottom"/>
          </w:tcPr>
          <w:p>
            <w:pPr>
              <w:jc w:val="right"/>
              <w:spacing w:after="0" w:line="205" w:lineRule="exact"/>
              <w:rPr>
                <w:sz w:val="20"/>
                <w:szCs w:val="20"/>
                <w:color w:val="auto"/>
              </w:rPr>
            </w:pPr>
            <w:r>
              <w:rPr>
                <w:rFonts w:ascii="Calibri" w:cs="Calibri" w:eastAsia="Calibri" w:hAnsi="Calibri"/>
                <w:sz w:val="17"/>
                <w:szCs w:val="17"/>
                <w:color w:val="auto"/>
              </w:rPr>
              <w:t>82,100</w:t>
            </w:r>
          </w:p>
        </w:tc>
        <w:tc>
          <w:tcPr>
            <w:tcW w:w="0" w:type="dxa"/>
            <w:vAlign w:val="bottom"/>
          </w:tcPr>
          <w:p>
            <w:pPr>
              <w:spacing w:after="0"/>
              <w:rPr>
                <w:sz w:val="1"/>
                <w:szCs w:val="1"/>
                <w:color w:val="auto"/>
              </w:rPr>
            </w:pPr>
          </w:p>
        </w:tc>
      </w:tr>
      <w:tr>
        <w:trPr>
          <w:trHeight w:val="226"/>
        </w:trPr>
        <w:tc>
          <w:tcPr>
            <w:tcW w:w="352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DRIP shares issued</w:t>
            </w:r>
          </w:p>
        </w:tc>
        <w:tc>
          <w:tcPr>
            <w:tcW w:w="120" w:type="dxa"/>
            <w:vAlign w:val="bottom"/>
            <w:shd w:val="clear" w:color="auto" w:fill="E6EEFF"/>
          </w:tcPr>
          <w:p>
            <w:pPr>
              <w:spacing w:after="0"/>
              <w:rPr>
                <w:sz w:val="19"/>
                <w:szCs w:val="19"/>
                <w:color w:val="auto"/>
              </w:rPr>
            </w:pPr>
          </w:p>
        </w:tc>
        <w:tc>
          <w:tcPr>
            <w:tcW w:w="394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July 25, 2023 - September 29, 2023</w:t>
            </w:r>
          </w:p>
        </w:tc>
        <w:tc>
          <w:tcPr>
            <w:tcW w:w="1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w:t>
            </w:r>
          </w:p>
        </w:tc>
        <w:tc>
          <w:tcPr>
            <w:tcW w:w="120" w:type="dxa"/>
            <w:vAlign w:val="bottom"/>
            <w:shd w:val="clear" w:color="auto" w:fill="E6EEFF"/>
          </w:tcPr>
          <w:p>
            <w:pPr>
              <w:spacing w:after="0"/>
              <w:rPr>
                <w:sz w:val="19"/>
                <w:szCs w:val="19"/>
                <w:color w:val="auto"/>
              </w:rPr>
            </w:pPr>
          </w:p>
        </w:tc>
        <w:tc>
          <w:tcPr>
            <w:tcW w:w="300" w:type="dxa"/>
            <w:vAlign w:val="bottom"/>
            <w:shd w:val="clear" w:color="auto" w:fill="E6EEFF"/>
          </w:tcPr>
          <w:p>
            <w:pPr>
              <w:jc w:val="right"/>
              <w:ind w:right="114"/>
              <w:spacing w:after="0"/>
              <w:rPr>
                <w:sz w:val="20"/>
                <w:szCs w:val="20"/>
                <w:color w:val="auto"/>
              </w:rPr>
            </w:pPr>
            <w:r>
              <w:rPr>
                <w:rFonts w:ascii="Calibri" w:cs="Calibri" w:eastAsia="Calibri" w:hAnsi="Calibri"/>
                <w:sz w:val="17"/>
                <w:szCs w:val="17"/>
                <w:color w:val="auto"/>
                <w:w w:val="92"/>
              </w:rPr>
              <w:t>$</w:t>
            </w:r>
          </w:p>
        </w:tc>
        <w:tc>
          <w:tcPr>
            <w:tcW w:w="8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19.71</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jc w:val="right"/>
              <w:ind w:right="14"/>
              <w:spacing w:after="0"/>
              <w:rPr>
                <w:sz w:val="20"/>
                <w:szCs w:val="20"/>
                <w:color w:val="auto"/>
              </w:rPr>
            </w:pPr>
            <w:r>
              <w:rPr>
                <w:rFonts w:ascii="Calibri" w:cs="Calibri" w:eastAsia="Calibri" w:hAnsi="Calibri"/>
                <w:sz w:val="17"/>
                <w:szCs w:val="17"/>
                <w:color w:val="auto"/>
                <w:w w:val="92"/>
              </w:rPr>
              <w:t>$</w:t>
            </w:r>
          </w:p>
        </w:tc>
        <w:tc>
          <w:tcPr>
            <w:tcW w:w="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51</w:t>
            </w: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line="205" w:lineRule="exact"/>
              <w:rPr>
                <w:sz w:val="20"/>
                <w:szCs w:val="20"/>
                <w:color w:val="auto"/>
              </w:rPr>
            </w:pPr>
            <w:r>
              <w:rPr>
                <w:rFonts w:ascii="Calibri" w:cs="Calibri" w:eastAsia="Calibri" w:hAnsi="Calibri"/>
                <w:sz w:val="17"/>
                <w:szCs w:val="17"/>
                <w:color w:val="auto"/>
              </w:rPr>
              <w:t>Common stock repurchased</w:t>
            </w:r>
          </w:p>
        </w:tc>
        <w:tc>
          <w:tcPr>
            <w:tcW w:w="120" w:type="dxa"/>
            <w:vAlign w:val="bottom"/>
          </w:tcPr>
          <w:p>
            <w:pPr>
              <w:spacing w:after="0"/>
              <w:rPr>
                <w:sz w:val="18"/>
                <w:szCs w:val="18"/>
                <w:color w:val="auto"/>
              </w:rPr>
            </w:pPr>
          </w:p>
        </w:tc>
        <w:tc>
          <w:tcPr>
            <w:tcW w:w="394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March, May and September, October and November</w:t>
            </w:r>
          </w:p>
        </w:tc>
        <w:tc>
          <w:tcPr>
            <w:tcW w:w="1160" w:type="dxa"/>
            <w:vAlign w:val="bottom"/>
          </w:tcPr>
          <w:p>
            <w:pPr>
              <w:jc w:val="right"/>
              <w:spacing w:after="0" w:line="205" w:lineRule="exact"/>
              <w:rPr>
                <w:sz w:val="20"/>
                <w:szCs w:val="20"/>
                <w:color w:val="auto"/>
              </w:rPr>
            </w:pPr>
            <w:r>
              <w:rPr>
                <w:rFonts w:ascii="Calibri" w:cs="Calibri" w:eastAsia="Calibri" w:hAnsi="Calibri"/>
                <w:sz w:val="17"/>
                <w:szCs w:val="17"/>
                <w:color w:val="auto"/>
              </w:rPr>
              <w:t>(477)</w:t>
            </w:r>
          </w:p>
        </w:tc>
        <w:tc>
          <w:tcPr>
            <w:tcW w:w="120" w:type="dxa"/>
            <w:vAlign w:val="bottom"/>
          </w:tcPr>
          <w:p>
            <w:pPr>
              <w:spacing w:after="0"/>
              <w:rPr>
                <w:sz w:val="18"/>
                <w:szCs w:val="18"/>
                <w:color w:val="auto"/>
              </w:rPr>
            </w:pPr>
          </w:p>
        </w:tc>
        <w:tc>
          <w:tcPr>
            <w:tcW w:w="300" w:type="dxa"/>
            <w:vAlign w:val="bottom"/>
          </w:tcPr>
          <w:p>
            <w:pPr>
              <w:jc w:val="right"/>
              <w:ind w:right="114"/>
              <w:spacing w:after="0" w:line="205" w:lineRule="exact"/>
              <w:rPr>
                <w:sz w:val="20"/>
                <w:szCs w:val="20"/>
                <w:color w:val="auto"/>
              </w:rPr>
            </w:pPr>
            <w:r>
              <w:rPr>
                <w:rFonts w:ascii="Calibri" w:cs="Calibri" w:eastAsia="Calibri" w:hAnsi="Calibri"/>
                <w:sz w:val="17"/>
                <w:szCs w:val="17"/>
                <w:color w:val="auto"/>
                <w:w w:val="92"/>
              </w:rPr>
              <w:t>$</w:t>
            </w:r>
          </w:p>
        </w:tc>
        <w:tc>
          <w:tcPr>
            <w:tcW w:w="840" w:type="dxa"/>
            <w:vAlign w:val="bottom"/>
          </w:tcPr>
          <w:p>
            <w:pPr>
              <w:jc w:val="right"/>
              <w:spacing w:after="0" w:line="205" w:lineRule="exact"/>
              <w:rPr>
                <w:sz w:val="20"/>
                <w:szCs w:val="20"/>
                <w:color w:val="auto"/>
              </w:rPr>
            </w:pPr>
            <w:r>
              <w:rPr>
                <w:rFonts w:ascii="Calibri" w:cs="Calibri" w:eastAsia="Calibri" w:hAnsi="Calibri"/>
                <w:sz w:val="17"/>
                <w:szCs w:val="17"/>
                <w:color w:val="auto"/>
              </w:rPr>
              <w:t>20.80</w:t>
            </w:r>
          </w:p>
        </w:tc>
        <w:tc>
          <w:tcPr>
            <w:tcW w:w="120" w:type="dxa"/>
            <w:vAlign w:val="bottom"/>
          </w:tcPr>
          <w:p>
            <w:pPr>
              <w:spacing w:after="0"/>
              <w:rPr>
                <w:sz w:val="18"/>
                <w:szCs w:val="18"/>
                <w:color w:val="auto"/>
              </w:rPr>
            </w:pPr>
          </w:p>
        </w:tc>
        <w:tc>
          <w:tcPr>
            <w:tcW w:w="200" w:type="dxa"/>
            <w:vAlign w:val="bottom"/>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900" w:type="dxa"/>
            <w:vAlign w:val="bottom"/>
          </w:tcPr>
          <w:p>
            <w:pPr>
              <w:jc w:val="right"/>
              <w:spacing w:after="0" w:line="205" w:lineRule="exact"/>
              <w:rPr>
                <w:sz w:val="20"/>
                <w:szCs w:val="20"/>
                <w:color w:val="auto"/>
              </w:rPr>
            </w:pPr>
            <w:r>
              <w:rPr>
                <w:rFonts w:ascii="Calibri" w:cs="Calibri" w:eastAsia="Calibri" w:hAnsi="Calibri"/>
                <w:sz w:val="17"/>
                <w:szCs w:val="17"/>
                <w:color w:val="auto"/>
              </w:rPr>
              <w:t>(9,935)</w:t>
            </w:r>
          </w:p>
        </w:tc>
        <w:tc>
          <w:tcPr>
            <w:tcW w:w="0" w:type="dxa"/>
            <w:vAlign w:val="bottom"/>
          </w:tcPr>
          <w:p>
            <w:pPr>
              <w:spacing w:after="0"/>
              <w:rPr>
                <w:sz w:val="1"/>
                <w:szCs w:val="1"/>
                <w:color w:val="auto"/>
              </w:rPr>
            </w:pPr>
          </w:p>
        </w:tc>
      </w:tr>
      <w:tr>
        <w:trPr>
          <w:trHeight w:val="149"/>
        </w:trPr>
        <w:tc>
          <w:tcPr>
            <w:tcW w:w="3520" w:type="dxa"/>
            <w:vAlign w:val="bottom"/>
            <w:tcBorders>
              <w:bottom w:val="single" w:sz="8" w:color="auto"/>
            </w:tcBorders>
            <w:shd w:val="clear" w:color="auto" w:fill="E6EEFF"/>
          </w:tcPr>
          <w:p>
            <w:pPr>
              <w:spacing w:after="0"/>
              <w:rPr>
                <w:sz w:val="12"/>
                <w:szCs w:val="12"/>
                <w:color w:val="auto"/>
              </w:rPr>
            </w:pPr>
          </w:p>
        </w:tc>
        <w:tc>
          <w:tcPr>
            <w:tcW w:w="120" w:type="dxa"/>
            <w:vAlign w:val="bottom"/>
            <w:shd w:val="clear" w:color="auto" w:fill="E6EEFF"/>
          </w:tcPr>
          <w:p>
            <w:pPr>
              <w:spacing w:after="0"/>
              <w:rPr>
                <w:sz w:val="12"/>
                <w:szCs w:val="12"/>
                <w:color w:val="auto"/>
              </w:rPr>
            </w:pPr>
          </w:p>
        </w:tc>
        <w:tc>
          <w:tcPr>
            <w:tcW w:w="3820" w:type="dxa"/>
            <w:vAlign w:val="bottom"/>
            <w:shd w:val="clear" w:color="auto" w:fill="E6EEFF"/>
          </w:tcPr>
          <w:p>
            <w:pPr>
              <w:spacing w:after="0"/>
              <w:rPr>
                <w:sz w:val="12"/>
                <w:szCs w:val="12"/>
                <w:color w:val="auto"/>
              </w:rPr>
            </w:pPr>
          </w:p>
        </w:tc>
        <w:tc>
          <w:tcPr>
            <w:tcW w:w="120" w:type="dxa"/>
            <w:vAlign w:val="bottom"/>
            <w:shd w:val="clear" w:color="auto" w:fill="E6EEFF"/>
          </w:tcPr>
          <w:p>
            <w:pPr>
              <w:spacing w:after="0"/>
              <w:rPr>
                <w:sz w:val="12"/>
                <w:szCs w:val="12"/>
                <w:color w:val="auto"/>
              </w:rPr>
            </w:pPr>
          </w:p>
        </w:tc>
        <w:tc>
          <w:tcPr>
            <w:tcW w:w="1160" w:type="dxa"/>
            <w:vAlign w:val="bottom"/>
            <w:shd w:val="clear" w:color="auto" w:fill="E6EEFF"/>
          </w:tcPr>
          <w:p>
            <w:pPr>
              <w:spacing w:after="0"/>
              <w:rPr>
                <w:sz w:val="12"/>
                <w:szCs w:val="12"/>
                <w:color w:val="auto"/>
              </w:rPr>
            </w:pPr>
          </w:p>
        </w:tc>
        <w:tc>
          <w:tcPr>
            <w:tcW w:w="120" w:type="dxa"/>
            <w:vAlign w:val="bottom"/>
            <w:shd w:val="clear" w:color="auto" w:fill="E6EEFF"/>
          </w:tcPr>
          <w:p>
            <w:pPr>
              <w:spacing w:after="0"/>
              <w:rPr>
                <w:sz w:val="12"/>
                <w:szCs w:val="12"/>
                <w:color w:val="auto"/>
              </w:rPr>
            </w:pPr>
          </w:p>
        </w:tc>
        <w:tc>
          <w:tcPr>
            <w:tcW w:w="300" w:type="dxa"/>
            <w:vAlign w:val="bottom"/>
            <w:shd w:val="clear" w:color="auto" w:fill="E6EEFF"/>
          </w:tcPr>
          <w:p>
            <w:pPr>
              <w:spacing w:after="0"/>
              <w:rPr>
                <w:sz w:val="12"/>
                <w:szCs w:val="12"/>
                <w:color w:val="auto"/>
              </w:rPr>
            </w:pPr>
          </w:p>
        </w:tc>
        <w:tc>
          <w:tcPr>
            <w:tcW w:w="840" w:type="dxa"/>
            <w:vAlign w:val="bottom"/>
            <w:shd w:val="clear" w:color="auto" w:fill="E6EEFF"/>
          </w:tcPr>
          <w:p>
            <w:pPr>
              <w:spacing w:after="0"/>
              <w:rPr>
                <w:sz w:val="12"/>
                <w:szCs w:val="12"/>
                <w:color w:val="auto"/>
              </w:rPr>
            </w:pPr>
          </w:p>
        </w:tc>
        <w:tc>
          <w:tcPr>
            <w:tcW w:w="120" w:type="dxa"/>
            <w:vAlign w:val="bottom"/>
            <w:shd w:val="clear" w:color="auto" w:fill="E6EEFF"/>
          </w:tcPr>
          <w:p>
            <w:pPr>
              <w:spacing w:after="0"/>
              <w:rPr>
                <w:sz w:val="12"/>
                <w:szCs w:val="12"/>
                <w:color w:val="auto"/>
              </w:rPr>
            </w:pPr>
          </w:p>
        </w:tc>
        <w:tc>
          <w:tcPr>
            <w:tcW w:w="200" w:type="dxa"/>
            <w:vAlign w:val="bottom"/>
            <w:shd w:val="clear" w:color="auto" w:fill="E6EEFF"/>
          </w:tcPr>
          <w:p>
            <w:pPr>
              <w:spacing w:after="0"/>
              <w:rPr>
                <w:sz w:val="12"/>
                <w:szCs w:val="12"/>
                <w:color w:val="auto"/>
              </w:rPr>
            </w:pPr>
          </w:p>
        </w:tc>
        <w:tc>
          <w:tcPr>
            <w:tcW w:w="900" w:type="dxa"/>
            <w:vAlign w:val="bottom"/>
            <w:shd w:val="clear" w:color="auto" w:fill="E6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52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20" w:type="dxa"/>
            <w:vAlign w:val="bottom"/>
            <w:tcBorders>
              <w:bottom w:val="single" w:sz="8" w:color="E6EEFF"/>
            </w:tcBorders>
          </w:tcPr>
          <w:p>
            <w:pPr>
              <w:spacing w:after="0"/>
              <w:rPr>
                <w:sz w:val="17"/>
                <w:szCs w:val="17"/>
                <w:color w:val="auto"/>
              </w:rPr>
            </w:pPr>
          </w:p>
        </w:tc>
        <w:tc>
          <w:tcPr>
            <w:tcW w:w="3820" w:type="dxa"/>
            <w:vAlign w:val="bottom"/>
            <w:tcBorders>
              <w:bottom w:val="single" w:sz="8" w:color="E6EEFF"/>
            </w:tcBorders>
          </w:tcPr>
          <w:p>
            <w:pPr>
              <w:spacing w:after="0"/>
              <w:rPr>
                <w:sz w:val="17"/>
                <w:szCs w:val="17"/>
                <w:color w:val="auto"/>
              </w:rPr>
            </w:pPr>
          </w:p>
        </w:tc>
        <w:tc>
          <w:tcPr>
            <w:tcW w:w="120" w:type="dxa"/>
            <w:vAlign w:val="bottom"/>
            <w:tcBorders>
              <w:bottom w:val="single" w:sz="8" w:color="E6EEFF"/>
            </w:tcBorders>
          </w:tcPr>
          <w:p>
            <w:pPr>
              <w:spacing w:after="0"/>
              <w:rPr>
                <w:sz w:val="17"/>
                <w:szCs w:val="17"/>
                <w:color w:val="auto"/>
              </w:rPr>
            </w:pPr>
          </w:p>
        </w:tc>
        <w:tc>
          <w:tcPr>
            <w:tcW w:w="1160" w:type="dxa"/>
            <w:vAlign w:val="bottom"/>
            <w:tcBorders>
              <w:bottom w:val="single" w:sz="8" w:color="E6EEFF"/>
            </w:tcBorders>
          </w:tcPr>
          <w:p>
            <w:pPr>
              <w:spacing w:after="0"/>
              <w:rPr>
                <w:sz w:val="17"/>
                <w:szCs w:val="17"/>
                <w:color w:val="auto"/>
              </w:rPr>
            </w:pPr>
          </w:p>
        </w:tc>
        <w:tc>
          <w:tcPr>
            <w:tcW w:w="120" w:type="dxa"/>
            <w:vAlign w:val="bottom"/>
            <w:tcBorders>
              <w:bottom w:val="single" w:sz="8" w:color="E6EEFF"/>
            </w:tcBorders>
          </w:tcPr>
          <w:p>
            <w:pPr>
              <w:spacing w:after="0"/>
              <w:rPr>
                <w:sz w:val="17"/>
                <w:szCs w:val="17"/>
                <w:color w:val="auto"/>
              </w:rPr>
            </w:pPr>
          </w:p>
        </w:tc>
        <w:tc>
          <w:tcPr>
            <w:tcW w:w="300" w:type="dxa"/>
            <w:vAlign w:val="bottom"/>
            <w:tcBorders>
              <w:bottom w:val="single" w:sz="8" w:color="E6EEFF"/>
            </w:tcBorders>
          </w:tcPr>
          <w:p>
            <w:pPr>
              <w:spacing w:after="0"/>
              <w:rPr>
                <w:sz w:val="17"/>
                <w:szCs w:val="17"/>
                <w:color w:val="auto"/>
              </w:rPr>
            </w:pPr>
          </w:p>
        </w:tc>
        <w:tc>
          <w:tcPr>
            <w:tcW w:w="840" w:type="dxa"/>
            <w:vAlign w:val="bottom"/>
            <w:tcBorders>
              <w:bottom w:val="single" w:sz="8" w:color="E6EEFF"/>
            </w:tcBorders>
          </w:tcPr>
          <w:p>
            <w:pPr>
              <w:spacing w:after="0"/>
              <w:rPr>
                <w:sz w:val="17"/>
                <w:szCs w:val="17"/>
                <w:color w:val="auto"/>
              </w:rPr>
            </w:pPr>
          </w:p>
        </w:tc>
        <w:tc>
          <w:tcPr>
            <w:tcW w:w="120" w:type="dxa"/>
            <w:vAlign w:val="bottom"/>
            <w:tcBorders>
              <w:bottom w:val="single" w:sz="8" w:color="E6EEFF"/>
            </w:tcBorders>
          </w:tcPr>
          <w:p>
            <w:pPr>
              <w:spacing w:after="0"/>
              <w:rPr>
                <w:sz w:val="17"/>
                <w:szCs w:val="17"/>
                <w:color w:val="auto"/>
              </w:rPr>
            </w:pPr>
          </w:p>
        </w:tc>
        <w:tc>
          <w:tcPr>
            <w:tcW w:w="200" w:type="dxa"/>
            <w:vAlign w:val="bottom"/>
            <w:tcBorders>
              <w:bottom w:val="single" w:sz="8" w:color="E6EEFF"/>
            </w:tcBorders>
          </w:tcPr>
          <w:p>
            <w:pPr>
              <w:spacing w:after="0"/>
              <w:rPr>
                <w:sz w:val="17"/>
                <w:szCs w:val="17"/>
                <w:color w:val="auto"/>
              </w:rPr>
            </w:pPr>
          </w:p>
        </w:tc>
        <w:tc>
          <w:tcPr>
            <w:tcW w:w="900" w:type="dxa"/>
            <w:vAlign w:val="bottom"/>
            <w:tcBorders>
              <w:bottom w:val="single" w:sz="8" w:color="E6EEFF"/>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2021 Common stock ATM Sales Agreement</w:t>
            </w:r>
          </w:p>
        </w:tc>
        <w:tc>
          <w:tcPr>
            <w:tcW w:w="120" w:type="dxa"/>
            <w:vAlign w:val="bottom"/>
            <w:shd w:val="clear" w:color="auto" w:fill="E6EEFF"/>
          </w:tcPr>
          <w:p>
            <w:pPr>
              <w:spacing w:after="0"/>
              <w:rPr>
                <w:sz w:val="19"/>
                <w:szCs w:val="19"/>
                <w:color w:val="auto"/>
              </w:rPr>
            </w:pPr>
          </w:p>
        </w:tc>
        <w:tc>
          <w:tcPr>
            <w:tcW w:w="3940" w:type="dxa"/>
            <w:vAlign w:val="bottom"/>
            <w:gridSpan w:val="2"/>
            <w:shd w:val="clear" w:color="auto" w:fill="E6EEFF"/>
          </w:tcPr>
          <w:p>
            <w:pPr>
              <w:ind w:left="20"/>
              <w:spacing w:after="0" w:line="197" w:lineRule="exact"/>
              <w:rPr>
                <w:sz w:val="20"/>
                <w:szCs w:val="20"/>
                <w:color w:val="auto"/>
              </w:rPr>
            </w:pPr>
            <w:r>
              <w:rPr>
                <w:rFonts w:ascii="Calibri" w:cs="Calibri" w:eastAsia="Calibri" w:hAnsi="Calibri"/>
                <w:sz w:val="17"/>
                <w:szCs w:val="17"/>
                <w:color w:val="auto"/>
              </w:rPr>
              <w:t>January 11, 2022 - December 21, 2022</w:t>
            </w:r>
          </w:p>
        </w:tc>
        <w:tc>
          <w:tcPr>
            <w:tcW w:w="1160" w:type="dxa"/>
            <w:vAlign w:val="bottom"/>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14,008</w:t>
            </w:r>
          </w:p>
        </w:tc>
        <w:tc>
          <w:tcPr>
            <w:tcW w:w="120" w:type="dxa"/>
            <w:vAlign w:val="bottom"/>
            <w:shd w:val="clear" w:color="auto" w:fill="E6EEFF"/>
          </w:tcPr>
          <w:p>
            <w:pPr>
              <w:spacing w:after="0"/>
              <w:rPr>
                <w:sz w:val="19"/>
                <w:szCs w:val="19"/>
                <w:color w:val="auto"/>
              </w:rPr>
            </w:pPr>
          </w:p>
        </w:tc>
        <w:tc>
          <w:tcPr>
            <w:tcW w:w="300" w:type="dxa"/>
            <w:vAlign w:val="bottom"/>
            <w:shd w:val="clear" w:color="auto" w:fill="E6EEFF"/>
          </w:tcPr>
          <w:p>
            <w:pPr>
              <w:jc w:val="right"/>
              <w:ind w:right="114"/>
              <w:spacing w:after="0" w:line="197" w:lineRule="exact"/>
              <w:rPr>
                <w:sz w:val="20"/>
                <w:szCs w:val="20"/>
                <w:color w:val="auto"/>
              </w:rPr>
            </w:pPr>
            <w:r>
              <w:rPr>
                <w:rFonts w:ascii="Calibri" w:cs="Calibri" w:eastAsia="Calibri" w:hAnsi="Calibri"/>
                <w:sz w:val="17"/>
                <w:szCs w:val="17"/>
                <w:color w:val="auto"/>
                <w:w w:val="92"/>
              </w:rPr>
              <w:t>$</w:t>
            </w:r>
          </w:p>
        </w:tc>
        <w:tc>
          <w:tcPr>
            <w:tcW w:w="840" w:type="dxa"/>
            <w:vAlign w:val="bottom"/>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33.95</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jc w:val="right"/>
              <w:ind w:right="14"/>
              <w:spacing w:after="0" w:line="197" w:lineRule="exact"/>
              <w:rPr>
                <w:sz w:val="20"/>
                <w:szCs w:val="20"/>
                <w:color w:val="auto"/>
              </w:rPr>
            </w:pPr>
            <w:r>
              <w:rPr>
                <w:rFonts w:ascii="Calibri" w:cs="Calibri" w:eastAsia="Calibri" w:hAnsi="Calibri"/>
                <w:sz w:val="17"/>
                <w:szCs w:val="17"/>
                <w:color w:val="auto"/>
                <w:w w:val="92"/>
              </w:rPr>
              <w:t>$</w:t>
            </w:r>
          </w:p>
        </w:tc>
        <w:tc>
          <w:tcPr>
            <w:tcW w:w="900" w:type="dxa"/>
            <w:vAlign w:val="bottom"/>
            <w:shd w:val="clear" w:color="auto" w:fill="E6EEFF"/>
          </w:tcPr>
          <w:p>
            <w:pPr>
              <w:jc w:val="right"/>
              <w:spacing w:after="0" w:line="197" w:lineRule="exact"/>
              <w:rPr>
                <w:sz w:val="20"/>
                <w:szCs w:val="20"/>
                <w:color w:val="auto"/>
              </w:rPr>
            </w:pPr>
            <w:r>
              <w:rPr>
                <w:rFonts w:ascii="Calibri" w:cs="Calibri" w:eastAsia="Calibri" w:hAnsi="Calibri"/>
                <w:sz w:val="17"/>
                <w:szCs w:val="17"/>
                <w:color w:val="auto"/>
              </w:rPr>
              <w:t>475,537</w:t>
            </w: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line="205" w:lineRule="exact"/>
              <w:rPr>
                <w:sz w:val="20"/>
                <w:szCs w:val="20"/>
                <w:color w:val="auto"/>
              </w:rPr>
            </w:pPr>
            <w:r>
              <w:rPr>
                <w:rFonts w:ascii="Calibri" w:cs="Calibri" w:eastAsia="Calibri" w:hAnsi="Calibri"/>
                <w:sz w:val="17"/>
                <w:szCs w:val="17"/>
                <w:color w:val="auto"/>
              </w:rPr>
              <w:t>Common stock repurchased</w:t>
            </w:r>
          </w:p>
        </w:tc>
        <w:tc>
          <w:tcPr>
            <w:tcW w:w="120" w:type="dxa"/>
            <w:vAlign w:val="bottom"/>
          </w:tcPr>
          <w:p>
            <w:pPr>
              <w:spacing w:after="0"/>
              <w:rPr>
                <w:sz w:val="18"/>
                <w:szCs w:val="18"/>
                <w:color w:val="auto"/>
              </w:rPr>
            </w:pPr>
          </w:p>
        </w:tc>
        <w:tc>
          <w:tcPr>
            <w:tcW w:w="394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June, September and October</w:t>
            </w:r>
          </w:p>
        </w:tc>
        <w:tc>
          <w:tcPr>
            <w:tcW w:w="1160" w:type="dxa"/>
            <w:vAlign w:val="bottom"/>
          </w:tcPr>
          <w:p>
            <w:pPr>
              <w:jc w:val="right"/>
              <w:spacing w:after="0" w:line="205" w:lineRule="exact"/>
              <w:rPr>
                <w:sz w:val="20"/>
                <w:szCs w:val="20"/>
                <w:color w:val="auto"/>
              </w:rPr>
            </w:pPr>
            <w:r>
              <w:rPr>
                <w:rFonts w:ascii="Calibri" w:cs="Calibri" w:eastAsia="Calibri" w:hAnsi="Calibri"/>
                <w:sz w:val="17"/>
                <w:szCs w:val="17"/>
                <w:color w:val="auto"/>
              </w:rPr>
              <w:t>(296)</w:t>
            </w:r>
          </w:p>
        </w:tc>
        <w:tc>
          <w:tcPr>
            <w:tcW w:w="120" w:type="dxa"/>
            <w:vAlign w:val="bottom"/>
          </w:tcPr>
          <w:p>
            <w:pPr>
              <w:spacing w:after="0"/>
              <w:rPr>
                <w:sz w:val="18"/>
                <w:szCs w:val="18"/>
                <w:color w:val="auto"/>
              </w:rPr>
            </w:pPr>
          </w:p>
        </w:tc>
        <w:tc>
          <w:tcPr>
            <w:tcW w:w="300" w:type="dxa"/>
            <w:vAlign w:val="bottom"/>
          </w:tcPr>
          <w:p>
            <w:pPr>
              <w:jc w:val="right"/>
              <w:ind w:right="114"/>
              <w:spacing w:after="0" w:line="205" w:lineRule="exact"/>
              <w:rPr>
                <w:sz w:val="20"/>
                <w:szCs w:val="20"/>
                <w:color w:val="auto"/>
              </w:rPr>
            </w:pPr>
            <w:r>
              <w:rPr>
                <w:rFonts w:ascii="Calibri" w:cs="Calibri" w:eastAsia="Calibri" w:hAnsi="Calibri"/>
                <w:sz w:val="17"/>
                <w:szCs w:val="17"/>
                <w:color w:val="auto"/>
                <w:w w:val="92"/>
              </w:rPr>
              <w:t>$</w:t>
            </w:r>
          </w:p>
        </w:tc>
        <w:tc>
          <w:tcPr>
            <w:tcW w:w="840" w:type="dxa"/>
            <w:vAlign w:val="bottom"/>
          </w:tcPr>
          <w:p>
            <w:pPr>
              <w:jc w:val="right"/>
              <w:spacing w:after="0" w:line="205" w:lineRule="exact"/>
              <w:rPr>
                <w:sz w:val="20"/>
                <w:szCs w:val="20"/>
                <w:color w:val="auto"/>
              </w:rPr>
            </w:pPr>
            <w:r>
              <w:rPr>
                <w:rFonts w:ascii="Calibri" w:cs="Calibri" w:eastAsia="Calibri" w:hAnsi="Calibri"/>
                <w:sz w:val="17"/>
                <w:szCs w:val="17"/>
                <w:color w:val="auto"/>
              </w:rPr>
              <w:t>25.94</w:t>
            </w:r>
          </w:p>
        </w:tc>
        <w:tc>
          <w:tcPr>
            <w:tcW w:w="120" w:type="dxa"/>
            <w:vAlign w:val="bottom"/>
          </w:tcPr>
          <w:p>
            <w:pPr>
              <w:spacing w:after="0"/>
              <w:rPr>
                <w:sz w:val="18"/>
                <w:szCs w:val="18"/>
                <w:color w:val="auto"/>
              </w:rPr>
            </w:pPr>
          </w:p>
        </w:tc>
        <w:tc>
          <w:tcPr>
            <w:tcW w:w="200" w:type="dxa"/>
            <w:vAlign w:val="bottom"/>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900" w:type="dxa"/>
            <w:vAlign w:val="bottom"/>
          </w:tcPr>
          <w:p>
            <w:pPr>
              <w:jc w:val="right"/>
              <w:spacing w:after="0" w:line="205" w:lineRule="exact"/>
              <w:rPr>
                <w:sz w:val="20"/>
                <w:szCs w:val="20"/>
                <w:color w:val="auto"/>
              </w:rPr>
            </w:pPr>
            <w:r>
              <w:rPr>
                <w:rFonts w:ascii="Calibri" w:cs="Calibri" w:eastAsia="Calibri" w:hAnsi="Calibri"/>
                <w:sz w:val="17"/>
                <w:szCs w:val="17"/>
                <w:color w:val="auto"/>
              </w:rPr>
              <w:t>(7,664)</w:t>
            </w:r>
          </w:p>
        </w:tc>
        <w:tc>
          <w:tcPr>
            <w:tcW w:w="0" w:type="dxa"/>
            <w:vAlign w:val="bottom"/>
          </w:tcPr>
          <w:p>
            <w:pPr>
              <w:spacing w:after="0"/>
              <w:rPr>
                <w:sz w:val="1"/>
                <w:szCs w:val="1"/>
                <w:color w:val="auto"/>
              </w:rPr>
            </w:pPr>
          </w:p>
        </w:tc>
      </w:tr>
      <w:tr>
        <w:trPr>
          <w:trHeight w:val="149"/>
        </w:trPr>
        <w:tc>
          <w:tcPr>
            <w:tcW w:w="3520" w:type="dxa"/>
            <w:vAlign w:val="bottom"/>
            <w:shd w:val="clear" w:color="auto" w:fill="E6EEFF"/>
          </w:tcPr>
          <w:p>
            <w:pPr>
              <w:spacing w:after="0"/>
              <w:rPr>
                <w:sz w:val="12"/>
                <w:szCs w:val="12"/>
                <w:color w:val="auto"/>
              </w:rPr>
            </w:pPr>
          </w:p>
        </w:tc>
        <w:tc>
          <w:tcPr>
            <w:tcW w:w="120" w:type="dxa"/>
            <w:vAlign w:val="bottom"/>
            <w:shd w:val="clear" w:color="auto" w:fill="E6EEFF"/>
          </w:tcPr>
          <w:p>
            <w:pPr>
              <w:spacing w:after="0"/>
              <w:rPr>
                <w:sz w:val="12"/>
                <w:szCs w:val="12"/>
                <w:color w:val="auto"/>
              </w:rPr>
            </w:pPr>
          </w:p>
        </w:tc>
        <w:tc>
          <w:tcPr>
            <w:tcW w:w="3820" w:type="dxa"/>
            <w:vAlign w:val="bottom"/>
            <w:shd w:val="clear" w:color="auto" w:fill="E6EEFF"/>
          </w:tcPr>
          <w:p>
            <w:pPr>
              <w:spacing w:after="0"/>
              <w:rPr>
                <w:sz w:val="12"/>
                <w:szCs w:val="12"/>
                <w:color w:val="auto"/>
              </w:rPr>
            </w:pPr>
          </w:p>
        </w:tc>
        <w:tc>
          <w:tcPr>
            <w:tcW w:w="120" w:type="dxa"/>
            <w:vAlign w:val="bottom"/>
            <w:shd w:val="clear" w:color="auto" w:fill="E6EEFF"/>
          </w:tcPr>
          <w:p>
            <w:pPr>
              <w:spacing w:after="0"/>
              <w:rPr>
                <w:sz w:val="12"/>
                <w:szCs w:val="12"/>
                <w:color w:val="auto"/>
              </w:rPr>
            </w:pPr>
          </w:p>
        </w:tc>
        <w:tc>
          <w:tcPr>
            <w:tcW w:w="1160" w:type="dxa"/>
            <w:vAlign w:val="bottom"/>
            <w:shd w:val="clear" w:color="auto" w:fill="E6EEFF"/>
          </w:tcPr>
          <w:p>
            <w:pPr>
              <w:spacing w:after="0"/>
              <w:rPr>
                <w:sz w:val="12"/>
                <w:szCs w:val="12"/>
                <w:color w:val="auto"/>
              </w:rPr>
            </w:pPr>
          </w:p>
        </w:tc>
        <w:tc>
          <w:tcPr>
            <w:tcW w:w="120" w:type="dxa"/>
            <w:vAlign w:val="bottom"/>
            <w:shd w:val="clear" w:color="auto" w:fill="E6EEFF"/>
          </w:tcPr>
          <w:p>
            <w:pPr>
              <w:spacing w:after="0"/>
              <w:rPr>
                <w:sz w:val="12"/>
                <w:szCs w:val="12"/>
                <w:color w:val="auto"/>
              </w:rPr>
            </w:pPr>
          </w:p>
        </w:tc>
        <w:tc>
          <w:tcPr>
            <w:tcW w:w="300" w:type="dxa"/>
            <w:vAlign w:val="bottom"/>
            <w:shd w:val="clear" w:color="auto" w:fill="E6EEFF"/>
          </w:tcPr>
          <w:p>
            <w:pPr>
              <w:spacing w:after="0"/>
              <w:rPr>
                <w:sz w:val="12"/>
                <w:szCs w:val="12"/>
                <w:color w:val="auto"/>
              </w:rPr>
            </w:pPr>
          </w:p>
        </w:tc>
        <w:tc>
          <w:tcPr>
            <w:tcW w:w="840" w:type="dxa"/>
            <w:vAlign w:val="bottom"/>
            <w:shd w:val="clear" w:color="auto" w:fill="E6EEFF"/>
          </w:tcPr>
          <w:p>
            <w:pPr>
              <w:spacing w:after="0"/>
              <w:rPr>
                <w:sz w:val="12"/>
                <w:szCs w:val="12"/>
                <w:color w:val="auto"/>
              </w:rPr>
            </w:pPr>
          </w:p>
        </w:tc>
        <w:tc>
          <w:tcPr>
            <w:tcW w:w="120" w:type="dxa"/>
            <w:vAlign w:val="bottom"/>
            <w:shd w:val="clear" w:color="auto" w:fill="E6EEFF"/>
          </w:tcPr>
          <w:p>
            <w:pPr>
              <w:spacing w:after="0"/>
              <w:rPr>
                <w:sz w:val="12"/>
                <w:szCs w:val="12"/>
                <w:color w:val="auto"/>
              </w:rPr>
            </w:pPr>
          </w:p>
        </w:tc>
        <w:tc>
          <w:tcPr>
            <w:tcW w:w="200" w:type="dxa"/>
            <w:vAlign w:val="bottom"/>
            <w:shd w:val="clear" w:color="auto" w:fill="E6EEFF"/>
          </w:tcPr>
          <w:p>
            <w:pPr>
              <w:spacing w:after="0"/>
              <w:rPr>
                <w:sz w:val="12"/>
                <w:szCs w:val="12"/>
                <w:color w:val="auto"/>
              </w:rPr>
            </w:pPr>
          </w:p>
        </w:tc>
        <w:tc>
          <w:tcPr>
            <w:tcW w:w="900" w:type="dxa"/>
            <w:vAlign w:val="bottom"/>
            <w:shd w:val="clear" w:color="auto" w:fill="E6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520" w:type="dxa"/>
            <w:vAlign w:val="bottom"/>
            <w:tcBorders>
              <w:bottom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1C4787"/>
              </w:rPr>
              <w:t>December 31, 2021</w:t>
            </w:r>
          </w:p>
        </w:tc>
        <w:tc>
          <w:tcPr>
            <w:tcW w:w="120" w:type="dxa"/>
            <w:vAlign w:val="bottom"/>
            <w:tcBorders>
              <w:bottom w:val="single" w:sz="8" w:color="E6EEFF"/>
            </w:tcBorders>
          </w:tcPr>
          <w:p>
            <w:pPr>
              <w:spacing w:after="0"/>
              <w:rPr>
                <w:sz w:val="18"/>
                <w:szCs w:val="18"/>
                <w:color w:val="auto"/>
              </w:rPr>
            </w:pPr>
          </w:p>
        </w:tc>
        <w:tc>
          <w:tcPr>
            <w:tcW w:w="3820" w:type="dxa"/>
            <w:vAlign w:val="bottom"/>
            <w:tcBorders>
              <w:bottom w:val="single" w:sz="8" w:color="E6EEFF"/>
            </w:tcBorders>
          </w:tcPr>
          <w:p>
            <w:pPr>
              <w:spacing w:after="0"/>
              <w:rPr>
                <w:sz w:val="18"/>
                <w:szCs w:val="18"/>
                <w:color w:val="auto"/>
              </w:rPr>
            </w:pPr>
          </w:p>
        </w:tc>
        <w:tc>
          <w:tcPr>
            <w:tcW w:w="120" w:type="dxa"/>
            <w:vAlign w:val="bottom"/>
            <w:tcBorders>
              <w:bottom w:val="single" w:sz="8" w:color="E6EEFF"/>
            </w:tcBorders>
          </w:tcPr>
          <w:p>
            <w:pPr>
              <w:spacing w:after="0"/>
              <w:rPr>
                <w:sz w:val="18"/>
                <w:szCs w:val="18"/>
                <w:color w:val="auto"/>
              </w:rPr>
            </w:pPr>
          </w:p>
        </w:tc>
        <w:tc>
          <w:tcPr>
            <w:tcW w:w="1160" w:type="dxa"/>
            <w:vAlign w:val="bottom"/>
            <w:tcBorders>
              <w:bottom w:val="single" w:sz="8" w:color="E6EEFF"/>
            </w:tcBorders>
          </w:tcPr>
          <w:p>
            <w:pPr>
              <w:spacing w:after="0"/>
              <w:rPr>
                <w:sz w:val="18"/>
                <w:szCs w:val="18"/>
                <w:color w:val="auto"/>
              </w:rPr>
            </w:pPr>
          </w:p>
        </w:tc>
        <w:tc>
          <w:tcPr>
            <w:tcW w:w="120" w:type="dxa"/>
            <w:vAlign w:val="bottom"/>
            <w:tcBorders>
              <w:bottom w:val="single" w:sz="8" w:color="E6EEFF"/>
            </w:tcBorders>
          </w:tcPr>
          <w:p>
            <w:pPr>
              <w:spacing w:after="0"/>
              <w:rPr>
                <w:sz w:val="18"/>
                <w:szCs w:val="18"/>
                <w:color w:val="auto"/>
              </w:rPr>
            </w:pPr>
          </w:p>
        </w:tc>
        <w:tc>
          <w:tcPr>
            <w:tcW w:w="300" w:type="dxa"/>
            <w:vAlign w:val="bottom"/>
            <w:tcBorders>
              <w:bottom w:val="single" w:sz="8" w:color="E6EEFF"/>
            </w:tcBorders>
          </w:tcPr>
          <w:p>
            <w:pPr>
              <w:spacing w:after="0"/>
              <w:rPr>
                <w:sz w:val="18"/>
                <w:szCs w:val="18"/>
                <w:color w:val="auto"/>
              </w:rPr>
            </w:pPr>
          </w:p>
        </w:tc>
        <w:tc>
          <w:tcPr>
            <w:tcW w:w="840" w:type="dxa"/>
            <w:vAlign w:val="bottom"/>
            <w:tcBorders>
              <w:bottom w:val="single" w:sz="8" w:color="E6EEFF"/>
            </w:tcBorders>
          </w:tcPr>
          <w:p>
            <w:pPr>
              <w:spacing w:after="0"/>
              <w:rPr>
                <w:sz w:val="18"/>
                <w:szCs w:val="18"/>
                <w:color w:val="auto"/>
              </w:rPr>
            </w:pPr>
          </w:p>
        </w:tc>
        <w:tc>
          <w:tcPr>
            <w:tcW w:w="120" w:type="dxa"/>
            <w:vAlign w:val="bottom"/>
            <w:tcBorders>
              <w:bottom w:val="single" w:sz="8" w:color="E6EEFF"/>
            </w:tcBorders>
          </w:tcPr>
          <w:p>
            <w:pPr>
              <w:spacing w:after="0"/>
              <w:rPr>
                <w:sz w:val="18"/>
                <w:szCs w:val="18"/>
                <w:color w:val="auto"/>
              </w:rPr>
            </w:pPr>
          </w:p>
        </w:tc>
        <w:tc>
          <w:tcPr>
            <w:tcW w:w="200" w:type="dxa"/>
            <w:vAlign w:val="bottom"/>
            <w:tcBorders>
              <w:bottom w:val="single" w:sz="8" w:color="E6EEFF"/>
            </w:tcBorders>
          </w:tcPr>
          <w:p>
            <w:pPr>
              <w:spacing w:after="0"/>
              <w:rPr>
                <w:sz w:val="18"/>
                <w:szCs w:val="18"/>
                <w:color w:val="auto"/>
              </w:rPr>
            </w:pPr>
          </w:p>
        </w:tc>
        <w:tc>
          <w:tcPr>
            <w:tcW w:w="900" w:type="dxa"/>
            <w:vAlign w:val="bottom"/>
            <w:tcBorders>
              <w:bottom w:val="single" w:sz="8" w:color="E6EEFF"/>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20" w:type="dxa"/>
            <w:vAlign w:val="bottom"/>
            <w:shd w:val="clear" w:color="auto" w:fill="E6EEFF"/>
          </w:tcPr>
          <w:p>
            <w:pPr>
              <w:ind w:left="20"/>
              <w:spacing w:after="0" w:line="160" w:lineRule="exact"/>
              <w:rPr>
                <w:sz w:val="20"/>
                <w:szCs w:val="20"/>
                <w:color w:val="auto"/>
              </w:rPr>
            </w:pPr>
            <w:r>
              <w:rPr>
                <w:rFonts w:ascii="Calibri" w:cs="Calibri" w:eastAsia="Calibri" w:hAnsi="Calibri"/>
                <w:sz w:val="17"/>
                <w:szCs w:val="17"/>
                <w:color w:val="auto"/>
              </w:rPr>
              <w:t>Preferred C ATM Sales</w:t>
            </w:r>
          </w:p>
        </w:tc>
        <w:tc>
          <w:tcPr>
            <w:tcW w:w="120" w:type="dxa"/>
            <w:vAlign w:val="bottom"/>
            <w:shd w:val="clear" w:color="auto" w:fill="E6EEFF"/>
          </w:tcPr>
          <w:p>
            <w:pPr>
              <w:spacing w:after="0"/>
              <w:rPr>
                <w:sz w:val="13"/>
                <w:szCs w:val="13"/>
                <w:color w:val="auto"/>
              </w:rPr>
            </w:pPr>
          </w:p>
        </w:tc>
        <w:tc>
          <w:tcPr>
            <w:tcW w:w="3820" w:type="dxa"/>
            <w:vAlign w:val="bottom"/>
            <w:shd w:val="clear" w:color="auto" w:fill="E6EEFF"/>
          </w:tcPr>
          <w:p>
            <w:pPr>
              <w:spacing w:after="0"/>
              <w:rPr>
                <w:sz w:val="13"/>
                <w:szCs w:val="13"/>
                <w:color w:val="auto"/>
              </w:rPr>
            </w:pPr>
          </w:p>
        </w:tc>
        <w:tc>
          <w:tcPr>
            <w:tcW w:w="120" w:type="dxa"/>
            <w:vAlign w:val="bottom"/>
            <w:shd w:val="clear" w:color="auto" w:fill="E6EEFF"/>
          </w:tcPr>
          <w:p>
            <w:pPr>
              <w:spacing w:after="0"/>
              <w:rPr>
                <w:sz w:val="13"/>
                <w:szCs w:val="13"/>
                <w:color w:val="auto"/>
              </w:rPr>
            </w:pPr>
          </w:p>
        </w:tc>
        <w:tc>
          <w:tcPr>
            <w:tcW w:w="1160" w:type="dxa"/>
            <w:vAlign w:val="bottom"/>
            <w:shd w:val="clear" w:color="auto" w:fill="E6EEFF"/>
          </w:tcPr>
          <w:p>
            <w:pPr>
              <w:spacing w:after="0"/>
              <w:rPr>
                <w:sz w:val="13"/>
                <w:szCs w:val="13"/>
                <w:color w:val="auto"/>
              </w:rPr>
            </w:pPr>
          </w:p>
        </w:tc>
        <w:tc>
          <w:tcPr>
            <w:tcW w:w="120" w:type="dxa"/>
            <w:vAlign w:val="bottom"/>
            <w:shd w:val="clear" w:color="auto" w:fill="E6EEFF"/>
          </w:tcPr>
          <w:p>
            <w:pPr>
              <w:spacing w:after="0"/>
              <w:rPr>
                <w:sz w:val="13"/>
                <w:szCs w:val="13"/>
                <w:color w:val="auto"/>
              </w:rPr>
            </w:pPr>
          </w:p>
        </w:tc>
        <w:tc>
          <w:tcPr>
            <w:tcW w:w="300" w:type="dxa"/>
            <w:vAlign w:val="bottom"/>
            <w:shd w:val="clear" w:color="auto" w:fill="E6EEFF"/>
          </w:tcPr>
          <w:p>
            <w:pPr>
              <w:spacing w:after="0"/>
              <w:rPr>
                <w:sz w:val="13"/>
                <w:szCs w:val="13"/>
                <w:color w:val="auto"/>
              </w:rPr>
            </w:pPr>
          </w:p>
        </w:tc>
        <w:tc>
          <w:tcPr>
            <w:tcW w:w="840" w:type="dxa"/>
            <w:vAlign w:val="bottom"/>
            <w:shd w:val="clear" w:color="auto" w:fill="E6EEFF"/>
          </w:tcPr>
          <w:p>
            <w:pPr>
              <w:spacing w:after="0"/>
              <w:rPr>
                <w:sz w:val="13"/>
                <w:szCs w:val="13"/>
                <w:color w:val="auto"/>
              </w:rPr>
            </w:pPr>
          </w:p>
        </w:tc>
        <w:tc>
          <w:tcPr>
            <w:tcW w:w="120" w:type="dxa"/>
            <w:vAlign w:val="bottom"/>
            <w:shd w:val="clear" w:color="auto" w:fill="E6EEFF"/>
          </w:tcPr>
          <w:p>
            <w:pPr>
              <w:spacing w:after="0"/>
              <w:rPr>
                <w:sz w:val="13"/>
                <w:szCs w:val="13"/>
                <w:color w:val="auto"/>
              </w:rPr>
            </w:pPr>
          </w:p>
        </w:tc>
        <w:tc>
          <w:tcPr>
            <w:tcW w:w="200" w:type="dxa"/>
            <w:vAlign w:val="bottom"/>
            <w:shd w:val="clear" w:color="auto" w:fill="E6EEFF"/>
          </w:tcPr>
          <w:p>
            <w:pPr>
              <w:spacing w:after="0"/>
              <w:rPr>
                <w:sz w:val="13"/>
                <w:szCs w:val="13"/>
                <w:color w:val="auto"/>
              </w:rPr>
            </w:pPr>
          </w:p>
        </w:tc>
        <w:tc>
          <w:tcPr>
            <w:tcW w:w="900" w:type="dxa"/>
            <w:vAlign w:val="bottom"/>
            <w:shd w:val="clear" w:color="auto" w:fill="E6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520" w:type="dxa"/>
            <w:vAlign w:val="bottom"/>
            <w:tcBorders>
              <w:bottom w:val="single" w:sz="8" w:color="E6EEFF"/>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Agreement</w:t>
            </w:r>
          </w:p>
        </w:tc>
        <w:tc>
          <w:tcPr>
            <w:tcW w:w="120" w:type="dxa"/>
            <w:vAlign w:val="bottom"/>
            <w:tcBorders>
              <w:bottom w:val="single" w:sz="8" w:color="E6EEFF"/>
            </w:tcBorders>
            <w:shd w:val="clear" w:color="auto" w:fill="E6EEFF"/>
          </w:tcPr>
          <w:p>
            <w:pPr>
              <w:spacing w:after="0"/>
              <w:rPr>
                <w:sz w:val="19"/>
                <w:szCs w:val="19"/>
                <w:color w:val="auto"/>
              </w:rPr>
            </w:pPr>
          </w:p>
        </w:tc>
        <w:tc>
          <w:tcPr>
            <w:tcW w:w="3940" w:type="dxa"/>
            <w:vAlign w:val="bottom"/>
            <w:tcBorders>
              <w:bottom w:val="single" w:sz="8" w:color="E6EEFF"/>
            </w:tcBorders>
            <w:gridSpan w:val="2"/>
            <w:shd w:val="clear" w:color="auto" w:fill="E6EEFF"/>
          </w:tcPr>
          <w:p>
            <w:pPr>
              <w:ind w:left="20"/>
              <w:spacing w:after="0"/>
              <w:rPr>
                <w:sz w:val="20"/>
                <w:szCs w:val="20"/>
                <w:color w:val="auto"/>
              </w:rPr>
            </w:pPr>
            <w:r>
              <w:rPr>
                <w:rFonts w:ascii="Calibri" w:cs="Calibri" w:eastAsia="Calibri" w:hAnsi="Calibri"/>
                <w:sz w:val="17"/>
                <w:szCs w:val="17"/>
                <w:color w:val="auto"/>
              </w:rPr>
              <w:t>January 19. 2021 - April 9, 2021</w:t>
            </w:r>
          </w:p>
        </w:tc>
        <w:tc>
          <w:tcPr>
            <w:tcW w:w="116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1,500</w:t>
            </w:r>
          </w:p>
        </w:tc>
        <w:tc>
          <w:tcPr>
            <w:tcW w:w="120" w:type="dxa"/>
            <w:vAlign w:val="bottom"/>
            <w:tcBorders>
              <w:bottom w:val="single" w:sz="8" w:color="E6EEFF"/>
            </w:tcBorders>
            <w:shd w:val="clear" w:color="auto" w:fill="E6EEFF"/>
          </w:tcPr>
          <w:p>
            <w:pPr>
              <w:spacing w:after="0"/>
              <w:rPr>
                <w:sz w:val="19"/>
                <w:szCs w:val="19"/>
                <w:color w:val="auto"/>
              </w:rPr>
            </w:pPr>
          </w:p>
        </w:tc>
        <w:tc>
          <w:tcPr>
            <w:tcW w:w="300" w:type="dxa"/>
            <w:vAlign w:val="bottom"/>
            <w:tcBorders>
              <w:bottom w:val="single" w:sz="8" w:color="E6EEFF"/>
            </w:tcBorders>
            <w:shd w:val="clear" w:color="auto" w:fill="E6EEFF"/>
          </w:tcPr>
          <w:p>
            <w:pPr>
              <w:jc w:val="right"/>
              <w:ind w:right="114"/>
              <w:spacing w:after="0"/>
              <w:rPr>
                <w:sz w:val="20"/>
                <w:szCs w:val="20"/>
                <w:color w:val="auto"/>
              </w:rPr>
            </w:pPr>
            <w:r>
              <w:rPr>
                <w:rFonts w:ascii="Calibri" w:cs="Calibri" w:eastAsia="Calibri" w:hAnsi="Calibri"/>
                <w:sz w:val="17"/>
                <w:szCs w:val="17"/>
                <w:color w:val="auto"/>
                <w:w w:val="92"/>
              </w:rPr>
              <w:t>$</w:t>
            </w:r>
          </w:p>
        </w:tc>
        <w:tc>
          <w:tcPr>
            <w:tcW w:w="84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24.38</w:t>
            </w:r>
          </w:p>
        </w:tc>
        <w:tc>
          <w:tcPr>
            <w:tcW w:w="120" w:type="dxa"/>
            <w:vAlign w:val="bottom"/>
            <w:tcBorders>
              <w:bottom w:val="single" w:sz="8" w:color="E6EEFF"/>
            </w:tcBorders>
            <w:shd w:val="clear" w:color="auto" w:fill="E6EEFF"/>
          </w:tcPr>
          <w:p>
            <w:pPr>
              <w:spacing w:after="0"/>
              <w:rPr>
                <w:sz w:val="19"/>
                <w:szCs w:val="19"/>
                <w:color w:val="auto"/>
              </w:rPr>
            </w:pPr>
          </w:p>
        </w:tc>
        <w:tc>
          <w:tcPr>
            <w:tcW w:w="200" w:type="dxa"/>
            <w:vAlign w:val="bottom"/>
            <w:tcBorders>
              <w:bottom w:val="single" w:sz="8" w:color="E6EEFF"/>
            </w:tcBorders>
            <w:shd w:val="clear" w:color="auto" w:fill="E6EEFF"/>
          </w:tcPr>
          <w:p>
            <w:pPr>
              <w:jc w:val="right"/>
              <w:ind w:right="14"/>
              <w:spacing w:after="0"/>
              <w:rPr>
                <w:sz w:val="20"/>
                <w:szCs w:val="20"/>
                <w:color w:val="auto"/>
              </w:rPr>
            </w:pPr>
            <w:r>
              <w:rPr>
                <w:rFonts w:ascii="Calibri" w:cs="Calibri" w:eastAsia="Calibri" w:hAnsi="Calibri"/>
                <w:sz w:val="17"/>
                <w:szCs w:val="17"/>
                <w:color w:val="auto"/>
                <w:w w:val="92"/>
              </w:rPr>
              <w:t>$</w:t>
            </w:r>
          </w:p>
        </w:tc>
        <w:tc>
          <w:tcPr>
            <w:tcW w:w="900" w:type="dxa"/>
            <w:vAlign w:val="bottom"/>
            <w:tcBorders>
              <w:bottom w:val="single" w:sz="8" w:color="E6EEFF"/>
            </w:tcBorders>
            <w:shd w:val="clear" w:color="auto" w:fill="E6EEFF"/>
          </w:tcPr>
          <w:p>
            <w:pPr>
              <w:jc w:val="right"/>
              <w:spacing w:after="0"/>
              <w:rPr>
                <w:sz w:val="20"/>
                <w:szCs w:val="20"/>
                <w:color w:val="auto"/>
              </w:rPr>
            </w:pPr>
            <w:r>
              <w:rPr>
                <w:rFonts w:ascii="Calibri" w:cs="Calibri" w:eastAsia="Calibri" w:hAnsi="Calibri"/>
                <w:sz w:val="17"/>
                <w:szCs w:val="17"/>
                <w:color w:val="auto"/>
              </w:rPr>
              <w:t>36,585</w:t>
            </w: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line="205" w:lineRule="exact"/>
              <w:rPr>
                <w:sz w:val="20"/>
                <w:szCs w:val="20"/>
                <w:color w:val="auto"/>
              </w:rPr>
            </w:pPr>
            <w:r>
              <w:rPr>
                <w:rFonts w:ascii="Calibri" w:cs="Calibri" w:eastAsia="Calibri" w:hAnsi="Calibri"/>
                <w:sz w:val="17"/>
                <w:szCs w:val="17"/>
                <w:color w:val="auto"/>
              </w:rPr>
              <w:t>Common stock ATM Sales Agreement</w:t>
            </w:r>
          </w:p>
        </w:tc>
        <w:tc>
          <w:tcPr>
            <w:tcW w:w="120" w:type="dxa"/>
            <w:vAlign w:val="bottom"/>
          </w:tcPr>
          <w:p>
            <w:pPr>
              <w:spacing w:after="0"/>
              <w:rPr>
                <w:sz w:val="18"/>
                <w:szCs w:val="18"/>
                <w:color w:val="auto"/>
              </w:rPr>
            </w:pPr>
          </w:p>
        </w:tc>
        <w:tc>
          <w:tcPr>
            <w:tcW w:w="394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March 3, 2021 - May 18, 2021</w:t>
            </w:r>
          </w:p>
        </w:tc>
        <w:tc>
          <w:tcPr>
            <w:tcW w:w="1160" w:type="dxa"/>
            <w:vAlign w:val="bottom"/>
          </w:tcPr>
          <w:p>
            <w:pPr>
              <w:jc w:val="right"/>
              <w:spacing w:after="0" w:line="205" w:lineRule="exact"/>
              <w:rPr>
                <w:sz w:val="20"/>
                <w:szCs w:val="20"/>
                <w:color w:val="auto"/>
              </w:rPr>
            </w:pPr>
            <w:r>
              <w:rPr>
                <w:rFonts w:ascii="Calibri" w:cs="Calibri" w:eastAsia="Calibri" w:hAnsi="Calibri"/>
                <w:sz w:val="17"/>
                <w:szCs w:val="17"/>
                <w:color w:val="auto"/>
              </w:rPr>
              <w:t>2,143</w:t>
            </w:r>
          </w:p>
        </w:tc>
        <w:tc>
          <w:tcPr>
            <w:tcW w:w="120" w:type="dxa"/>
            <w:vAlign w:val="bottom"/>
          </w:tcPr>
          <w:p>
            <w:pPr>
              <w:spacing w:after="0"/>
              <w:rPr>
                <w:sz w:val="18"/>
                <w:szCs w:val="18"/>
                <w:color w:val="auto"/>
              </w:rPr>
            </w:pPr>
          </w:p>
        </w:tc>
        <w:tc>
          <w:tcPr>
            <w:tcW w:w="300" w:type="dxa"/>
            <w:vAlign w:val="bottom"/>
          </w:tcPr>
          <w:p>
            <w:pPr>
              <w:jc w:val="right"/>
              <w:ind w:right="114"/>
              <w:spacing w:after="0" w:line="205" w:lineRule="exact"/>
              <w:rPr>
                <w:sz w:val="20"/>
                <w:szCs w:val="20"/>
                <w:color w:val="auto"/>
              </w:rPr>
            </w:pPr>
            <w:r>
              <w:rPr>
                <w:rFonts w:ascii="Calibri" w:cs="Calibri" w:eastAsia="Calibri" w:hAnsi="Calibri"/>
                <w:sz w:val="17"/>
                <w:szCs w:val="17"/>
                <w:color w:val="auto"/>
                <w:w w:val="92"/>
              </w:rPr>
              <w:t>$</w:t>
            </w:r>
          </w:p>
        </w:tc>
        <w:tc>
          <w:tcPr>
            <w:tcW w:w="840" w:type="dxa"/>
            <w:vAlign w:val="bottom"/>
          </w:tcPr>
          <w:p>
            <w:pPr>
              <w:jc w:val="right"/>
              <w:spacing w:after="0" w:line="205" w:lineRule="exact"/>
              <w:rPr>
                <w:sz w:val="20"/>
                <w:szCs w:val="20"/>
                <w:color w:val="auto"/>
              </w:rPr>
            </w:pPr>
            <w:r>
              <w:rPr>
                <w:rFonts w:ascii="Calibri" w:cs="Calibri" w:eastAsia="Calibri" w:hAnsi="Calibri"/>
                <w:sz w:val="17"/>
                <w:szCs w:val="17"/>
                <w:color w:val="auto"/>
              </w:rPr>
              <w:t>60.35</w:t>
            </w:r>
          </w:p>
        </w:tc>
        <w:tc>
          <w:tcPr>
            <w:tcW w:w="120" w:type="dxa"/>
            <w:vAlign w:val="bottom"/>
          </w:tcPr>
          <w:p>
            <w:pPr>
              <w:spacing w:after="0"/>
              <w:rPr>
                <w:sz w:val="18"/>
                <w:szCs w:val="18"/>
                <w:color w:val="auto"/>
              </w:rPr>
            </w:pPr>
          </w:p>
        </w:tc>
        <w:tc>
          <w:tcPr>
            <w:tcW w:w="200" w:type="dxa"/>
            <w:vAlign w:val="bottom"/>
          </w:tcPr>
          <w:p>
            <w:pPr>
              <w:jc w:val="right"/>
              <w:ind w:right="14"/>
              <w:spacing w:after="0" w:line="205" w:lineRule="exact"/>
              <w:rPr>
                <w:sz w:val="20"/>
                <w:szCs w:val="20"/>
                <w:color w:val="auto"/>
              </w:rPr>
            </w:pPr>
            <w:r>
              <w:rPr>
                <w:rFonts w:ascii="Calibri" w:cs="Calibri" w:eastAsia="Calibri" w:hAnsi="Calibri"/>
                <w:sz w:val="17"/>
                <w:szCs w:val="17"/>
                <w:color w:val="auto"/>
                <w:w w:val="92"/>
              </w:rPr>
              <w:t>$</w:t>
            </w:r>
          </w:p>
        </w:tc>
        <w:tc>
          <w:tcPr>
            <w:tcW w:w="900" w:type="dxa"/>
            <w:vAlign w:val="bottom"/>
          </w:tcPr>
          <w:p>
            <w:pPr>
              <w:jc w:val="right"/>
              <w:spacing w:after="0" w:line="205" w:lineRule="exact"/>
              <w:rPr>
                <w:sz w:val="20"/>
                <w:szCs w:val="20"/>
                <w:color w:val="auto"/>
              </w:rPr>
            </w:pPr>
            <w:r>
              <w:rPr>
                <w:rFonts w:ascii="Calibri" w:cs="Calibri" w:eastAsia="Calibri" w:hAnsi="Calibri"/>
                <w:sz w:val="17"/>
                <w:szCs w:val="17"/>
                <w:color w:val="auto"/>
              </w:rPr>
              <w:t>129,336</w:t>
            </w:r>
          </w:p>
        </w:tc>
        <w:tc>
          <w:tcPr>
            <w:tcW w:w="0" w:type="dxa"/>
            <w:vAlign w:val="bottom"/>
          </w:tcPr>
          <w:p>
            <w:pPr>
              <w:spacing w:after="0"/>
              <w:rPr>
                <w:sz w:val="1"/>
                <w:szCs w:val="1"/>
                <w:color w:val="auto"/>
              </w:rPr>
            </w:pPr>
          </w:p>
        </w:tc>
      </w:tr>
      <w:tr>
        <w:trPr>
          <w:trHeight w:val="226"/>
        </w:trPr>
        <w:tc>
          <w:tcPr>
            <w:tcW w:w="352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2021 Common stock ATM Sales Agreement</w:t>
            </w:r>
          </w:p>
        </w:tc>
        <w:tc>
          <w:tcPr>
            <w:tcW w:w="120" w:type="dxa"/>
            <w:vAlign w:val="bottom"/>
            <w:shd w:val="clear" w:color="auto" w:fill="E6EEFF"/>
          </w:tcPr>
          <w:p>
            <w:pPr>
              <w:spacing w:after="0"/>
              <w:rPr>
                <w:sz w:val="19"/>
                <w:szCs w:val="19"/>
                <w:color w:val="auto"/>
              </w:rPr>
            </w:pPr>
          </w:p>
        </w:tc>
        <w:tc>
          <w:tcPr>
            <w:tcW w:w="394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May 19, 2021 - December 10, 2021</w:t>
            </w:r>
          </w:p>
        </w:tc>
        <w:tc>
          <w:tcPr>
            <w:tcW w:w="1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3,583</w:t>
            </w:r>
          </w:p>
        </w:tc>
        <w:tc>
          <w:tcPr>
            <w:tcW w:w="120" w:type="dxa"/>
            <w:vAlign w:val="bottom"/>
            <w:shd w:val="clear" w:color="auto" w:fill="E6EEFF"/>
          </w:tcPr>
          <w:p>
            <w:pPr>
              <w:spacing w:after="0"/>
              <w:rPr>
                <w:sz w:val="19"/>
                <w:szCs w:val="19"/>
                <w:color w:val="auto"/>
              </w:rPr>
            </w:pPr>
          </w:p>
        </w:tc>
        <w:tc>
          <w:tcPr>
            <w:tcW w:w="300" w:type="dxa"/>
            <w:vAlign w:val="bottom"/>
            <w:shd w:val="clear" w:color="auto" w:fill="E6EEFF"/>
          </w:tcPr>
          <w:p>
            <w:pPr>
              <w:jc w:val="right"/>
              <w:ind w:right="114"/>
              <w:spacing w:after="0"/>
              <w:rPr>
                <w:sz w:val="20"/>
                <w:szCs w:val="20"/>
                <w:color w:val="auto"/>
              </w:rPr>
            </w:pPr>
            <w:r>
              <w:rPr>
                <w:rFonts w:ascii="Calibri" w:cs="Calibri" w:eastAsia="Calibri" w:hAnsi="Calibri"/>
                <w:sz w:val="17"/>
                <w:szCs w:val="17"/>
                <w:color w:val="auto"/>
                <w:w w:val="92"/>
              </w:rPr>
              <w:t>$</w:t>
            </w:r>
          </w:p>
        </w:tc>
        <w:tc>
          <w:tcPr>
            <w:tcW w:w="84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55.65</w:t>
            </w:r>
          </w:p>
        </w:tc>
        <w:tc>
          <w:tcPr>
            <w:tcW w:w="120" w:type="dxa"/>
            <w:vAlign w:val="bottom"/>
            <w:shd w:val="clear" w:color="auto" w:fill="E6EEFF"/>
          </w:tcPr>
          <w:p>
            <w:pPr>
              <w:spacing w:after="0"/>
              <w:rPr>
                <w:sz w:val="19"/>
                <w:szCs w:val="19"/>
                <w:color w:val="auto"/>
              </w:rPr>
            </w:pPr>
          </w:p>
        </w:tc>
        <w:tc>
          <w:tcPr>
            <w:tcW w:w="200" w:type="dxa"/>
            <w:vAlign w:val="bottom"/>
            <w:shd w:val="clear" w:color="auto" w:fill="E6EEFF"/>
          </w:tcPr>
          <w:p>
            <w:pPr>
              <w:jc w:val="right"/>
              <w:ind w:right="14"/>
              <w:spacing w:after="0"/>
              <w:rPr>
                <w:sz w:val="20"/>
                <w:szCs w:val="20"/>
                <w:color w:val="auto"/>
              </w:rPr>
            </w:pPr>
            <w:r>
              <w:rPr>
                <w:rFonts w:ascii="Calibri" w:cs="Calibri" w:eastAsia="Calibri" w:hAnsi="Calibri"/>
                <w:sz w:val="17"/>
                <w:szCs w:val="17"/>
                <w:color w:val="auto"/>
                <w:w w:val="92"/>
              </w:rPr>
              <w:t>$</w:t>
            </w:r>
          </w:p>
        </w:tc>
        <w:tc>
          <w:tcPr>
            <w:tcW w:w="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199,444</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Calibri" w:cs="Calibri" w:eastAsia="Calibri" w:hAnsi="Calibri"/>
          <w:sz w:val="17"/>
          <w:szCs w:val="17"/>
          <w:color w:val="auto"/>
        </w:rPr>
        <w:t>(1)  Weighted average price</w:t>
      </w:r>
    </w:p>
    <w:p>
      <w:pPr>
        <w:spacing w:after="0" w:line="179"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Dividends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On January 29, 2024 and February 27, 2024 cash dividends of $0.14583 per outstanding share of Series C Preferred Stock, or $998 in the aggregate each month, was paid to holders of record on January 15, 2024 and February 15, 2024, respectvely. We have also declared cash dividends of $0.14583 payable March 27, 2024 to holders of record on March 15, 2024.</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On January 30, 2024 and February 28, 2024 cash dividends of $0.24 per outstanding common share each month, or $11,786 and $11,769 in the aggregate, was paid to holders of record on January 16, 2024 and February 15, 2024, respectvely. We have also declared a cash dividend of $0.24 per outstanding common share payable March 28, 2024 to holders of record on March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03" w:name="page104"/>
    <w:bookmarkEnd w:id="103"/>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102</w:t>
      </w:r>
    </w:p>
    <w:p>
      <w:pPr>
        <w:spacing w:after="0" w:line="200" w:lineRule="exact"/>
        <w:rPr>
          <w:sz w:val="20"/>
          <w:szCs w:val="20"/>
          <w:color w:val="auto"/>
        </w:rPr>
      </w:pPr>
    </w:p>
    <w:p>
      <w:pPr>
        <w:spacing w:after="0" w:line="318"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following table presents our Series C Preferred Stock dividend transactons for the years ended December 31, 2023, December 31, 2022 and December 31,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40" w:type="dxa"/>
            <w:vAlign w:val="bottom"/>
            <w:shd w:val="clear" w:color="auto" w:fill="E6EEFF"/>
          </w:tcPr>
          <w:p>
            <w:pPr>
              <w:spacing w:after="0"/>
              <w:rPr>
                <w:sz w:val="18"/>
                <w:szCs w:val="18"/>
                <w:color w:val="auto"/>
              </w:rPr>
            </w:pPr>
          </w:p>
        </w:tc>
        <w:tc>
          <w:tcPr>
            <w:tcW w:w="120" w:type="dxa"/>
            <w:vAlign w:val="bottom"/>
            <w:shd w:val="clear" w:color="auto" w:fill="E6ECFF"/>
          </w:tcPr>
          <w:p>
            <w:pPr>
              <w:spacing w:after="0"/>
              <w:rPr>
                <w:sz w:val="18"/>
                <w:szCs w:val="18"/>
                <w:color w:val="auto"/>
              </w:rPr>
            </w:pPr>
          </w:p>
        </w:tc>
        <w:tc>
          <w:tcPr>
            <w:tcW w:w="3560" w:type="dxa"/>
            <w:vAlign w:val="bottom"/>
            <w:shd w:val="clear" w:color="auto" w:fill="E6ECFF"/>
          </w:tcPr>
          <w:p>
            <w:pPr>
              <w:spacing w:after="0"/>
              <w:rPr>
                <w:sz w:val="18"/>
                <w:szCs w:val="18"/>
                <w:color w:val="auto"/>
              </w:rPr>
            </w:pPr>
          </w:p>
        </w:tc>
        <w:tc>
          <w:tcPr>
            <w:tcW w:w="120" w:type="dxa"/>
            <w:vAlign w:val="bottom"/>
            <w:shd w:val="clear" w:color="auto" w:fill="E6ECFF"/>
          </w:tcPr>
          <w:p>
            <w:pPr>
              <w:spacing w:after="0"/>
              <w:rPr>
                <w:sz w:val="18"/>
                <w:szCs w:val="18"/>
                <w:color w:val="auto"/>
              </w:rPr>
            </w:pPr>
          </w:p>
        </w:tc>
        <w:tc>
          <w:tcPr>
            <w:tcW w:w="160" w:type="dxa"/>
            <w:vAlign w:val="bottom"/>
            <w:shd w:val="clear" w:color="auto" w:fill="E6ECFF"/>
          </w:tcPr>
          <w:p>
            <w:pPr>
              <w:spacing w:after="0"/>
              <w:rPr>
                <w:sz w:val="18"/>
                <w:szCs w:val="18"/>
                <w:color w:val="auto"/>
              </w:rPr>
            </w:pPr>
          </w:p>
        </w:tc>
        <w:tc>
          <w:tcPr>
            <w:tcW w:w="1520" w:type="dxa"/>
            <w:vAlign w:val="bottom"/>
            <w:gridSpan w:val="2"/>
            <w:shd w:val="clear" w:color="auto" w:fill="E6ECFF"/>
          </w:tcPr>
          <w:p>
            <w:pPr>
              <w:jc w:val="center"/>
              <w:ind w:right="280"/>
              <w:spacing w:after="0"/>
              <w:rPr>
                <w:sz w:val="20"/>
                <w:szCs w:val="20"/>
                <w:color w:val="auto"/>
              </w:rPr>
            </w:pPr>
            <w:r>
              <w:rPr>
                <w:rFonts w:ascii="Calibri" w:cs="Calibri" w:eastAsia="Calibri" w:hAnsi="Calibri"/>
                <w:sz w:val="17"/>
                <w:szCs w:val="17"/>
                <w:b w:val="1"/>
                <w:bCs w:val="1"/>
                <w:color w:val="1C4787"/>
                <w:w w:val="99"/>
              </w:rPr>
              <w:t>Rate per</w:t>
            </w:r>
          </w:p>
        </w:tc>
        <w:tc>
          <w:tcPr>
            <w:tcW w:w="300" w:type="dxa"/>
            <w:vAlign w:val="bottom"/>
            <w:shd w:val="clear" w:color="auto" w:fill="E6ECFF"/>
          </w:tcPr>
          <w:p>
            <w:pPr>
              <w:spacing w:after="0"/>
              <w:rPr>
                <w:sz w:val="18"/>
                <w:szCs w:val="18"/>
                <w:color w:val="auto"/>
              </w:rPr>
            </w:pPr>
          </w:p>
        </w:tc>
        <w:tc>
          <w:tcPr>
            <w:tcW w:w="1920" w:type="dxa"/>
            <w:vAlign w:val="bottom"/>
            <w:shd w:val="clear" w:color="auto" w:fill="E6ECFF"/>
          </w:tcPr>
          <w:p>
            <w:pPr>
              <w:jc w:val="center"/>
              <w:ind w:right="214"/>
              <w:spacing w:after="0"/>
              <w:rPr>
                <w:sz w:val="20"/>
                <w:szCs w:val="20"/>
                <w:color w:val="auto"/>
              </w:rPr>
            </w:pPr>
            <w:r>
              <w:rPr>
                <w:rFonts w:ascii="Calibri" w:cs="Calibri" w:eastAsia="Calibri" w:hAnsi="Calibri"/>
                <w:sz w:val="17"/>
                <w:szCs w:val="17"/>
                <w:b w:val="1"/>
                <w:bCs w:val="1"/>
                <w:color w:val="1C4787"/>
                <w:w w:val="97"/>
              </w:rPr>
              <w:t>Aggregate</w:t>
            </w:r>
          </w:p>
        </w:tc>
      </w:tr>
      <w:tr>
        <w:trPr>
          <w:trHeight w:val="168"/>
        </w:trPr>
        <w:tc>
          <w:tcPr>
            <w:tcW w:w="3540" w:type="dxa"/>
            <w:vAlign w:val="bottom"/>
            <w:shd w:val="clear" w:color="auto" w:fill="E6EEFF"/>
          </w:tcPr>
          <w:p>
            <w:pPr>
              <w:spacing w:after="0"/>
              <w:rPr>
                <w:sz w:val="14"/>
                <w:szCs w:val="14"/>
                <w:color w:val="auto"/>
              </w:rPr>
            </w:pPr>
          </w:p>
        </w:tc>
        <w:tc>
          <w:tcPr>
            <w:tcW w:w="120" w:type="dxa"/>
            <w:vAlign w:val="bottom"/>
            <w:shd w:val="clear" w:color="auto" w:fill="E6ECFF"/>
          </w:tcPr>
          <w:p>
            <w:pPr>
              <w:spacing w:after="0"/>
              <w:rPr>
                <w:sz w:val="14"/>
                <w:szCs w:val="14"/>
                <w:color w:val="auto"/>
              </w:rPr>
            </w:pPr>
          </w:p>
        </w:tc>
        <w:tc>
          <w:tcPr>
            <w:tcW w:w="3560" w:type="dxa"/>
            <w:vAlign w:val="bottom"/>
            <w:shd w:val="clear" w:color="auto" w:fill="E6ECFF"/>
          </w:tcPr>
          <w:p>
            <w:pPr>
              <w:spacing w:after="0"/>
              <w:rPr>
                <w:sz w:val="14"/>
                <w:szCs w:val="14"/>
                <w:color w:val="auto"/>
              </w:rPr>
            </w:pPr>
          </w:p>
        </w:tc>
        <w:tc>
          <w:tcPr>
            <w:tcW w:w="120" w:type="dxa"/>
            <w:vAlign w:val="bottom"/>
            <w:shd w:val="clear" w:color="auto" w:fill="E6ECFF"/>
          </w:tcPr>
          <w:p>
            <w:pPr>
              <w:spacing w:after="0"/>
              <w:rPr>
                <w:sz w:val="14"/>
                <w:szCs w:val="14"/>
                <w:color w:val="auto"/>
              </w:rPr>
            </w:pPr>
          </w:p>
        </w:tc>
        <w:tc>
          <w:tcPr>
            <w:tcW w:w="160" w:type="dxa"/>
            <w:vAlign w:val="bottom"/>
            <w:shd w:val="clear" w:color="auto" w:fill="E6ECFF"/>
          </w:tcPr>
          <w:p>
            <w:pPr>
              <w:spacing w:after="0"/>
              <w:rPr>
                <w:sz w:val="14"/>
                <w:szCs w:val="14"/>
                <w:color w:val="auto"/>
              </w:rPr>
            </w:pPr>
          </w:p>
        </w:tc>
        <w:tc>
          <w:tcPr>
            <w:tcW w:w="1520" w:type="dxa"/>
            <w:vAlign w:val="bottom"/>
            <w:gridSpan w:val="2"/>
            <w:shd w:val="clear" w:color="auto" w:fill="E6ECFF"/>
          </w:tcPr>
          <w:p>
            <w:pPr>
              <w:jc w:val="center"/>
              <w:ind w:right="280"/>
              <w:spacing w:after="0" w:line="167" w:lineRule="exact"/>
              <w:rPr>
                <w:sz w:val="20"/>
                <w:szCs w:val="20"/>
                <w:color w:val="auto"/>
              </w:rPr>
            </w:pPr>
            <w:r>
              <w:rPr>
                <w:rFonts w:ascii="Calibri" w:cs="Calibri" w:eastAsia="Calibri" w:hAnsi="Calibri"/>
                <w:sz w:val="17"/>
                <w:szCs w:val="17"/>
                <w:b w:val="1"/>
                <w:bCs w:val="1"/>
                <w:color w:val="1C4787"/>
              </w:rPr>
              <w:t>Series C</w:t>
            </w:r>
          </w:p>
        </w:tc>
        <w:tc>
          <w:tcPr>
            <w:tcW w:w="300" w:type="dxa"/>
            <w:vAlign w:val="bottom"/>
            <w:shd w:val="clear" w:color="auto" w:fill="E6ECFF"/>
          </w:tcPr>
          <w:p>
            <w:pPr>
              <w:spacing w:after="0"/>
              <w:rPr>
                <w:sz w:val="14"/>
                <w:szCs w:val="14"/>
                <w:color w:val="auto"/>
              </w:rPr>
            </w:pPr>
          </w:p>
        </w:tc>
        <w:tc>
          <w:tcPr>
            <w:tcW w:w="1920" w:type="dxa"/>
            <w:vAlign w:val="bottom"/>
            <w:shd w:val="clear" w:color="auto" w:fill="E6ECFF"/>
          </w:tcPr>
          <w:p>
            <w:pPr>
              <w:jc w:val="center"/>
              <w:ind w:right="214"/>
              <w:spacing w:after="0" w:line="167" w:lineRule="exact"/>
              <w:rPr>
                <w:sz w:val="20"/>
                <w:szCs w:val="20"/>
                <w:color w:val="auto"/>
              </w:rPr>
            </w:pPr>
            <w:r>
              <w:rPr>
                <w:rFonts w:ascii="Calibri" w:cs="Calibri" w:eastAsia="Calibri" w:hAnsi="Calibri"/>
                <w:sz w:val="17"/>
                <w:szCs w:val="17"/>
                <w:b w:val="1"/>
                <w:bCs w:val="1"/>
                <w:color w:val="1C4787"/>
                <w:w w:val="97"/>
              </w:rPr>
              <w:t>amount paid to</w:t>
            </w:r>
          </w:p>
        </w:tc>
      </w:tr>
      <w:tr>
        <w:trPr>
          <w:trHeight w:val="240"/>
        </w:trPr>
        <w:tc>
          <w:tcPr>
            <w:tcW w:w="3540" w:type="dxa"/>
            <w:vAlign w:val="bottom"/>
            <w:tcBorders>
              <w:bottom w:val="single" w:sz="8" w:color="E6EEFF"/>
            </w:tcBorders>
            <w:shd w:val="clear" w:color="auto" w:fill="E6EEFF"/>
          </w:tcPr>
          <w:p>
            <w:pPr>
              <w:ind w:left="1160"/>
              <w:spacing w:after="0"/>
              <w:rPr>
                <w:sz w:val="20"/>
                <w:szCs w:val="20"/>
                <w:color w:val="auto"/>
              </w:rPr>
            </w:pPr>
            <w:r>
              <w:rPr>
                <w:rFonts w:ascii="Calibri" w:cs="Calibri" w:eastAsia="Calibri" w:hAnsi="Calibri"/>
                <w:sz w:val="17"/>
                <w:szCs w:val="17"/>
                <w:b w:val="1"/>
                <w:bCs w:val="1"/>
                <w:color w:val="1C4787"/>
              </w:rPr>
              <w:t>2023 Record Date</w:t>
            </w:r>
          </w:p>
        </w:tc>
        <w:tc>
          <w:tcPr>
            <w:tcW w:w="120" w:type="dxa"/>
            <w:vAlign w:val="bottom"/>
            <w:tcBorders>
              <w:bottom w:val="single" w:sz="8" w:color="E6ECFF"/>
            </w:tcBorders>
            <w:shd w:val="clear" w:color="auto" w:fill="E6ECFF"/>
          </w:tcPr>
          <w:p>
            <w:pPr>
              <w:spacing w:after="0"/>
              <w:rPr>
                <w:sz w:val="20"/>
                <w:szCs w:val="20"/>
                <w:color w:val="auto"/>
              </w:rPr>
            </w:pPr>
          </w:p>
        </w:tc>
        <w:tc>
          <w:tcPr>
            <w:tcW w:w="3680" w:type="dxa"/>
            <w:vAlign w:val="bottom"/>
            <w:tcBorders>
              <w:bottom w:val="single" w:sz="8" w:color="E6ECFF"/>
            </w:tcBorders>
            <w:gridSpan w:val="2"/>
            <w:shd w:val="clear" w:color="auto" w:fill="E6ECFF"/>
          </w:tcPr>
          <w:p>
            <w:pPr>
              <w:ind w:left="1280"/>
              <w:spacing w:after="0"/>
              <w:rPr>
                <w:sz w:val="20"/>
                <w:szCs w:val="20"/>
                <w:color w:val="auto"/>
              </w:rPr>
            </w:pPr>
            <w:r>
              <w:rPr>
                <w:rFonts w:ascii="Calibri" w:cs="Calibri" w:eastAsia="Calibri" w:hAnsi="Calibri"/>
                <w:sz w:val="17"/>
                <w:szCs w:val="17"/>
                <w:b w:val="1"/>
                <w:bCs w:val="1"/>
                <w:color w:val="1C4787"/>
              </w:rPr>
              <w:t>Payment Date</w:t>
            </w:r>
          </w:p>
        </w:tc>
        <w:tc>
          <w:tcPr>
            <w:tcW w:w="160" w:type="dxa"/>
            <w:vAlign w:val="bottom"/>
            <w:tcBorders>
              <w:bottom w:val="single" w:sz="8" w:color="E6ECFF"/>
            </w:tcBorders>
            <w:shd w:val="clear" w:color="auto" w:fill="E6ECFF"/>
          </w:tcPr>
          <w:p>
            <w:pPr>
              <w:spacing w:after="0"/>
              <w:rPr>
                <w:sz w:val="20"/>
                <w:szCs w:val="20"/>
                <w:color w:val="auto"/>
              </w:rPr>
            </w:pPr>
          </w:p>
        </w:tc>
        <w:tc>
          <w:tcPr>
            <w:tcW w:w="1520" w:type="dxa"/>
            <w:vAlign w:val="bottom"/>
            <w:tcBorders>
              <w:bottom w:val="single" w:sz="8" w:color="E6ECFF"/>
            </w:tcBorders>
            <w:gridSpan w:val="2"/>
            <w:shd w:val="clear" w:color="auto" w:fill="E6ECFF"/>
          </w:tcPr>
          <w:p>
            <w:pPr>
              <w:jc w:val="center"/>
              <w:ind w:right="280"/>
              <w:spacing w:after="0" w:line="205" w:lineRule="exact"/>
              <w:rPr>
                <w:sz w:val="20"/>
                <w:szCs w:val="20"/>
                <w:color w:val="auto"/>
              </w:rPr>
            </w:pPr>
            <w:r>
              <w:rPr>
                <w:rFonts w:ascii="Calibri" w:cs="Calibri" w:eastAsia="Calibri" w:hAnsi="Calibri"/>
                <w:sz w:val="17"/>
                <w:szCs w:val="17"/>
                <w:b w:val="1"/>
                <w:bCs w:val="1"/>
                <w:color w:val="1C4787"/>
                <w:w w:val="96"/>
              </w:rPr>
              <w:t>Preferred Share</w:t>
            </w:r>
          </w:p>
        </w:tc>
        <w:tc>
          <w:tcPr>
            <w:tcW w:w="300" w:type="dxa"/>
            <w:vAlign w:val="bottom"/>
            <w:tcBorders>
              <w:bottom w:val="single" w:sz="8" w:color="E6ECFF"/>
            </w:tcBorders>
            <w:shd w:val="clear" w:color="auto" w:fill="E6ECFF"/>
          </w:tcPr>
          <w:p>
            <w:pPr>
              <w:spacing w:after="0"/>
              <w:rPr>
                <w:sz w:val="20"/>
                <w:szCs w:val="20"/>
                <w:color w:val="auto"/>
              </w:rPr>
            </w:pPr>
          </w:p>
        </w:tc>
        <w:tc>
          <w:tcPr>
            <w:tcW w:w="1920" w:type="dxa"/>
            <w:vAlign w:val="bottom"/>
            <w:tcBorders>
              <w:bottom w:val="single" w:sz="8" w:color="E6ECFF"/>
            </w:tcBorders>
            <w:shd w:val="clear" w:color="auto" w:fill="E6ECFF"/>
          </w:tcPr>
          <w:p>
            <w:pPr>
              <w:jc w:val="center"/>
              <w:ind w:right="214"/>
              <w:spacing w:after="0" w:line="205" w:lineRule="exact"/>
              <w:rPr>
                <w:sz w:val="20"/>
                <w:szCs w:val="20"/>
                <w:color w:val="auto"/>
              </w:rPr>
            </w:pPr>
            <w:r>
              <w:rPr>
                <w:rFonts w:ascii="Calibri" w:cs="Calibri" w:eastAsia="Calibri" w:hAnsi="Calibri"/>
                <w:sz w:val="17"/>
                <w:szCs w:val="17"/>
                <w:b w:val="1"/>
                <w:bCs w:val="1"/>
                <w:color w:val="1C4787"/>
                <w:w w:val="97"/>
              </w:rPr>
              <w:t>holders of record</w:t>
            </w:r>
          </w:p>
        </w:tc>
      </w:tr>
      <w:tr>
        <w:trPr>
          <w:trHeight w:val="205"/>
        </w:trPr>
        <w:tc>
          <w:tcPr>
            <w:tcW w:w="354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January 15, 2023</w:t>
            </w:r>
          </w:p>
        </w:tc>
        <w:tc>
          <w:tcPr>
            <w:tcW w:w="120" w:type="dxa"/>
            <w:vAlign w:val="bottom"/>
          </w:tcPr>
          <w:p>
            <w:pPr>
              <w:spacing w:after="0"/>
              <w:rPr>
                <w:sz w:val="17"/>
                <w:szCs w:val="17"/>
                <w:color w:val="auto"/>
              </w:rPr>
            </w:pPr>
          </w:p>
        </w:tc>
        <w:tc>
          <w:tcPr>
            <w:tcW w:w="3560" w:type="dxa"/>
            <w:vAlign w:val="bottom"/>
            <w:tcBorders>
              <w:top w:val="single" w:sz="8" w:color="auto"/>
            </w:tcBorders>
          </w:tcPr>
          <w:p>
            <w:pPr>
              <w:spacing w:after="0" w:line="205" w:lineRule="exact"/>
              <w:rPr>
                <w:sz w:val="20"/>
                <w:szCs w:val="20"/>
                <w:color w:val="auto"/>
              </w:rPr>
            </w:pPr>
            <w:r>
              <w:rPr>
                <w:rFonts w:ascii="Calibri" w:cs="Calibri" w:eastAsia="Calibri" w:hAnsi="Calibri"/>
                <w:sz w:val="17"/>
                <w:szCs w:val="17"/>
                <w:color w:val="auto"/>
              </w:rPr>
              <w:t>January 27, 2023</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14"/>
              <w:spacing w:after="0" w:line="205" w:lineRule="exact"/>
              <w:rPr>
                <w:sz w:val="20"/>
                <w:szCs w:val="20"/>
                <w:color w:val="auto"/>
              </w:rPr>
            </w:pPr>
            <w:r>
              <w:rPr>
                <w:rFonts w:ascii="Calibri" w:cs="Calibri" w:eastAsia="Calibri" w:hAnsi="Calibri"/>
                <w:sz w:val="17"/>
                <w:szCs w:val="17"/>
                <w:color w:val="auto"/>
                <w:w w:val="92"/>
              </w:rPr>
              <w:t>$</w:t>
            </w:r>
          </w:p>
        </w:tc>
        <w:tc>
          <w:tcPr>
            <w:tcW w:w="192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998.5</w:t>
            </w:r>
          </w:p>
        </w:tc>
      </w:tr>
      <w:tr>
        <w:trPr>
          <w:trHeight w:val="226"/>
        </w:trPr>
        <w:tc>
          <w:tcPr>
            <w:tcW w:w="354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February 15, 2023</w:t>
            </w:r>
          </w:p>
        </w:tc>
        <w:tc>
          <w:tcPr>
            <w:tcW w:w="120" w:type="dxa"/>
            <w:vAlign w:val="bottom"/>
            <w:shd w:val="clear" w:color="auto" w:fill="E6ECFF"/>
          </w:tcPr>
          <w:p>
            <w:pPr>
              <w:spacing w:after="0"/>
              <w:rPr>
                <w:sz w:val="19"/>
                <w:szCs w:val="19"/>
                <w:color w:val="auto"/>
              </w:rPr>
            </w:pPr>
          </w:p>
        </w:tc>
        <w:tc>
          <w:tcPr>
            <w:tcW w:w="3680" w:type="dxa"/>
            <w:vAlign w:val="bottom"/>
            <w:gridSpan w:val="2"/>
            <w:shd w:val="clear" w:color="auto" w:fill="E6ECFF"/>
          </w:tcPr>
          <w:p>
            <w:pPr>
              <w:spacing w:after="0"/>
              <w:rPr>
                <w:sz w:val="20"/>
                <w:szCs w:val="20"/>
                <w:color w:val="auto"/>
              </w:rPr>
            </w:pPr>
            <w:r>
              <w:rPr>
                <w:rFonts w:ascii="Calibri" w:cs="Calibri" w:eastAsia="Calibri" w:hAnsi="Calibri"/>
                <w:sz w:val="17"/>
                <w:szCs w:val="17"/>
                <w:color w:val="auto"/>
              </w:rPr>
              <w:t>February 27, 2023</w:t>
            </w:r>
          </w:p>
        </w:tc>
        <w:tc>
          <w:tcPr>
            <w:tcW w:w="16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CFF"/>
          </w:tcPr>
          <w:p>
            <w:pPr>
              <w:spacing w:after="0"/>
              <w:rPr>
                <w:sz w:val="19"/>
                <w:szCs w:val="19"/>
                <w:color w:val="auto"/>
              </w:rPr>
            </w:pPr>
          </w:p>
        </w:tc>
        <w:tc>
          <w:tcPr>
            <w:tcW w:w="300" w:type="dxa"/>
            <w:vAlign w:val="bottom"/>
            <w:shd w:val="clear" w:color="auto" w:fill="E6ECFF"/>
          </w:tcPr>
          <w:p>
            <w:pPr>
              <w:spacing w:after="0"/>
              <w:rPr>
                <w:sz w:val="19"/>
                <w:szCs w:val="19"/>
                <w:color w:val="auto"/>
              </w:rPr>
            </w:pPr>
          </w:p>
        </w:tc>
        <w:tc>
          <w:tcPr>
            <w:tcW w:w="192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998.5</w:t>
            </w:r>
          </w:p>
        </w:tc>
      </w:tr>
      <w:tr>
        <w:trPr>
          <w:trHeight w:val="212"/>
        </w:trPr>
        <w:tc>
          <w:tcPr>
            <w:tcW w:w="3540" w:type="dxa"/>
            <w:vAlign w:val="bottom"/>
          </w:tcPr>
          <w:p>
            <w:pPr>
              <w:ind w:left="20"/>
              <w:spacing w:after="0" w:line="205" w:lineRule="exact"/>
              <w:rPr>
                <w:sz w:val="20"/>
                <w:szCs w:val="20"/>
                <w:color w:val="auto"/>
              </w:rPr>
            </w:pPr>
            <w:r>
              <w:rPr>
                <w:rFonts w:ascii="Calibri" w:cs="Calibri" w:eastAsia="Calibri" w:hAnsi="Calibri"/>
                <w:sz w:val="17"/>
                <w:szCs w:val="17"/>
                <w:color w:val="auto"/>
              </w:rPr>
              <w:t>March 15, 2023</w:t>
            </w:r>
          </w:p>
        </w:tc>
        <w:tc>
          <w:tcPr>
            <w:tcW w:w="120" w:type="dxa"/>
            <w:vAlign w:val="bottom"/>
          </w:tcPr>
          <w:p>
            <w:pPr>
              <w:spacing w:after="0"/>
              <w:rPr>
                <w:sz w:val="18"/>
                <w:szCs w:val="18"/>
                <w:color w:val="auto"/>
              </w:rPr>
            </w:pP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March 27, 2023</w:t>
            </w: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line="205" w:lineRule="exact"/>
              <w:rPr>
                <w:sz w:val="20"/>
                <w:szCs w:val="20"/>
                <w:color w:val="auto"/>
              </w:rPr>
            </w:pPr>
            <w:r>
              <w:rPr>
                <w:rFonts w:ascii="Calibri" w:cs="Calibri" w:eastAsia="Calibri" w:hAnsi="Calibri"/>
                <w:sz w:val="17"/>
                <w:szCs w:val="17"/>
                <w:color w:val="auto"/>
              </w:rPr>
              <w:t>998.5</w:t>
            </w:r>
          </w:p>
        </w:tc>
      </w:tr>
      <w:tr>
        <w:trPr>
          <w:trHeight w:val="226"/>
        </w:trPr>
        <w:tc>
          <w:tcPr>
            <w:tcW w:w="354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April 15, 2023</w:t>
            </w:r>
          </w:p>
        </w:tc>
        <w:tc>
          <w:tcPr>
            <w:tcW w:w="120" w:type="dxa"/>
            <w:vAlign w:val="bottom"/>
            <w:shd w:val="clear" w:color="auto" w:fill="E6ECFF"/>
          </w:tcPr>
          <w:p>
            <w:pPr>
              <w:spacing w:after="0"/>
              <w:rPr>
                <w:sz w:val="19"/>
                <w:szCs w:val="19"/>
                <w:color w:val="auto"/>
              </w:rPr>
            </w:pPr>
          </w:p>
        </w:tc>
        <w:tc>
          <w:tcPr>
            <w:tcW w:w="3680" w:type="dxa"/>
            <w:vAlign w:val="bottom"/>
            <w:gridSpan w:val="2"/>
            <w:shd w:val="clear" w:color="auto" w:fill="E6ECFF"/>
          </w:tcPr>
          <w:p>
            <w:pPr>
              <w:spacing w:after="0"/>
              <w:rPr>
                <w:sz w:val="20"/>
                <w:szCs w:val="20"/>
                <w:color w:val="auto"/>
              </w:rPr>
            </w:pPr>
            <w:r>
              <w:rPr>
                <w:rFonts w:ascii="Calibri" w:cs="Calibri" w:eastAsia="Calibri" w:hAnsi="Calibri"/>
                <w:sz w:val="17"/>
                <w:szCs w:val="17"/>
                <w:color w:val="auto"/>
              </w:rPr>
              <w:t>April 27, 2023</w:t>
            </w:r>
          </w:p>
        </w:tc>
        <w:tc>
          <w:tcPr>
            <w:tcW w:w="16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CFF"/>
          </w:tcPr>
          <w:p>
            <w:pPr>
              <w:spacing w:after="0"/>
              <w:rPr>
                <w:sz w:val="19"/>
                <w:szCs w:val="19"/>
                <w:color w:val="auto"/>
              </w:rPr>
            </w:pPr>
          </w:p>
        </w:tc>
        <w:tc>
          <w:tcPr>
            <w:tcW w:w="300" w:type="dxa"/>
            <w:vAlign w:val="bottom"/>
            <w:shd w:val="clear" w:color="auto" w:fill="E6ECFF"/>
          </w:tcPr>
          <w:p>
            <w:pPr>
              <w:spacing w:after="0"/>
              <w:rPr>
                <w:sz w:val="19"/>
                <w:szCs w:val="19"/>
                <w:color w:val="auto"/>
              </w:rPr>
            </w:pPr>
          </w:p>
        </w:tc>
        <w:tc>
          <w:tcPr>
            <w:tcW w:w="192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998.5</w:t>
            </w:r>
          </w:p>
        </w:tc>
      </w:tr>
      <w:tr>
        <w:trPr>
          <w:trHeight w:val="212"/>
        </w:trPr>
        <w:tc>
          <w:tcPr>
            <w:tcW w:w="3540" w:type="dxa"/>
            <w:vAlign w:val="bottom"/>
          </w:tcPr>
          <w:p>
            <w:pPr>
              <w:ind w:left="20"/>
              <w:spacing w:after="0" w:line="205" w:lineRule="exact"/>
              <w:rPr>
                <w:sz w:val="20"/>
                <w:szCs w:val="20"/>
                <w:color w:val="auto"/>
              </w:rPr>
            </w:pPr>
            <w:r>
              <w:rPr>
                <w:rFonts w:ascii="Calibri" w:cs="Calibri" w:eastAsia="Calibri" w:hAnsi="Calibri"/>
                <w:sz w:val="17"/>
                <w:szCs w:val="17"/>
                <w:color w:val="auto"/>
              </w:rPr>
              <w:t>May 15, 2023</w:t>
            </w:r>
          </w:p>
        </w:tc>
        <w:tc>
          <w:tcPr>
            <w:tcW w:w="120" w:type="dxa"/>
            <w:vAlign w:val="bottom"/>
          </w:tcPr>
          <w:p>
            <w:pPr>
              <w:spacing w:after="0"/>
              <w:rPr>
                <w:sz w:val="18"/>
                <w:szCs w:val="18"/>
                <w:color w:val="auto"/>
              </w:rPr>
            </w:pP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May 30, 2023</w:t>
            </w: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line="205" w:lineRule="exact"/>
              <w:rPr>
                <w:sz w:val="20"/>
                <w:szCs w:val="20"/>
                <w:color w:val="auto"/>
              </w:rPr>
            </w:pPr>
            <w:r>
              <w:rPr>
                <w:rFonts w:ascii="Calibri" w:cs="Calibri" w:eastAsia="Calibri" w:hAnsi="Calibri"/>
                <w:sz w:val="17"/>
                <w:szCs w:val="17"/>
                <w:color w:val="auto"/>
              </w:rPr>
              <w:t>998.5</w:t>
            </w:r>
          </w:p>
        </w:tc>
      </w:tr>
      <w:tr>
        <w:trPr>
          <w:trHeight w:val="226"/>
        </w:trPr>
        <w:tc>
          <w:tcPr>
            <w:tcW w:w="354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June 15, 2023</w:t>
            </w:r>
          </w:p>
        </w:tc>
        <w:tc>
          <w:tcPr>
            <w:tcW w:w="120" w:type="dxa"/>
            <w:vAlign w:val="bottom"/>
            <w:shd w:val="clear" w:color="auto" w:fill="E6ECFF"/>
          </w:tcPr>
          <w:p>
            <w:pPr>
              <w:spacing w:after="0"/>
              <w:rPr>
                <w:sz w:val="19"/>
                <w:szCs w:val="19"/>
                <w:color w:val="auto"/>
              </w:rPr>
            </w:pPr>
          </w:p>
        </w:tc>
        <w:tc>
          <w:tcPr>
            <w:tcW w:w="3680" w:type="dxa"/>
            <w:vAlign w:val="bottom"/>
            <w:gridSpan w:val="2"/>
            <w:shd w:val="clear" w:color="auto" w:fill="E6ECFF"/>
          </w:tcPr>
          <w:p>
            <w:pPr>
              <w:spacing w:after="0"/>
              <w:rPr>
                <w:sz w:val="20"/>
                <w:szCs w:val="20"/>
                <w:color w:val="auto"/>
              </w:rPr>
            </w:pPr>
            <w:r>
              <w:rPr>
                <w:rFonts w:ascii="Calibri" w:cs="Calibri" w:eastAsia="Calibri" w:hAnsi="Calibri"/>
                <w:sz w:val="17"/>
                <w:szCs w:val="17"/>
                <w:color w:val="auto"/>
              </w:rPr>
              <w:t>June 27, 2023</w:t>
            </w:r>
          </w:p>
        </w:tc>
        <w:tc>
          <w:tcPr>
            <w:tcW w:w="16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CFF"/>
          </w:tcPr>
          <w:p>
            <w:pPr>
              <w:spacing w:after="0"/>
              <w:rPr>
                <w:sz w:val="19"/>
                <w:szCs w:val="19"/>
                <w:color w:val="auto"/>
              </w:rPr>
            </w:pPr>
          </w:p>
        </w:tc>
        <w:tc>
          <w:tcPr>
            <w:tcW w:w="300" w:type="dxa"/>
            <w:vAlign w:val="bottom"/>
            <w:shd w:val="clear" w:color="auto" w:fill="E6ECFF"/>
          </w:tcPr>
          <w:p>
            <w:pPr>
              <w:spacing w:after="0"/>
              <w:rPr>
                <w:sz w:val="19"/>
                <w:szCs w:val="19"/>
                <w:color w:val="auto"/>
              </w:rPr>
            </w:pPr>
          </w:p>
        </w:tc>
        <w:tc>
          <w:tcPr>
            <w:tcW w:w="192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998.5</w:t>
            </w:r>
          </w:p>
        </w:tc>
      </w:tr>
      <w:tr>
        <w:trPr>
          <w:trHeight w:val="212"/>
        </w:trPr>
        <w:tc>
          <w:tcPr>
            <w:tcW w:w="3540" w:type="dxa"/>
            <w:vAlign w:val="bottom"/>
          </w:tcPr>
          <w:p>
            <w:pPr>
              <w:ind w:left="20"/>
              <w:spacing w:after="0" w:line="205" w:lineRule="exact"/>
              <w:rPr>
                <w:sz w:val="20"/>
                <w:szCs w:val="20"/>
                <w:color w:val="auto"/>
              </w:rPr>
            </w:pPr>
            <w:r>
              <w:rPr>
                <w:rFonts w:ascii="Calibri" w:cs="Calibri" w:eastAsia="Calibri" w:hAnsi="Calibri"/>
                <w:sz w:val="17"/>
                <w:szCs w:val="17"/>
                <w:color w:val="auto"/>
              </w:rPr>
              <w:t>July 15, 2023</w:t>
            </w:r>
          </w:p>
        </w:tc>
        <w:tc>
          <w:tcPr>
            <w:tcW w:w="120" w:type="dxa"/>
            <w:vAlign w:val="bottom"/>
          </w:tcPr>
          <w:p>
            <w:pPr>
              <w:spacing w:after="0"/>
              <w:rPr>
                <w:sz w:val="18"/>
                <w:szCs w:val="18"/>
                <w:color w:val="auto"/>
              </w:rPr>
            </w:pP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July 27, 2023</w:t>
            </w: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line="205" w:lineRule="exact"/>
              <w:rPr>
                <w:sz w:val="20"/>
                <w:szCs w:val="20"/>
                <w:color w:val="auto"/>
              </w:rPr>
            </w:pPr>
            <w:r>
              <w:rPr>
                <w:rFonts w:ascii="Calibri" w:cs="Calibri" w:eastAsia="Calibri" w:hAnsi="Calibri"/>
                <w:sz w:val="17"/>
                <w:szCs w:val="17"/>
                <w:color w:val="auto"/>
              </w:rPr>
              <w:t>998.5</w:t>
            </w:r>
          </w:p>
        </w:tc>
      </w:tr>
      <w:tr>
        <w:trPr>
          <w:trHeight w:val="226"/>
        </w:trPr>
        <w:tc>
          <w:tcPr>
            <w:tcW w:w="354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August 15, 2023</w:t>
            </w:r>
          </w:p>
        </w:tc>
        <w:tc>
          <w:tcPr>
            <w:tcW w:w="120" w:type="dxa"/>
            <w:vAlign w:val="bottom"/>
            <w:shd w:val="clear" w:color="auto" w:fill="E6ECFF"/>
          </w:tcPr>
          <w:p>
            <w:pPr>
              <w:spacing w:after="0"/>
              <w:rPr>
                <w:sz w:val="19"/>
                <w:szCs w:val="19"/>
                <w:color w:val="auto"/>
              </w:rPr>
            </w:pPr>
          </w:p>
        </w:tc>
        <w:tc>
          <w:tcPr>
            <w:tcW w:w="3680" w:type="dxa"/>
            <w:vAlign w:val="bottom"/>
            <w:gridSpan w:val="2"/>
            <w:shd w:val="clear" w:color="auto" w:fill="E6ECFF"/>
          </w:tcPr>
          <w:p>
            <w:pPr>
              <w:spacing w:after="0"/>
              <w:rPr>
                <w:sz w:val="20"/>
                <w:szCs w:val="20"/>
                <w:color w:val="auto"/>
              </w:rPr>
            </w:pPr>
            <w:r>
              <w:rPr>
                <w:rFonts w:ascii="Calibri" w:cs="Calibri" w:eastAsia="Calibri" w:hAnsi="Calibri"/>
                <w:sz w:val="17"/>
                <w:szCs w:val="17"/>
                <w:color w:val="auto"/>
              </w:rPr>
              <w:t>August 28, 2023</w:t>
            </w:r>
          </w:p>
        </w:tc>
        <w:tc>
          <w:tcPr>
            <w:tcW w:w="16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CFF"/>
          </w:tcPr>
          <w:p>
            <w:pPr>
              <w:spacing w:after="0"/>
              <w:rPr>
                <w:sz w:val="19"/>
                <w:szCs w:val="19"/>
                <w:color w:val="auto"/>
              </w:rPr>
            </w:pPr>
          </w:p>
        </w:tc>
        <w:tc>
          <w:tcPr>
            <w:tcW w:w="300" w:type="dxa"/>
            <w:vAlign w:val="bottom"/>
            <w:shd w:val="clear" w:color="auto" w:fill="E6ECFF"/>
          </w:tcPr>
          <w:p>
            <w:pPr>
              <w:spacing w:after="0"/>
              <w:rPr>
                <w:sz w:val="19"/>
                <w:szCs w:val="19"/>
                <w:color w:val="auto"/>
              </w:rPr>
            </w:pPr>
          </w:p>
        </w:tc>
        <w:tc>
          <w:tcPr>
            <w:tcW w:w="192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998.5</w:t>
            </w:r>
          </w:p>
        </w:tc>
      </w:tr>
      <w:tr>
        <w:trPr>
          <w:trHeight w:val="212"/>
        </w:trPr>
        <w:tc>
          <w:tcPr>
            <w:tcW w:w="3540" w:type="dxa"/>
            <w:vAlign w:val="bottom"/>
          </w:tcPr>
          <w:p>
            <w:pPr>
              <w:ind w:left="20"/>
              <w:spacing w:after="0" w:line="205" w:lineRule="exact"/>
              <w:rPr>
                <w:sz w:val="20"/>
                <w:szCs w:val="20"/>
                <w:color w:val="auto"/>
              </w:rPr>
            </w:pPr>
            <w:r>
              <w:rPr>
                <w:rFonts w:ascii="Calibri" w:cs="Calibri" w:eastAsia="Calibri" w:hAnsi="Calibri"/>
                <w:sz w:val="17"/>
                <w:szCs w:val="17"/>
                <w:color w:val="auto"/>
              </w:rPr>
              <w:t>September 15, 2023</w:t>
            </w:r>
          </w:p>
        </w:tc>
        <w:tc>
          <w:tcPr>
            <w:tcW w:w="120" w:type="dxa"/>
            <w:vAlign w:val="bottom"/>
          </w:tcPr>
          <w:p>
            <w:pPr>
              <w:spacing w:after="0"/>
              <w:rPr>
                <w:sz w:val="18"/>
                <w:szCs w:val="18"/>
                <w:color w:val="auto"/>
              </w:rPr>
            </w:pP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September 27, 2023</w:t>
            </w: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line="205" w:lineRule="exact"/>
              <w:rPr>
                <w:sz w:val="20"/>
                <w:szCs w:val="20"/>
                <w:color w:val="auto"/>
              </w:rPr>
            </w:pPr>
            <w:r>
              <w:rPr>
                <w:rFonts w:ascii="Calibri" w:cs="Calibri" w:eastAsia="Calibri" w:hAnsi="Calibri"/>
                <w:sz w:val="17"/>
                <w:szCs w:val="17"/>
                <w:color w:val="auto"/>
              </w:rPr>
              <w:t>998.5</w:t>
            </w:r>
          </w:p>
        </w:tc>
      </w:tr>
      <w:tr>
        <w:trPr>
          <w:trHeight w:val="226"/>
        </w:trPr>
        <w:tc>
          <w:tcPr>
            <w:tcW w:w="354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October 15, 2023</w:t>
            </w:r>
          </w:p>
        </w:tc>
        <w:tc>
          <w:tcPr>
            <w:tcW w:w="120" w:type="dxa"/>
            <w:vAlign w:val="bottom"/>
            <w:shd w:val="clear" w:color="auto" w:fill="E6ECFF"/>
          </w:tcPr>
          <w:p>
            <w:pPr>
              <w:spacing w:after="0"/>
              <w:rPr>
                <w:sz w:val="19"/>
                <w:szCs w:val="19"/>
                <w:color w:val="auto"/>
              </w:rPr>
            </w:pPr>
          </w:p>
        </w:tc>
        <w:tc>
          <w:tcPr>
            <w:tcW w:w="3680" w:type="dxa"/>
            <w:vAlign w:val="bottom"/>
            <w:gridSpan w:val="2"/>
            <w:shd w:val="clear" w:color="auto" w:fill="E6ECFF"/>
          </w:tcPr>
          <w:p>
            <w:pPr>
              <w:spacing w:after="0"/>
              <w:rPr>
                <w:sz w:val="20"/>
                <w:szCs w:val="20"/>
                <w:color w:val="auto"/>
              </w:rPr>
            </w:pPr>
            <w:r>
              <w:rPr>
                <w:rFonts w:ascii="Calibri" w:cs="Calibri" w:eastAsia="Calibri" w:hAnsi="Calibri"/>
                <w:sz w:val="17"/>
                <w:szCs w:val="17"/>
                <w:color w:val="auto"/>
              </w:rPr>
              <w:t>October 27, 2023</w:t>
            </w:r>
          </w:p>
        </w:tc>
        <w:tc>
          <w:tcPr>
            <w:tcW w:w="16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CFF"/>
          </w:tcPr>
          <w:p>
            <w:pPr>
              <w:spacing w:after="0"/>
              <w:rPr>
                <w:sz w:val="19"/>
                <w:szCs w:val="19"/>
                <w:color w:val="auto"/>
              </w:rPr>
            </w:pPr>
          </w:p>
        </w:tc>
        <w:tc>
          <w:tcPr>
            <w:tcW w:w="300" w:type="dxa"/>
            <w:vAlign w:val="bottom"/>
            <w:shd w:val="clear" w:color="auto" w:fill="E6ECFF"/>
          </w:tcPr>
          <w:p>
            <w:pPr>
              <w:spacing w:after="0"/>
              <w:rPr>
                <w:sz w:val="19"/>
                <w:szCs w:val="19"/>
                <w:color w:val="auto"/>
              </w:rPr>
            </w:pPr>
          </w:p>
        </w:tc>
        <w:tc>
          <w:tcPr>
            <w:tcW w:w="192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998.5</w:t>
            </w:r>
          </w:p>
        </w:tc>
      </w:tr>
      <w:tr>
        <w:trPr>
          <w:trHeight w:val="212"/>
        </w:trPr>
        <w:tc>
          <w:tcPr>
            <w:tcW w:w="3540" w:type="dxa"/>
            <w:vAlign w:val="bottom"/>
          </w:tcPr>
          <w:p>
            <w:pPr>
              <w:ind w:left="20"/>
              <w:spacing w:after="0" w:line="205" w:lineRule="exact"/>
              <w:rPr>
                <w:sz w:val="20"/>
                <w:szCs w:val="20"/>
                <w:color w:val="auto"/>
              </w:rPr>
            </w:pPr>
            <w:r>
              <w:rPr>
                <w:rFonts w:ascii="Calibri" w:cs="Calibri" w:eastAsia="Calibri" w:hAnsi="Calibri"/>
                <w:sz w:val="17"/>
                <w:szCs w:val="17"/>
                <w:color w:val="auto"/>
              </w:rPr>
              <w:t>November, 15, 2023</w:t>
            </w:r>
          </w:p>
        </w:tc>
        <w:tc>
          <w:tcPr>
            <w:tcW w:w="120" w:type="dxa"/>
            <w:vAlign w:val="bottom"/>
          </w:tcPr>
          <w:p>
            <w:pPr>
              <w:spacing w:after="0"/>
              <w:rPr>
                <w:sz w:val="18"/>
                <w:szCs w:val="18"/>
                <w:color w:val="auto"/>
              </w:rPr>
            </w:pP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November 27, 2023</w:t>
            </w: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line="205" w:lineRule="exact"/>
              <w:rPr>
                <w:sz w:val="20"/>
                <w:szCs w:val="20"/>
                <w:color w:val="auto"/>
              </w:rPr>
            </w:pPr>
            <w:r>
              <w:rPr>
                <w:rFonts w:ascii="Calibri" w:cs="Calibri" w:eastAsia="Calibri" w:hAnsi="Calibri"/>
                <w:sz w:val="17"/>
                <w:szCs w:val="17"/>
                <w:color w:val="auto"/>
              </w:rPr>
              <w:t>998.5</w:t>
            </w:r>
          </w:p>
        </w:tc>
      </w:tr>
      <w:tr>
        <w:trPr>
          <w:trHeight w:val="219"/>
        </w:trPr>
        <w:tc>
          <w:tcPr>
            <w:tcW w:w="354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December 15, 2023</w:t>
            </w:r>
          </w:p>
        </w:tc>
        <w:tc>
          <w:tcPr>
            <w:tcW w:w="120" w:type="dxa"/>
            <w:vAlign w:val="bottom"/>
            <w:shd w:val="clear" w:color="auto" w:fill="E6ECFF"/>
          </w:tcPr>
          <w:p>
            <w:pPr>
              <w:spacing w:after="0"/>
              <w:rPr>
                <w:sz w:val="19"/>
                <w:szCs w:val="19"/>
                <w:color w:val="auto"/>
              </w:rPr>
            </w:pPr>
          </w:p>
        </w:tc>
        <w:tc>
          <w:tcPr>
            <w:tcW w:w="3680" w:type="dxa"/>
            <w:vAlign w:val="bottom"/>
            <w:gridSpan w:val="2"/>
            <w:shd w:val="clear" w:color="auto" w:fill="E6ECFF"/>
          </w:tcPr>
          <w:p>
            <w:pPr>
              <w:spacing w:after="0"/>
              <w:rPr>
                <w:sz w:val="20"/>
                <w:szCs w:val="20"/>
                <w:color w:val="auto"/>
              </w:rPr>
            </w:pPr>
            <w:r>
              <w:rPr>
                <w:rFonts w:ascii="Calibri" w:cs="Calibri" w:eastAsia="Calibri" w:hAnsi="Calibri"/>
                <w:sz w:val="17"/>
                <w:szCs w:val="17"/>
                <w:color w:val="auto"/>
              </w:rPr>
              <w:t>December 27, 2023</w:t>
            </w:r>
          </w:p>
        </w:tc>
        <w:tc>
          <w:tcPr>
            <w:tcW w:w="16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C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CFF"/>
          </w:tcPr>
          <w:p>
            <w:pPr>
              <w:spacing w:after="0"/>
              <w:rPr>
                <w:sz w:val="19"/>
                <w:szCs w:val="19"/>
                <w:color w:val="auto"/>
              </w:rPr>
            </w:pPr>
          </w:p>
        </w:tc>
        <w:tc>
          <w:tcPr>
            <w:tcW w:w="300" w:type="dxa"/>
            <w:vAlign w:val="bottom"/>
            <w:tcBorders>
              <w:bottom w:val="single" w:sz="8" w:color="auto"/>
            </w:tcBorders>
            <w:shd w:val="clear" w:color="auto" w:fill="E6ECFF"/>
          </w:tcPr>
          <w:p>
            <w:pPr>
              <w:spacing w:after="0"/>
              <w:rPr>
                <w:sz w:val="19"/>
                <w:szCs w:val="19"/>
                <w:color w:val="auto"/>
              </w:rPr>
            </w:pPr>
          </w:p>
        </w:tc>
        <w:tc>
          <w:tcPr>
            <w:tcW w:w="1920" w:type="dxa"/>
            <w:vAlign w:val="bottom"/>
            <w:tcBorders>
              <w:bottom w:val="single" w:sz="8" w:color="auto"/>
            </w:tcBorders>
            <w:shd w:val="clear" w:color="auto" w:fill="E6ECFF"/>
          </w:tcPr>
          <w:p>
            <w:pPr>
              <w:jc w:val="right"/>
              <w:spacing w:after="0"/>
              <w:rPr>
                <w:sz w:val="20"/>
                <w:szCs w:val="20"/>
                <w:color w:val="auto"/>
              </w:rPr>
            </w:pPr>
            <w:r>
              <w:rPr>
                <w:rFonts w:ascii="Calibri" w:cs="Calibri" w:eastAsia="Calibri" w:hAnsi="Calibri"/>
                <w:sz w:val="17"/>
                <w:szCs w:val="17"/>
                <w:color w:val="auto"/>
              </w:rPr>
              <w:t>998.5</w:t>
            </w:r>
          </w:p>
        </w:tc>
      </w:tr>
      <w:tr>
        <w:trPr>
          <w:trHeight w:val="219"/>
        </w:trPr>
        <w:tc>
          <w:tcPr>
            <w:tcW w:w="3540" w:type="dxa"/>
            <w:vAlign w:val="bottom"/>
          </w:tcPr>
          <w:p>
            <w:pPr>
              <w:ind w:left="20"/>
              <w:spacing w:after="0"/>
              <w:rPr>
                <w:sz w:val="20"/>
                <w:szCs w:val="20"/>
                <w:color w:val="auto"/>
              </w:rPr>
            </w:pPr>
            <w:r>
              <w:rPr>
                <w:rFonts w:ascii="Calibri" w:cs="Calibri" w:eastAsia="Calibri" w:hAnsi="Calibri"/>
                <w:sz w:val="17"/>
                <w:szCs w:val="17"/>
                <w:color w:val="auto"/>
              </w:rPr>
              <w:t>Total dividends paid</w:t>
            </w: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line="205" w:lineRule="exact"/>
              <w:rPr>
                <w:sz w:val="20"/>
                <w:szCs w:val="20"/>
                <w:color w:val="auto"/>
              </w:rPr>
            </w:pPr>
            <w:r>
              <w:rPr>
                <w:rFonts w:ascii="Calibri" w:cs="Calibri" w:eastAsia="Calibri" w:hAnsi="Calibri"/>
                <w:sz w:val="17"/>
                <w:szCs w:val="17"/>
                <w:color w:val="auto"/>
                <w:w w:val="92"/>
              </w:rPr>
              <w:t>$</w:t>
            </w:r>
          </w:p>
        </w:tc>
        <w:tc>
          <w:tcPr>
            <w:tcW w:w="1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11,982</w:t>
            </w: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4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356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160" w:type="dxa"/>
            <w:vAlign w:val="bottom"/>
            <w:shd w:val="clear" w:color="auto" w:fill="E6EEFF"/>
          </w:tcPr>
          <w:p>
            <w:pPr>
              <w:spacing w:after="0"/>
              <w:rPr>
                <w:sz w:val="18"/>
                <w:szCs w:val="18"/>
                <w:color w:val="auto"/>
              </w:rPr>
            </w:pPr>
          </w:p>
        </w:tc>
        <w:tc>
          <w:tcPr>
            <w:tcW w:w="1520" w:type="dxa"/>
            <w:vAlign w:val="bottom"/>
            <w:gridSpan w:val="2"/>
            <w:shd w:val="clear" w:color="auto" w:fill="E6EEFF"/>
          </w:tcPr>
          <w:p>
            <w:pPr>
              <w:jc w:val="center"/>
              <w:ind w:right="280"/>
              <w:spacing w:after="0"/>
              <w:rPr>
                <w:sz w:val="20"/>
                <w:szCs w:val="20"/>
                <w:color w:val="auto"/>
              </w:rPr>
            </w:pPr>
            <w:r>
              <w:rPr>
                <w:rFonts w:ascii="Calibri" w:cs="Calibri" w:eastAsia="Calibri" w:hAnsi="Calibri"/>
                <w:sz w:val="17"/>
                <w:szCs w:val="17"/>
                <w:b w:val="1"/>
                <w:bCs w:val="1"/>
                <w:color w:val="1C4787"/>
                <w:w w:val="99"/>
              </w:rPr>
              <w:t>Rate per</w:t>
            </w:r>
          </w:p>
        </w:tc>
        <w:tc>
          <w:tcPr>
            <w:tcW w:w="300" w:type="dxa"/>
            <w:vAlign w:val="bottom"/>
            <w:shd w:val="clear" w:color="auto" w:fill="E6EEFF"/>
          </w:tcPr>
          <w:p>
            <w:pPr>
              <w:spacing w:after="0"/>
              <w:rPr>
                <w:sz w:val="18"/>
                <w:szCs w:val="18"/>
                <w:color w:val="auto"/>
              </w:rPr>
            </w:pPr>
          </w:p>
        </w:tc>
        <w:tc>
          <w:tcPr>
            <w:tcW w:w="1920" w:type="dxa"/>
            <w:vAlign w:val="bottom"/>
            <w:shd w:val="clear" w:color="auto" w:fill="E6EEFF"/>
          </w:tcPr>
          <w:p>
            <w:pPr>
              <w:jc w:val="center"/>
              <w:ind w:right="214"/>
              <w:spacing w:after="0"/>
              <w:rPr>
                <w:sz w:val="20"/>
                <w:szCs w:val="20"/>
                <w:color w:val="auto"/>
              </w:rPr>
            </w:pPr>
            <w:r>
              <w:rPr>
                <w:rFonts w:ascii="Calibri" w:cs="Calibri" w:eastAsia="Calibri" w:hAnsi="Calibri"/>
                <w:sz w:val="17"/>
                <w:szCs w:val="17"/>
                <w:b w:val="1"/>
                <w:bCs w:val="1"/>
                <w:color w:val="1C4787"/>
                <w:w w:val="97"/>
              </w:rPr>
              <w:t>Aggregate</w:t>
            </w:r>
          </w:p>
        </w:tc>
      </w:tr>
      <w:tr>
        <w:trPr>
          <w:trHeight w:val="168"/>
        </w:trPr>
        <w:tc>
          <w:tcPr>
            <w:tcW w:w="354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356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60" w:type="dxa"/>
            <w:vAlign w:val="bottom"/>
            <w:shd w:val="clear" w:color="auto" w:fill="E6EEFF"/>
          </w:tcPr>
          <w:p>
            <w:pPr>
              <w:spacing w:after="0"/>
              <w:rPr>
                <w:sz w:val="14"/>
                <w:szCs w:val="14"/>
                <w:color w:val="auto"/>
              </w:rPr>
            </w:pPr>
          </w:p>
        </w:tc>
        <w:tc>
          <w:tcPr>
            <w:tcW w:w="1520" w:type="dxa"/>
            <w:vAlign w:val="bottom"/>
            <w:gridSpan w:val="2"/>
            <w:shd w:val="clear" w:color="auto" w:fill="E6EEFF"/>
          </w:tcPr>
          <w:p>
            <w:pPr>
              <w:jc w:val="center"/>
              <w:ind w:right="280"/>
              <w:spacing w:after="0" w:line="167" w:lineRule="exact"/>
              <w:rPr>
                <w:sz w:val="20"/>
                <w:szCs w:val="20"/>
                <w:color w:val="auto"/>
              </w:rPr>
            </w:pPr>
            <w:r>
              <w:rPr>
                <w:rFonts w:ascii="Calibri" w:cs="Calibri" w:eastAsia="Calibri" w:hAnsi="Calibri"/>
                <w:sz w:val="17"/>
                <w:szCs w:val="17"/>
                <w:b w:val="1"/>
                <w:bCs w:val="1"/>
                <w:color w:val="1C4787"/>
              </w:rPr>
              <w:t>Series C</w:t>
            </w:r>
          </w:p>
        </w:tc>
        <w:tc>
          <w:tcPr>
            <w:tcW w:w="300" w:type="dxa"/>
            <w:vAlign w:val="bottom"/>
            <w:shd w:val="clear" w:color="auto" w:fill="E6EEFF"/>
          </w:tcPr>
          <w:p>
            <w:pPr>
              <w:spacing w:after="0"/>
              <w:rPr>
                <w:sz w:val="14"/>
                <w:szCs w:val="14"/>
                <w:color w:val="auto"/>
              </w:rPr>
            </w:pPr>
          </w:p>
        </w:tc>
        <w:tc>
          <w:tcPr>
            <w:tcW w:w="1920" w:type="dxa"/>
            <w:vAlign w:val="bottom"/>
            <w:shd w:val="clear" w:color="auto" w:fill="E6EEFF"/>
          </w:tcPr>
          <w:p>
            <w:pPr>
              <w:jc w:val="center"/>
              <w:ind w:right="214"/>
              <w:spacing w:after="0" w:line="167" w:lineRule="exact"/>
              <w:rPr>
                <w:sz w:val="20"/>
                <w:szCs w:val="20"/>
                <w:color w:val="auto"/>
              </w:rPr>
            </w:pPr>
            <w:r>
              <w:rPr>
                <w:rFonts w:ascii="Calibri" w:cs="Calibri" w:eastAsia="Calibri" w:hAnsi="Calibri"/>
                <w:sz w:val="17"/>
                <w:szCs w:val="17"/>
                <w:b w:val="1"/>
                <w:bCs w:val="1"/>
                <w:color w:val="1C4787"/>
                <w:w w:val="97"/>
              </w:rPr>
              <w:t>amount paid to</w:t>
            </w:r>
          </w:p>
        </w:tc>
      </w:tr>
      <w:tr>
        <w:trPr>
          <w:trHeight w:val="240"/>
        </w:trPr>
        <w:tc>
          <w:tcPr>
            <w:tcW w:w="3660" w:type="dxa"/>
            <w:vAlign w:val="bottom"/>
            <w:tcBorders>
              <w:bottom w:val="single" w:sz="8" w:color="E6EEFF"/>
            </w:tcBorders>
            <w:gridSpan w:val="2"/>
            <w:shd w:val="clear" w:color="auto" w:fill="E6EEFF"/>
          </w:tcPr>
          <w:p>
            <w:pPr>
              <w:ind w:left="1160"/>
              <w:spacing w:after="0"/>
              <w:rPr>
                <w:sz w:val="20"/>
                <w:szCs w:val="20"/>
                <w:color w:val="auto"/>
              </w:rPr>
            </w:pPr>
            <w:r>
              <w:rPr>
                <w:rFonts w:ascii="Calibri" w:cs="Calibri" w:eastAsia="Calibri" w:hAnsi="Calibri"/>
                <w:sz w:val="17"/>
                <w:szCs w:val="17"/>
                <w:b w:val="1"/>
                <w:bCs w:val="1"/>
                <w:color w:val="1C4787"/>
              </w:rPr>
              <w:t>2022 Record Date</w:t>
            </w:r>
          </w:p>
        </w:tc>
        <w:tc>
          <w:tcPr>
            <w:tcW w:w="3680" w:type="dxa"/>
            <w:vAlign w:val="bottom"/>
            <w:tcBorders>
              <w:bottom w:val="single" w:sz="8" w:color="E6EEFF"/>
            </w:tcBorders>
            <w:gridSpan w:val="2"/>
            <w:shd w:val="clear" w:color="auto" w:fill="E6EEFF"/>
          </w:tcPr>
          <w:p>
            <w:pPr>
              <w:ind w:left="1280"/>
              <w:spacing w:after="0"/>
              <w:rPr>
                <w:sz w:val="20"/>
                <w:szCs w:val="20"/>
                <w:color w:val="auto"/>
              </w:rPr>
            </w:pPr>
            <w:r>
              <w:rPr>
                <w:rFonts w:ascii="Calibri" w:cs="Calibri" w:eastAsia="Calibri" w:hAnsi="Calibri"/>
                <w:sz w:val="17"/>
                <w:szCs w:val="17"/>
                <w:b w:val="1"/>
                <w:bCs w:val="1"/>
                <w:color w:val="1C4787"/>
              </w:rPr>
              <w:t>Payment Date</w:t>
            </w:r>
          </w:p>
        </w:tc>
        <w:tc>
          <w:tcPr>
            <w:tcW w:w="160" w:type="dxa"/>
            <w:vAlign w:val="bottom"/>
            <w:tcBorders>
              <w:bottom w:val="single" w:sz="8" w:color="E6EEFF"/>
            </w:tcBorders>
            <w:shd w:val="clear" w:color="auto" w:fill="E6EEFF"/>
          </w:tcPr>
          <w:p>
            <w:pPr>
              <w:spacing w:after="0"/>
              <w:rPr>
                <w:sz w:val="20"/>
                <w:szCs w:val="20"/>
                <w:color w:val="auto"/>
              </w:rPr>
            </w:pPr>
          </w:p>
        </w:tc>
        <w:tc>
          <w:tcPr>
            <w:tcW w:w="1520" w:type="dxa"/>
            <w:vAlign w:val="bottom"/>
            <w:tcBorders>
              <w:bottom w:val="single" w:sz="8" w:color="E6EEFF"/>
            </w:tcBorders>
            <w:gridSpan w:val="2"/>
            <w:shd w:val="clear" w:color="auto" w:fill="E6EEFF"/>
          </w:tcPr>
          <w:p>
            <w:pPr>
              <w:jc w:val="center"/>
              <w:ind w:right="280"/>
              <w:spacing w:after="0" w:line="205" w:lineRule="exact"/>
              <w:rPr>
                <w:sz w:val="20"/>
                <w:szCs w:val="20"/>
                <w:color w:val="auto"/>
              </w:rPr>
            </w:pPr>
            <w:r>
              <w:rPr>
                <w:rFonts w:ascii="Calibri" w:cs="Calibri" w:eastAsia="Calibri" w:hAnsi="Calibri"/>
                <w:sz w:val="17"/>
                <w:szCs w:val="17"/>
                <w:b w:val="1"/>
                <w:bCs w:val="1"/>
                <w:color w:val="1C4787"/>
                <w:w w:val="96"/>
              </w:rPr>
              <w:t>Preferred Share</w:t>
            </w:r>
          </w:p>
        </w:tc>
        <w:tc>
          <w:tcPr>
            <w:tcW w:w="300" w:type="dxa"/>
            <w:vAlign w:val="bottom"/>
            <w:tcBorders>
              <w:bottom w:val="single" w:sz="8" w:color="E6EEFF"/>
            </w:tcBorders>
            <w:shd w:val="clear" w:color="auto" w:fill="E6EEFF"/>
          </w:tcPr>
          <w:p>
            <w:pPr>
              <w:spacing w:after="0"/>
              <w:rPr>
                <w:sz w:val="20"/>
                <w:szCs w:val="20"/>
                <w:color w:val="auto"/>
              </w:rPr>
            </w:pPr>
          </w:p>
        </w:tc>
        <w:tc>
          <w:tcPr>
            <w:tcW w:w="1920" w:type="dxa"/>
            <w:vAlign w:val="bottom"/>
            <w:tcBorders>
              <w:bottom w:val="single" w:sz="8" w:color="E6EEFF"/>
            </w:tcBorders>
            <w:shd w:val="clear" w:color="auto" w:fill="E6EEFF"/>
          </w:tcPr>
          <w:p>
            <w:pPr>
              <w:jc w:val="center"/>
              <w:ind w:right="214"/>
              <w:spacing w:after="0" w:line="205" w:lineRule="exact"/>
              <w:rPr>
                <w:sz w:val="20"/>
                <w:szCs w:val="20"/>
                <w:color w:val="auto"/>
              </w:rPr>
            </w:pPr>
            <w:r>
              <w:rPr>
                <w:rFonts w:ascii="Calibri" w:cs="Calibri" w:eastAsia="Calibri" w:hAnsi="Calibri"/>
                <w:sz w:val="17"/>
                <w:szCs w:val="17"/>
                <w:b w:val="1"/>
                <w:bCs w:val="1"/>
                <w:color w:val="1C4787"/>
                <w:w w:val="97"/>
              </w:rPr>
              <w:t>holders of record</w:t>
            </w:r>
          </w:p>
        </w:tc>
      </w:tr>
      <w:tr>
        <w:trPr>
          <w:trHeight w:val="205"/>
        </w:trPr>
        <w:tc>
          <w:tcPr>
            <w:tcW w:w="354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January 15, 2022</w:t>
            </w:r>
          </w:p>
        </w:tc>
        <w:tc>
          <w:tcPr>
            <w:tcW w:w="120" w:type="dxa"/>
            <w:vAlign w:val="bottom"/>
          </w:tcPr>
          <w:p>
            <w:pPr>
              <w:spacing w:after="0"/>
              <w:rPr>
                <w:sz w:val="17"/>
                <w:szCs w:val="17"/>
                <w:color w:val="auto"/>
              </w:rPr>
            </w:pPr>
          </w:p>
        </w:tc>
        <w:tc>
          <w:tcPr>
            <w:tcW w:w="3560" w:type="dxa"/>
            <w:vAlign w:val="bottom"/>
            <w:tcBorders>
              <w:top w:val="single" w:sz="8" w:color="auto"/>
            </w:tcBorders>
          </w:tcPr>
          <w:p>
            <w:pPr>
              <w:spacing w:after="0" w:line="205" w:lineRule="exact"/>
              <w:rPr>
                <w:sz w:val="20"/>
                <w:szCs w:val="20"/>
                <w:color w:val="auto"/>
              </w:rPr>
            </w:pPr>
            <w:r>
              <w:rPr>
                <w:rFonts w:ascii="Calibri" w:cs="Calibri" w:eastAsia="Calibri" w:hAnsi="Calibri"/>
                <w:sz w:val="17"/>
                <w:szCs w:val="17"/>
                <w:color w:val="auto"/>
              </w:rPr>
              <w:t>January 27, 2022</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998.5</w:t>
            </w:r>
          </w:p>
        </w:tc>
      </w:tr>
      <w:tr>
        <w:trPr>
          <w:trHeight w:val="226"/>
        </w:trPr>
        <w:tc>
          <w:tcPr>
            <w:tcW w:w="366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February 15, 2022</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February 28, 2022</w:t>
            </w:r>
          </w:p>
        </w:tc>
        <w:tc>
          <w:tcPr>
            <w:tcW w:w="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EFF"/>
          </w:tcPr>
          <w:p>
            <w:pPr>
              <w:spacing w:after="0"/>
              <w:rPr>
                <w:sz w:val="19"/>
                <w:szCs w:val="19"/>
                <w:color w:val="auto"/>
              </w:rPr>
            </w:pPr>
          </w:p>
        </w:tc>
        <w:tc>
          <w:tcPr>
            <w:tcW w:w="300" w:type="dxa"/>
            <w:vAlign w:val="bottom"/>
            <w:shd w:val="clear" w:color="auto" w:fill="E6EEFF"/>
          </w:tcPr>
          <w:p>
            <w:pPr>
              <w:spacing w:after="0"/>
              <w:rPr>
                <w:sz w:val="19"/>
                <w:szCs w:val="19"/>
                <w:color w:val="auto"/>
              </w:rPr>
            </w:pPr>
          </w:p>
        </w:tc>
        <w:tc>
          <w:tcPr>
            <w:tcW w:w="1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998.5</w:t>
            </w:r>
          </w:p>
        </w:tc>
      </w:tr>
      <w:tr>
        <w:trPr>
          <w:trHeight w:val="212"/>
        </w:trPr>
        <w:tc>
          <w:tcPr>
            <w:tcW w:w="366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March 15, 2022</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March 28, 2022</w:t>
            </w: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line="205" w:lineRule="exact"/>
              <w:rPr>
                <w:sz w:val="20"/>
                <w:szCs w:val="20"/>
                <w:color w:val="auto"/>
              </w:rPr>
            </w:pPr>
            <w:r>
              <w:rPr>
                <w:rFonts w:ascii="Calibri" w:cs="Calibri" w:eastAsia="Calibri" w:hAnsi="Calibri"/>
                <w:sz w:val="17"/>
                <w:szCs w:val="17"/>
                <w:color w:val="auto"/>
              </w:rPr>
              <w:t>998.5</w:t>
            </w:r>
          </w:p>
        </w:tc>
      </w:tr>
      <w:tr>
        <w:trPr>
          <w:trHeight w:val="226"/>
        </w:trPr>
        <w:tc>
          <w:tcPr>
            <w:tcW w:w="366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April 15, 2022</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April 27, 2022</w:t>
            </w:r>
          </w:p>
        </w:tc>
        <w:tc>
          <w:tcPr>
            <w:tcW w:w="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EFF"/>
          </w:tcPr>
          <w:p>
            <w:pPr>
              <w:spacing w:after="0"/>
              <w:rPr>
                <w:sz w:val="19"/>
                <w:szCs w:val="19"/>
                <w:color w:val="auto"/>
              </w:rPr>
            </w:pPr>
          </w:p>
        </w:tc>
        <w:tc>
          <w:tcPr>
            <w:tcW w:w="300" w:type="dxa"/>
            <w:vAlign w:val="bottom"/>
            <w:shd w:val="clear" w:color="auto" w:fill="E6EEFF"/>
          </w:tcPr>
          <w:p>
            <w:pPr>
              <w:spacing w:after="0"/>
              <w:rPr>
                <w:sz w:val="19"/>
                <w:szCs w:val="19"/>
                <w:color w:val="auto"/>
              </w:rPr>
            </w:pPr>
          </w:p>
        </w:tc>
        <w:tc>
          <w:tcPr>
            <w:tcW w:w="1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998.5</w:t>
            </w:r>
          </w:p>
        </w:tc>
      </w:tr>
      <w:tr>
        <w:trPr>
          <w:trHeight w:val="212"/>
        </w:trPr>
        <w:tc>
          <w:tcPr>
            <w:tcW w:w="366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May 15, 2022</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May 27, 2022</w:t>
            </w: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line="205" w:lineRule="exact"/>
              <w:rPr>
                <w:sz w:val="20"/>
                <w:szCs w:val="20"/>
                <w:color w:val="auto"/>
              </w:rPr>
            </w:pPr>
            <w:r>
              <w:rPr>
                <w:rFonts w:ascii="Calibri" w:cs="Calibri" w:eastAsia="Calibri" w:hAnsi="Calibri"/>
                <w:sz w:val="17"/>
                <w:szCs w:val="17"/>
                <w:color w:val="auto"/>
              </w:rPr>
              <w:t>998.5</w:t>
            </w:r>
          </w:p>
        </w:tc>
      </w:tr>
      <w:tr>
        <w:trPr>
          <w:trHeight w:val="226"/>
        </w:trPr>
        <w:tc>
          <w:tcPr>
            <w:tcW w:w="366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June 15, 2022</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June 27, 2022</w:t>
            </w:r>
          </w:p>
        </w:tc>
        <w:tc>
          <w:tcPr>
            <w:tcW w:w="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EFF"/>
          </w:tcPr>
          <w:p>
            <w:pPr>
              <w:spacing w:after="0"/>
              <w:rPr>
                <w:sz w:val="19"/>
                <w:szCs w:val="19"/>
                <w:color w:val="auto"/>
              </w:rPr>
            </w:pPr>
          </w:p>
        </w:tc>
        <w:tc>
          <w:tcPr>
            <w:tcW w:w="300" w:type="dxa"/>
            <w:vAlign w:val="bottom"/>
            <w:shd w:val="clear" w:color="auto" w:fill="E6EEFF"/>
          </w:tcPr>
          <w:p>
            <w:pPr>
              <w:spacing w:after="0"/>
              <w:rPr>
                <w:sz w:val="19"/>
                <w:szCs w:val="19"/>
                <w:color w:val="auto"/>
              </w:rPr>
            </w:pPr>
          </w:p>
        </w:tc>
        <w:tc>
          <w:tcPr>
            <w:tcW w:w="1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998.5</w:t>
            </w:r>
          </w:p>
        </w:tc>
      </w:tr>
      <w:tr>
        <w:trPr>
          <w:trHeight w:val="212"/>
        </w:trPr>
        <w:tc>
          <w:tcPr>
            <w:tcW w:w="366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July 15, 2022</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July 27, 2022</w:t>
            </w: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line="205" w:lineRule="exact"/>
              <w:rPr>
                <w:sz w:val="20"/>
                <w:szCs w:val="20"/>
                <w:color w:val="auto"/>
              </w:rPr>
            </w:pPr>
            <w:r>
              <w:rPr>
                <w:rFonts w:ascii="Calibri" w:cs="Calibri" w:eastAsia="Calibri" w:hAnsi="Calibri"/>
                <w:sz w:val="17"/>
                <w:szCs w:val="17"/>
                <w:color w:val="auto"/>
              </w:rPr>
              <w:t>998.5</w:t>
            </w:r>
          </w:p>
        </w:tc>
      </w:tr>
      <w:tr>
        <w:trPr>
          <w:trHeight w:val="226"/>
        </w:trPr>
        <w:tc>
          <w:tcPr>
            <w:tcW w:w="366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August 15, 2022</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August 29, 2022</w:t>
            </w:r>
          </w:p>
        </w:tc>
        <w:tc>
          <w:tcPr>
            <w:tcW w:w="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EFF"/>
          </w:tcPr>
          <w:p>
            <w:pPr>
              <w:spacing w:after="0"/>
              <w:rPr>
                <w:sz w:val="19"/>
                <w:szCs w:val="19"/>
                <w:color w:val="auto"/>
              </w:rPr>
            </w:pPr>
          </w:p>
        </w:tc>
        <w:tc>
          <w:tcPr>
            <w:tcW w:w="300" w:type="dxa"/>
            <w:vAlign w:val="bottom"/>
            <w:shd w:val="clear" w:color="auto" w:fill="E6EEFF"/>
          </w:tcPr>
          <w:p>
            <w:pPr>
              <w:spacing w:after="0"/>
              <w:rPr>
                <w:sz w:val="19"/>
                <w:szCs w:val="19"/>
                <w:color w:val="auto"/>
              </w:rPr>
            </w:pPr>
          </w:p>
        </w:tc>
        <w:tc>
          <w:tcPr>
            <w:tcW w:w="1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998.5</w:t>
            </w:r>
          </w:p>
        </w:tc>
      </w:tr>
      <w:tr>
        <w:trPr>
          <w:trHeight w:val="212"/>
        </w:trPr>
        <w:tc>
          <w:tcPr>
            <w:tcW w:w="366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September 15, 2022</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September 27, 2022</w:t>
            </w: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line="205" w:lineRule="exact"/>
              <w:rPr>
                <w:sz w:val="20"/>
                <w:szCs w:val="20"/>
                <w:color w:val="auto"/>
              </w:rPr>
            </w:pPr>
            <w:r>
              <w:rPr>
                <w:rFonts w:ascii="Calibri" w:cs="Calibri" w:eastAsia="Calibri" w:hAnsi="Calibri"/>
                <w:sz w:val="17"/>
                <w:szCs w:val="17"/>
                <w:color w:val="auto"/>
              </w:rPr>
              <w:t>998.5</w:t>
            </w:r>
          </w:p>
        </w:tc>
      </w:tr>
      <w:tr>
        <w:trPr>
          <w:trHeight w:val="226"/>
        </w:trPr>
        <w:tc>
          <w:tcPr>
            <w:tcW w:w="366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October 15, 2022</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October 27, 2022</w:t>
            </w:r>
          </w:p>
        </w:tc>
        <w:tc>
          <w:tcPr>
            <w:tcW w:w="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EFF"/>
          </w:tcPr>
          <w:p>
            <w:pPr>
              <w:spacing w:after="0"/>
              <w:rPr>
                <w:sz w:val="19"/>
                <w:szCs w:val="19"/>
                <w:color w:val="auto"/>
              </w:rPr>
            </w:pPr>
          </w:p>
        </w:tc>
        <w:tc>
          <w:tcPr>
            <w:tcW w:w="300" w:type="dxa"/>
            <w:vAlign w:val="bottom"/>
            <w:shd w:val="clear" w:color="auto" w:fill="E6EEFF"/>
          </w:tcPr>
          <w:p>
            <w:pPr>
              <w:spacing w:after="0"/>
              <w:rPr>
                <w:sz w:val="19"/>
                <w:szCs w:val="19"/>
                <w:color w:val="auto"/>
              </w:rPr>
            </w:pPr>
          </w:p>
        </w:tc>
        <w:tc>
          <w:tcPr>
            <w:tcW w:w="1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998.5</w:t>
            </w:r>
          </w:p>
        </w:tc>
      </w:tr>
      <w:tr>
        <w:trPr>
          <w:trHeight w:val="212"/>
        </w:trPr>
        <w:tc>
          <w:tcPr>
            <w:tcW w:w="366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November 15, 2022</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November 28, 2022</w:t>
            </w: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line="205" w:lineRule="exact"/>
              <w:rPr>
                <w:sz w:val="20"/>
                <w:szCs w:val="20"/>
                <w:color w:val="auto"/>
              </w:rPr>
            </w:pPr>
            <w:r>
              <w:rPr>
                <w:rFonts w:ascii="Calibri" w:cs="Calibri" w:eastAsia="Calibri" w:hAnsi="Calibri"/>
                <w:sz w:val="17"/>
                <w:szCs w:val="17"/>
                <w:color w:val="auto"/>
              </w:rPr>
              <w:t>998.5</w:t>
            </w:r>
          </w:p>
        </w:tc>
      </w:tr>
      <w:tr>
        <w:trPr>
          <w:trHeight w:val="219"/>
        </w:trPr>
        <w:tc>
          <w:tcPr>
            <w:tcW w:w="366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December 15, 2022</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December 27, 2022</w:t>
            </w:r>
          </w:p>
        </w:tc>
        <w:tc>
          <w:tcPr>
            <w:tcW w:w="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EFF"/>
          </w:tcPr>
          <w:p>
            <w:pPr>
              <w:spacing w:after="0"/>
              <w:rPr>
                <w:sz w:val="19"/>
                <w:szCs w:val="19"/>
                <w:color w:val="auto"/>
              </w:rPr>
            </w:pPr>
          </w:p>
        </w:tc>
        <w:tc>
          <w:tcPr>
            <w:tcW w:w="300" w:type="dxa"/>
            <w:vAlign w:val="bottom"/>
            <w:tcBorders>
              <w:bottom w:val="single" w:sz="8" w:color="auto"/>
            </w:tcBorders>
            <w:shd w:val="clear" w:color="auto" w:fill="E6EEFF"/>
          </w:tcPr>
          <w:p>
            <w:pPr>
              <w:spacing w:after="0"/>
              <w:rPr>
                <w:sz w:val="19"/>
                <w:szCs w:val="19"/>
                <w:color w:val="auto"/>
              </w:rPr>
            </w:pPr>
          </w:p>
        </w:tc>
        <w:tc>
          <w:tcPr>
            <w:tcW w:w="192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998.5</w:t>
            </w:r>
          </w:p>
        </w:tc>
      </w:tr>
      <w:tr>
        <w:trPr>
          <w:trHeight w:val="219"/>
        </w:trPr>
        <w:tc>
          <w:tcPr>
            <w:tcW w:w="3660" w:type="dxa"/>
            <w:vAlign w:val="bottom"/>
            <w:gridSpan w:val="2"/>
          </w:tcPr>
          <w:p>
            <w:pPr>
              <w:ind w:left="20"/>
              <w:spacing w:after="0"/>
              <w:rPr>
                <w:sz w:val="20"/>
                <w:szCs w:val="20"/>
                <w:color w:val="auto"/>
              </w:rPr>
            </w:pPr>
            <w:r>
              <w:rPr>
                <w:rFonts w:ascii="Calibri" w:cs="Calibri" w:eastAsia="Calibri" w:hAnsi="Calibri"/>
                <w:sz w:val="17"/>
                <w:szCs w:val="17"/>
                <w:color w:val="auto"/>
              </w:rPr>
              <w:t>Total dividends paid</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line="205" w:lineRule="exact"/>
              <w:rPr>
                <w:sz w:val="20"/>
                <w:szCs w:val="20"/>
                <w:color w:val="auto"/>
              </w:rPr>
            </w:pPr>
            <w:r>
              <w:rPr>
                <w:rFonts w:ascii="Calibri" w:cs="Calibri" w:eastAsia="Calibri" w:hAnsi="Calibri"/>
                <w:sz w:val="17"/>
                <w:szCs w:val="17"/>
                <w:color w:val="auto"/>
                <w:w w:val="92"/>
              </w:rPr>
              <w:t>$</w:t>
            </w:r>
          </w:p>
        </w:tc>
        <w:tc>
          <w:tcPr>
            <w:tcW w:w="1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11,982</w:t>
            </w: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305"/>
        </w:trPr>
        <w:tc>
          <w:tcPr>
            <w:tcW w:w="3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-752475</wp:posOffset>
            </wp:positionV>
            <wp:extent cx="458470" cy="5073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04" w:name="page105"/>
    <w:bookmarkEnd w:id="104"/>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tbl>
      <w:tblPr>
        <w:tblLayout w:type="fixed"/>
        <w:tblInd w:w="0" w:type="dxa"/>
        <w:tblCellMar>
          <w:top w:w="0" w:type="dxa"/>
          <w:left w:w="0" w:type="dxa"/>
          <w:bottom w:w="0" w:type="dxa"/>
          <w:right w:w="0" w:type="dxa"/>
        </w:tblCellMar>
      </w:tblPr>
      <w:tr>
        <w:trPr>
          <w:trHeight w:val="206"/>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gridSpan w:val="2"/>
          </w:tcPr>
          <w:p>
            <w:pPr>
              <w:jc w:val="right"/>
              <w:ind w:right="20"/>
              <w:spacing w:after="0" w:line="206" w:lineRule="exact"/>
              <w:rPr>
                <w:sz w:val="20"/>
                <w:szCs w:val="20"/>
                <w:color w:val="auto"/>
              </w:rPr>
            </w:pPr>
            <w:r>
              <w:rPr>
                <w:rFonts w:ascii="Calibri" w:cs="Calibri" w:eastAsia="Calibri" w:hAnsi="Calibri"/>
                <w:sz w:val="17"/>
                <w:szCs w:val="17"/>
                <w:color w:val="1C4787"/>
              </w:rPr>
              <w:t>103</w:t>
            </w:r>
          </w:p>
        </w:tc>
        <w:tc>
          <w:tcPr>
            <w:tcW w:w="0" w:type="dxa"/>
            <w:vAlign w:val="bottom"/>
          </w:tcPr>
          <w:p>
            <w:pPr>
              <w:spacing w:after="0"/>
              <w:rPr>
                <w:sz w:val="1"/>
                <w:szCs w:val="1"/>
                <w:color w:val="auto"/>
              </w:rPr>
            </w:pPr>
          </w:p>
        </w:tc>
      </w:tr>
      <w:tr>
        <w:trPr>
          <w:trHeight w:val="56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54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356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60" w:type="dxa"/>
            <w:vAlign w:val="bottom"/>
            <w:shd w:val="clear" w:color="auto" w:fill="E6EEFF"/>
          </w:tcPr>
          <w:p>
            <w:pPr>
              <w:spacing w:after="0"/>
              <w:rPr>
                <w:sz w:val="14"/>
                <w:szCs w:val="14"/>
                <w:color w:val="auto"/>
              </w:rPr>
            </w:pPr>
          </w:p>
        </w:tc>
        <w:tc>
          <w:tcPr>
            <w:tcW w:w="1520" w:type="dxa"/>
            <w:vAlign w:val="bottom"/>
            <w:gridSpan w:val="2"/>
            <w:shd w:val="clear" w:color="auto" w:fill="E6EEFF"/>
          </w:tcPr>
          <w:p>
            <w:pPr>
              <w:jc w:val="center"/>
              <w:ind w:right="280"/>
              <w:spacing w:after="0" w:line="173" w:lineRule="exact"/>
              <w:rPr>
                <w:sz w:val="20"/>
                <w:szCs w:val="20"/>
                <w:color w:val="auto"/>
              </w:rPr>
            </w:pPr>
            <w:r>
              <w:rPr>
                <w:rFonts w:ascii="Calibri" w:cs="Calibri" w:eastAsia="Calibri" w:hAnsi="Calibri"/>
                <w:sz w:val="17"/>
                <w:szCs w:val="17"/>
                <w:b w:val="1"/>
                <w:bCs w:val="1"/>
                <w:color w:val="1C4787"/>
                <w:w w:val="99"/>
              </w:rPr>
              <w:t>Rate per</w:t>
            </w:r>
          </w:p>
        </w:tc>
        <w:tc>
          <w:tcPr>
            <w:tcW w:w="300" w:type="dxa"/>
            <w:vAlign w:val="bottom"/>
            <w:shd w:val="clear" w:color="auto" w:fill="E6EEFF"/>
          </w:tcPr>
          <w:p>
            <w:pPr>
              <w:spacing w:after="0"/>
              <w:rPr>
                <w:sz w:val="14"/>
                <w:szCs w:val="14"/>
                <w:color w:val="auto"/>
              </w:rPr>
            </w:pPr>
          </w:p>
        </w:tc>
        <w:tc>
          <w:tcPr>
            <w:tcW w:w="1920" w:type="dxa"/>
            <w:vAlign w:val="bottom"/>
            <w:shd w:val="clear" w:color="auto" w:fill="E6EEFF"/>
          </w:tcPr>
          <w:p>
            <w:pPr>
              <w:jc w:val="center"/>
              <w:ind w:right="214"/>
              <w:spacing w:after="0" w:line="173" w:lineRule="exact"/>
              <w:rPr>
                <w:sz w:val="20"/>
                <w:szCs w:val="20"/>
                <w:color w:val="auto"/>
              </w:rPr>
            </w:pPr>
            <w:r>
              <w:rPr>
                <w:rFonts w:ascii="Calibri" w:cs="Calibri" w:eastAsia="Calibri" w:hAnsi="Calibri"/>
                <w:sz w:val="17"/>
                <w:szCs w:val="17"/>
                <w:b w:val="1"/>
                <w:bCs w:val="1"/>
                <w:color w:val="1C4787"/>
                <w:w w:val="97"/>
              </w:rPr>
              <w:t>Aggregate</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356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60" w:type="dxa"/>
            <w:vAlign w:val="bottom"/>
            <w:shd w:val="clear" w:color="auto" w:fill="E6EEFF"/>
          </w:tcPr>
          <w:p>
            <w:pPr>
              <w:spacing w:after="0"/>
              <w:rPr>
                <w:sz w:val="14"/>
                <w:szCs w:val="14"/>
                <w:color w:val="auto"/>
              </w:rPr>
            </w:pPr>
          </w:p>
        </w:tc>
        <w:tc>
          <w:tcPr>
            <w:tcW w:w="1520" w:type="dxa"/>
            <w:vAlign w:val="bottom"/>
            <w:gridSpan w:val="2"/>
            <w:shd w:val="clear" w:color="auto" w:fill="E6EEFF"/>
          </w:tcPr>
          <w:p>
            <w:pPr>
              <w:jc w:val="center"/>
              <w:ind w:right="280"/>
              <w:spacing w:after="0" w:line="167" w:lineRule="exact"/>
              <w:rPr>
                <w:sz w:val="20"/>
                <w:szCs w:val="20"/>
                <w:color w:val="auto"/>
              </w:rPr>
            </w:pPr>
            <w:r>
              <w:rPr>
                <w:rFonts w:ascii="Calibri" w:cs="Calibri" w:eastAsia="Calibri" w:hAnsi="Calibri"/>
                <w:sz w:val="17"/>
                <w:szCs w:val="17"/>
                <w:b w:val="1"/>
                <w:bCs w:val="1"/>
                <w:color w:val="1C4787"/>
              </w:rPr>
              <w:t>Series C</w:t>
            </w:r>
          </w:p>
        </w:tc>
        <w:tc>
          <w:tcPr>
            <w:tcW w:w="300" w:type="dxa"/>
            <w:vAlign w:val="bottom"/>
            <w:shd w:val="clear" w:color="auto" w:fill="E6EEFF"/>
          </w:tcPr>
          <w:p>
            <w:pPr>
              <w:spacing w:after="0"/>
              <w:rPr>
                <w:sz w:val="14"/>
                <w:szCs w:val="14"/>
                <w:color w:val="auto"/>
              </w:rPr>
            </w:pPr>
          </w:p>
        </w:tc>
        <w:tc>
          <w:tcPr>
            <w:tcW w:w="1920" w:type="dxa"/>
            <w:vAlign w:val="bottom"/>
            <w:shd w:val="clear" w:color="auto" w:fill="E6EEFF"/>
          </w:tcPr>
          <w:p>
            <w:pPr>
              <w:jc w:val="center"/>
              <w:ind w:right="214"/>
              <w:spacing w:after="0" w:line="167" w:lineRule="exact"/>
              <w:rPr>
                <w:sz w:val="20"/>
                <w:szCs w:val="20"/>
                <w:color w:val="auto"/>
              </w:rPr>
            </w:pPr>
            <w:r>
              <w:rPr>
                <w:rFonts w:ascii="Calibri" w:cs="Calibri" w:eastAsia="Calibri" w:hAnsi="Calibri"/>
                <w:sz w:val="17"/>
                <w:szCs w:val="17"/>
                <w:b w:val="1"/>
                <w:bCs w:val="1"/>
                <w:color w:val="1C4787"/>
                <w:w w:val="97"/>
              </w:rPr>
              <w:t>amount paid to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660" w:type="dxa"/>
            <w:vAlign w:val="bottom"/>
            <w:tcBorders>
              <w:bottom w:val="single" w:sz="8" w:color="E6EEFF"/>
            </w:tcBorders>
            <w:gridSpan w:val="2"/>
            <w:shd w:val="clear" w:color="auto" w:fill="E6EEFF"/>
          </w:tcPr>
          <w:p>
            <w:pPr>
              <w:ind w:left="1160"/>
              <w:spacing w:after="0" w:line="205" w:lineRule="exact"/>
              <w:rPr>
                <w:sz w:val="20"/>
                <w:szCs w:val="20"/>
                <w:color w:val="auto"/>
              </w:rPr>
            </w:pPr>
            <w:r>
              <w:rPr>
                <w:rFonts w:ascii="Calibri" w:cs="Calibri" w:eastAsia="Calibri" w:hAnsi="Calibri"/>
                <w:sz w:val="17"/>
                <w:szCs w:val="17"/>
                <w:b w:val="1"/>
                <w:bCs w:val="1"/>
                <w:color w:val="1C4787"/>
              </w:rPr>
              <w:t>2021 Record Date</w:t>
            </w:r>
          </w:p>
        </w:tc>
        <w:tc>
          <w:tcPr>
            <w:tcW w:w="3680" w:type="dxa"/>
            <w:vAlign w:val="bottom"/>
            <w:tcBorders>
              <w:bottom w:val="single" w:sz="8" w:color="E6EEFF"/>
            </w:tcBorders>
            <w:gridSpan w:val="2"/>
            <w:shd w:val="clear" w:color="auto" w:fill="E6EEFF"/>
          </w:tcPr>
          <w:p>
            <w:pPr>
              <w:ind w:left="1280"/>
              <w:spacing w:after="0" w:line="205" w:lineRule="exact"/>
              <w:rPr>
                <w:sz w:val="20"/>
                <w:szCs w:val="20"/>
                <w:color w:val="auto"/>
              </w:rPr>
            </w:pPr>
            <w:r>
              <w:rPr>
                <w:rFonts w:ascii="Calibri" w:cs="Calibri" w:eastAsia="Calibri" w:hAnsi="Calibri"/>
                <w:sz w:val="17"/>
                <w:szCs w:val="17"/>
                <w:b w:val="1"/>
                <w:bCs w:val="1"/>
                <w:color w:val="1C4787"/>
              </w:rPr>
              <w:t>Payment Date</w:t>
            </w:r>
          </w:p>
        </w:tc>
        <w:tc>
          <w:tcPr>
            <w:tcW w:w="160" w:type="dxa"/>
            <w:vAlign w:val="bottom"/>
            <w:tcBorders>
              <w:bottom w:val="single" w:sz="8" w:color="E6EEFF"/>
            </w:tcBorders>
            <w:shd w:val="clear" w:color="auto" w:fill="E6EEFF"/>
          </w:tcPr>
          <w:p>
            <w:pPr>
              <w:spacing w:after="0"/>
              <w:rPr>
                <w:sz w:val="19"/>
                <w:szCs w:val="19"/>
                <w:color w:val="auto"/>
              </w:rPr>
            </w:pPr>
          </w:p>
        </w:tc>
        <w:tc>
          <w:tcPr>
            <w:tcW w:w="1520" w:type="dxa"/>
            <w:vAlign w:val="bottom"/>
            <w:tcBorders>
              <w:bottom w:val="single" w:sz="8" w:color="E6EEFF"/>
            </w:tcBorders>
            <w:gridSpan w:val="2"/>
            <w:shd w:val="clear" w:color="auto" w:fill="E6EEFF"/>
          </w:tcPr>
          <w:p>
            <w:pPr>
              <w:jc w:val="center"/>
              <w:ind w:right="280"/>
              <w:spacing w:after="0" w:line="205" w:lineRule="exact"/>
              <w:rPr>
                <w:sz w:val="20"/>
                <w:szCs w:val="20"/>
                <w:color w:val="auto"/>
              </w:rPr>
            </w:pPr>
            <w:r>
              <w:rPr>
                <w:rFonts w:ascii="Calibri" w:cs="Calibri" w:eastAsia="Calibri" w:hAnsi="Calibri"/>
                <w:sz w:val="17"/>
                <w:szCs w:val="17"/>
                <w:b w:val="1"/>
                <w:bCs w:val="1"/>
                <w:color w:val="1C4787"/>
                <w:w w:val="96"/>
              </w:rPr>
              <w:t>Preferred Share</w:t>
            </w:r>
          </w:p>
        </w:tc>
        <w:tc>
          <w:tcPr>
            <w:tcW w:w="300" w:type="dxa"/>
            <w:vAlign w:val="bottom"/>
            <w:tcBorders>
              <w:bottom w:val="single" w:sz="8" w:color="E6EEFF"/>
            </w:tcBorders>
            <w:shd w:val="clear" w:color="auto" w:fill="E6EEFF"/>
          </w:tcPr>
          <w:p>
            <w:pPr>
              <w:spacing w:after="0"/>
              <w:rPr>
                <w:sz w:val="19"/>
                <w:szCs w:val="19"/>
                <w:color w:val="auto"/>
              </w:rPr>
            </w:pPr>
          </w:p>
        </w:tc>
        <w:tc>
          <w:tcPr>
            <w:tcW w:w="1920" w:type="dxa"/>
            <w:vAlign w:val="bottom"/>
            <w:tcBorders>
              <w:bottom w:val="single" w:sz="8" w:color="E6EEFF"/>
            </w:tcBorders>
            <w:shd w:val="clear" w:color="auto" w:fill="E6EEFF"/>
          </w:tcPr>
          <w:p>
            <w:pPr>
              <w:jc w:val="center"/>
              <w:ind w:right="214"/>
              <w:spacing w:after="0" w:line="205" w:lineRule="exact"/>
              <w:rPr>
                <w:sz w:val="20"/>
                <w:szCs w:val="20"/>
                <w:color w:val="auto"/>
              </w:rPr>
            </w:pPr>
            <w:r>
              <w:rPr>
                <w:rFonts w:ascii="Calibri" w:cs="Calibri" w:eastAsia="Calibri" w:hAnsi="Calibri"/>
                <w:sz w:val="17"/>
                <w:szCs w:val="17"/>
                <w:b w:val="1"/>
                <w:bCs w:val="1"/>
                <w:color w:val="1C4787"/>
                <w:w w:val="97"/>
              </w:rPr>
              <w:t>holders of record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54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January 15, 2021</w:t>
            </w:r>
          </w:p>
        </w:tc>
        <w:tc>
          <w:tcPr>
            <w:tcW w:w="120" w:type="dxa"/>
            <w:vAlign w:val="bottom"/>
          </w:tcPr>
          <w:p>
            <w:pPr>
              <w:spacing w:after="0"/>
              <w:rPr>
                <w:sz w:val="17"/>
                <w:szCs w:val="17"/>
                <w:color w:val="auto"/>
              </w:rPr>
            </w:pPr>
          </w:p>
        </w:tc>
        <w:tc>
          <w:tcPr>
            <w:tcW w:w="3560" w:type="dxa"/>
            <w:vAlign w:val="bottom"/>
            <w:tcBorders>
              <w:top w:val="single" w:sz="8" w:color="auto"/>
            </w:tcBorders>
          </w:tcPr>
          <w:p>
            <w:pPr>
              <w:spacing w:after="0" w:line="205" w:lineRule="exact"/>
              <w:rPr>
                <w:sz w:val="20"/>
                <w:szCs w:val="20"/>
                <w:color w:val="auto"/>
              </w:rPr>
            </w:pPr>
            <w:r>
              <w:rPr>
                <w:rFonts w:ascii="Calibri" w:cs="Calibri" w:eastAsia="Calibri" w:hAnsi="Calibri"/>
                <w:sz w:val="17"/>
                <w:szCs w:val="17"/>
                <w:color w:val="auto"/>
              </w:rPr>
              <w:t>January 27, 2021</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14"/>
              <w:spacing w:after="0" w:line="205" w:lineRule="exact"/>
              <w:rPr>
                <w:sz w:val="20"/>
                <w:szCs w:val="20"/>
                <w:color w:val="auto"/>
              </w:rPr>
            </w:pPr>
            <w:r>
              <w:rPr>
                <w:rFonts w:ascii="Calibri" w:cs="Calibri" w:eastAsia="Calibri" w:hAnsi="Calibri"/>
                <w:sz w:val="17"/>
                <w:szCs w:val="17"/>
                <w:color w:val="auto"/>
                <w:w w:val="92"/>
              </w:rPr>
              <w:t>$</w:t>
            </w:r>
          </w:p>
        </w:tc>
        <w:tc>
          <w:tcPr>
            <w:tcW w:w="192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779.7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6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February 15, 2021</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February 26, 2021</w:t>
            </w:r>
          </w:p>
        </w:tc>
        <w:tc>
          <w:tcPr>
            <w:tcW w:w="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EFF"/>
          </w:tcPr>
          <w:p>
            <w:pPr>
              <w:spacing w:after="0"/>
              <w:rPr>
                <w:sz w:val="19"/>
                <w:szCs w:val="19"/>
                <w:color w:val="auto"/>
              </w:rPr>
            </w:pPr>
          </w:p>
        </w:tc>
        <w:tc>
          <w:tcPr>
            <w:tcW w:w="300" w:type="dxa"/>
            <w:vAlign w:val="bottom"/>
            <w:shd w:val="clear" w:color="auto" w:fill="E6EEFF"/>
          </w:tcPr>
          <w:p>
            <w:pPr>
              <w:spacing w:after="0"/>
              <w:rPr>
                <w:sz w:val="19"/>
                <w:szCs w:val="19"/>
                <w:color w:val="auto"/>
              </w:rPr>
            </w:pPr>
          </w:p>
        </w:tc>
        <w:tc>
          <w:tcPr>
            <w:tcW w:w="1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836.9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6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March 15, 2021</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March 29, 2021</w:t>
            </w: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line="205" w:lineRule="exact"/>
              <w:rPr>
                <w:sz w:val="20"/>
                <w:szCs w:val="20"/>
                <w:color w:val="auto"/>
              </w:rPr>
            </w:pPr>
            <w:r>
              <w:rPr>
                <w:rFonts w:ascii="Calibri" w:cs="Calibri" w:eastAsia="Calibri" w:hAnsi="Calibri"/>
                <w:sz w:val="17"/>
                <w:szCs w:val="17"/>
                <w:color w:val="auto"/>
              </w:rPr>
              <w:t>869.6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6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April 15, 2021</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April 27, 2021</w:t>
            </w:r>
          </w:p>
        </w:tc>
        <w:tc>
          <w:tcPr>
            <w:tcW w:w="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EFF"/>
          </w:tcPr>
          <w:p>
            <w:pPr>
              <w:spacing w:after="0"/>
              <w:rPr>
                <w:sz w:val="19"/>
                <w:szCs w:val="19"/>
                <w:color w:val="auto"/>
              </w:rPr>
            </w:pPr>
          </w:p>
        </w:tc>
        <w:tc>
          <w:tcPr>
            <w:tcW w:w="300" w:type="dxa"/>
            <w:vAlign w:val="bottom"/>
            <w:shd w:val="clear" w:color="auto" w:fill="E6EEFF"/>
          </w:tcPr>
          <w:p>
            <w:pPr>
              <w:spacing w:after="0"/>
              <w:rPr>
                <w:sz w:val="19"/>
                <w:szCs w:val="19"/>
                <w:color w:val="auto"/>
              </w:rPr>
            </w:pPr>
          </w:p>
        </w:tc>
        <w:tc>
          <w:tcPr>
            <w:tcW w:w="1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6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May 15, 2021</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May 27, 2021</w:t>
            </w: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line="205" w:lineRule="exact"/>
              <w:rPr>
                <w:sz w:val="20"/>
                <w:szCs w:val="20"/>
                <w:color w:val="auto"/>
              </w:rPr>
            </w:pPr>
            <w:r>
              <w:rPr>
                <w:rFonts w:ascii="Calibri" w:cs="Calibri" w:eastAsia="Calibri" w:hAnsi="Calibri"/>
                <w:sz w:val="17"/>
                <w:szCs w:val="17"/>
                <w:color w:val="auto"/>
              </w:rPr>
              <w:t>998.5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6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June 15, 2021</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June 28, 2021</w:t>
            </w:r>
          </w:p>
        </w:tc>
        <w:tc>
          <w:tcPr>
            <w:tcW w:w="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EFF"/>
          </w:tcPr>
          <w:p>
            <w:pPr>
              <w:spacing w:after="0"/>
              <w:rPr>
                <w:sz w:val="19"/>
                <w:szCs w:val="19"/>
                <w:color w:val="auto"/>
              </w:rPr>
            </w:pPr>
          </w:p>
        </w:tc>
        <w:tc>
          <w:tcPr>
            <w:tcW w:w="300" w:type="dxa"/>
            <w:vAlign w:val="bottom"/>
            <w:shd w:val="clear" w:color="auto" w:fill="E6EEFF"/>
          </w:tcPr>
          <w:p>
            <w:pPr>
              <w:spacing w:after="0"/>
              <w:rPr>
                <w:sz w:val="19"/>
                <w:szCs w:val="19"/>
                <w:color w:val="auto"/>
              </w:rPr>
            </w:pPr>
          </w:p>
        </w:tc>
        <w:tc>
          <w:tcPr>
            <w:tcW w:w="1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6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July 15, 2021</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July 27, 2021</w:t>
            </w: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line="205" w:lineRule="exact"/>
              <w:rPr>
                <w:sz w:val="20"/>
                <w:szCs w:val="20"/>
                <w:color w:val="auto"/>
              </w:rPr>
            </w:pPr>
            <w:r>
              <w:rPr>
                <w:rFonts w:ascii="Calibri" w:cs="Calibri" w:eastAsia="Calibri" w:hAnsi="Calibri"/>
                <w:sz w:val="17"/>
                <w:szCs w:val="17"/>
                <w:color w:val="auto"/>
              </w:rPr>
              <w:t>998.5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6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August 15, 2021</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August 27, 2021</w:t>
            </w:r>
          </w:p>
        </w:tc>
        <w:tc>
          <w:tcPr>
            <w:tcW w:w="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EFF"/>
          </w:tcPr>
          <w:p>
            <w:pPr>
              <w:spacing w:after="0"/>
              <w:rPr>
                <w:sz w:val="19"/>
                <w:szCs w:val="19"/>
                <w:color w:val="auto"/>
              </w:rPr>
            </w:pPr>
          </w:p>
        </w:tc>
        <w:tc>
          <w:tcPr>
            <w:tcW w:w="300" w:type="dxa"/>
            <w:vAlign w:val="bottom"/>
            <w:shd w:val="clear" w:color="auto" w:fill="E6EEFF"/>
          </w:tcPr>
          <w:p>
            <w:pPr>
              <w:spacing w:after="0"/>
              <w:rPr>
                <w:sz w:val="19"/>
                <w:szCs w:val="19"/>
                <w:color w:val="auto"/>
              </w:rPr>
            </w:pPr>
          </w:p>
        </w:tc>
        <w:tc>
          <w:tcPr>
            <w:tcW w:w="1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6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September 15, 2021</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September 27, 2021</w:t>
            </w: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line="205" w:lineRule="exact"/>
              <w:rPr>
                <w:sz w:val="20"/>
                <w:szCs w:val="20"/>
                <w:color w:val="auto"/>
              </w:rPr>
            </w:pPr>
            <w:r>
              <w:rPr>
                <w:rFonts w:ascii="Calibri" w:cs="Calibri" w:eastAsia="Calibri" w:hAnsi="Calibri"/>
                <w:sz w:val="17"/>
                <w:szCs w:val="17"/>
                <w:color w:val="auto"/>
              </w:rPr>
              <w:t>998.5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6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October 15, 2021</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October 27, 2021</w:t>
            </w:r>
          </w:p>
        </w:tc>
        <w:tc>
          <w:tcPr>
            <w:tcW w:w="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EFF"/>
          </w:tcPr>
          <w:p>
            <w:pPr>
              <w:spacing w:after="0"/>
              <w:rPr>
                <w:sz w:val="19"/>
                <w:szCs w:val="19"/>
                <w:color w:val="auto"/>
              </w:rPr>
            </w:pPr>
          </w:p>
        </w:tc>
        <w:tc>
          <w:tcPr>
            <w:tcW w:w="300" w:type="dxa"/>
            <w:vAlign w:val="bottom"/>
            <w:shd w:val="clear" w:color="auto" w:fill="E6EEFF"/>
          </w:tcPr>
          <w:p>
            <w:pPr>
              <w:spacing w:after="0"/>
              <w:rPr>
                <w:sz w:val="19"/>
                <w:szCs w:val="19"/>
                <w:color w:val="auto"/>
              </w:rPr>
            </w:pPr>
          </w:p>
        </w:tc>
        <w:tc>
          <w:tcPr>
            <w:tcW w:w="19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6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November 15, 2021</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November 29, 2021</w:t>
            </w:r>
          </w:p>
        </w:tc>
        <w:tc>
          <w:tcPr>
            <w:tcW w:w="16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00" w:type="dxa"/>
            <w:vAlign w:val="bottom"/>
          </w:tcPr>
          <w:p>
            <w:pPr>
              <w:jc w:val="right"/>
              <w:spacing w:after="0" w:line="205" w:lineRule="exact"/>
              <w:rPr>
                <w:sz w:val="20"/>
                <w:szCs w:val="20"/>
                <w:color w:val="auto"/>
              </w:rPr>
            </w:pPr>
            <w:r>
              <w:rPr>
                <w:rFonts w:ascii="Calibri" w:cs="Calibri" w:eastAsia="Calibri" w:hAnsi="Calibri"/>
                <w:sz w:val="17"/>
                <w:szCs w:val="17"/>
                <w:color w:val="auto"/>
              </w:rPr>
              <w:t>0.14583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line="205" w:lineRule="exact"/>
              <w:rPr>
                <w:sz w:val="20"/>
                <w:szCs w:val="20"/>
                <w:color w:val="auto"/>
              </w:rPr>
            </w:pPr>
            <w:r>
              <w:rPr>
                <w:rFonts w:ascii="Calibri" w:cs="Calibri" w:eastAsia="Calibri" w:hAnsi="Calibri"/>
                <w:sz w:val="17"/>
                <w:szCs w:val="17"/>
                <w:color w:val="auto"/>
              </w:rPr>
              <w:t>998.5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6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December 15, 2021</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December 27, 2021</w:t>
            </w:r>
          </w:p>
        </w:tc>
        <w:tc>
          <w:tcPr>
            <w:tcW w:w="1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0.14583</w:t>
            </w:r>
          </w:p>
        </w:tc>
        <w:tc>
          <w:tcPr>
            <w:tcW w:w="120" w:type="dxa"/>
            <w:vAlign w:val="bottom"/>
            <w:shd w:val="clear" w:color="auto" w:fill="E6EEFF"/>
          </w:tcPr>
          <w:p>
            <w:pPr>
              <w:spacing w:after="0"/>
              <w:rPr>
                <w:sz w:val="19"/>
                <w:szCs w:val="19"/>
                <w:color w:val="auto"/>
              </w:rPr>
            </w:pPr>
          </w:p>
        </w:tc>
        <w:tc>
          <w:tcPr>
            <w:tcW w:w="300" w:type="dxa"/>
            <w:vAlign w:val="bottom"/>
            <w:tcBorders>
              <w:bottom w:val="single" w:sz="8" w:color="auto"/>
            </w:tcBorders>
            <w:shd w:val="clear" w:color="auto" w:fill="E6EEFF"/>
          </w:tcPr>
          <w:p>
            <w:pPr>
              <w:spacing w:after="0"/>
              <w:rPr>
                <w:sz w:val="19"/>
                <w:szCs w:val="19"/>
                <w:color w:val="auto"/>
              </w:rPr>
            </w:pPr>
          </w:p>
        </w:tc>
        <w:tc>
          <w:tcPr>
            <w:tcW w:w="192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998.5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gridSpan w:val="2"/>
          </w:tcPr>
          <w:p>
            <w:pPr>
              <w:ind w:left="20"/>
              <w:spacing w:after="0"/>
              <w:rPr>
                <w:sz w:val="20"/>
                <w:szCs w:val="20"/>
                <w:color w:val="auto"/>
              </w:rPr>
            </w:pPr>
            <w:r>
              <w:rPr>
                <w:rFonts w:ascii="Calibri" w:cs="Calibri" w:eastAsia="Calibri" w:hAnsi="Calibri"/>
                <w:sz w:val="17"/>
                <w:szCs w:val="17"/>
                <w:color w:val="auto"/>
              </w:rPr>
              <w:t>Total dividends paid</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line="205" w:lineRule="exact"/>
              <w:rPr>
                <w:sz w:val="20"/>
                <w:szCs w:val="20"/>
                <w:color w:val="auto"/>
              </w:rPr>
            </w:pPr>
            <w:r>
              <w:rPr>
                <w:rFonts w:ascii="Calibri" w:cs="Calibri" w:eastAsia="Calibri" w:hAnsi="Calibri"/>
                <w:sz w:val="17"/>
                <w:szCs w:val="17"/>
                <w:color w:val="auto"/>
                <w:w w:val="92"/>
              </w:rPr>
              <w:t>$</w:t>
            </w:r>
          </w:p>
        </w:tc>
        <w:tc>
          <w:tcPr>
            <w:tcW w:w="1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620"/>
        <w:spacing w:after="0"/>
        <w:rPr>
          <w:sz w:val="20"/>
          <w:szCs w:val="20"/>
          <w:color w:val="auto"/>
        </w:rPr>
      </w:pPr>
      <w:r>
        <w:rPr>
          <w:rFonts w:ascii="Calibri" w:cs="Calibri" w:eastAsia="Calibri" w:hAnsi="Calibri"/>
          <w:sz w:val="16"/>
          <w:szCs w:val="16"/>
          <w:color w:val="auto"/>
        </w:rPr>
        <w:t>The following tables present our common stock dividend transactons for the years ended December 31, 2023, December 31, 2022 and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56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356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120" w:type="dxa"/>
            <w:vAlign w:val="bottom"/>
            <w:shd w:val="clear" w:color="auto" w:fill="E6EEFF"/>
          </w:tcPr>
          <w:p>
            <w:pPr>
              <w:spacing w:after="0"/>
              <w:rPr>
                <w:sz w:val="18"/>
                <w:szCs w:val="18"/>
                <w:color w:val="auto"/>
              </w:rPr>
            </w:pPr>
          </w:p>
        </w:tc>
        <w:tc>
          <w:tcPr>
            <w:tcW w:w="1420" w:type="dxa"/>
            <w:vAlign w:val="bottom"/>
            <w:shd w:val="clear" w:color="auto" w:fill="E6EEFF"/>
          </w:tcPr>
          <w:p>
            <w:pPr>
              <w:spacing w:after="0"/>
              <w:rPr>
                <w:sz w:val="18"/>
                <w:szCs w:val="18"/>
                <w:color w:val="auto"/>
              </w:rPr>
            </w:pPr>
          </w:p>
        </w:tc>
        <w:tc>
          <w:tcPr>
            <w:tcW w:w="100" w:type="dxa"/>
            <w:vAlign w:val="bottom"/>
            <w:shd w:val="clear" w:color="auto" w:fill="E6EEFF"/>
          </w:tcPr>
          <w:p>
            <w:pPr>
              <w:spacing w:after="0"/>
              <w:rPr>
                <w:sz w:val="18"/>
                <w:szCs w:val="18"/>
                <w:color w:val="auto"/>
              </w:rPr>
            </w:pPr>
          </w:p>
        </w:tc>
        <w:tc>
          <w:tcPr>
            <w:tcW w:w="320" w:type="dxa"/>
            <w:vAlign w:val="bottom"/>
            <w:shd w:val="clear" w:color="auto" w:fill="E6EEFF"/>
          </w:tcPr>
          <w:p>
            <w:pPr>
              <w:spacing w:after="0"/>
              <w:rPr>
                <w:sz w:val="18"/>
                <w:szCs w:val="18"/>
                <w:color w:val="auto"/>
              </w:rPr>
            </w:pPr>
          </w:p>
        </w:tc>
        <w:tc>
          <w:tcPr>
            <w:tcW w:w="1900" w:type="dxa"/>
            <w:vAlign w:val="bottom"/>
            <w:shd w:val="clear" w:color="auto" w:fill="E6EEFF"/>
          </w:tcPr>
          <w:p>
            <w:pPr>
              <w:jc w:val="center"/>
              <w:ind w:right="234"/>
              <w:spacing w:after="0"/>
              <w:rPr>
                <w:sz w:val="20"/>
                <w:szCs w:val="20"/>
                <w:color w:val="auto"/>
              </w:rPr>
            </w:pPr>
            <w:r>
              <w:rPr>
                <w:rFonts w:ascii="Calibri" w:cs="Calibri" w:eastAsia="Calibri" w:hAnsi="Calibri"/>
                <w:sz w:val="17"/>
                <w:szCs w:val="17"/>
                <w:b w:val="1"/>
                <w:bCs w:val="1"/>
                <w:color w:val="1C4787"/>
                <w:w w:val="97"/>
              </w:rPr>
              <w:t>Aggregate</w:t>
            </w:r>
          </w:p>
        </w:tc>
      </w:tr>
      <w:tr>
        <w:trPr>
          <w:trHeight w:val="168"/>
        </w:trPr>
        <w:tc>
          <w:tcPr>
            <w:tcW w:w="20" w:type="dxa"/>
            <w:vAlign w:val="bottom"/>
          </w:tcPr>
          <w:p>
            <w:pPr>
              <w:spacing w:after="0"/>
              <w:rPr>
                <w:sz w:val="14"/>
                <w:szCs w:val="14"/>
                <w:color w:val="auto"/>
              </w:rPr>
            </w:pPr>
          </w:p>
        </w:tc>
        <w:tc>
          <w:tcPr>
            <w:tcW w:w="356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356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520" w:type="dxa"/>
            <w:vAlign w:val="bottom"/>
            <w:gridSpan w:val="2"/>
            <w:shd w:val="clear" w:color="auto" w:fill="E6EEFF"/>
          </w:tcPr>
          <w:p>
            <w:pPr>
              <w:jc w:val="center"/>
              <w:ind w:right="240"/>
              <w:spacing w:after="0" w:line="167" w:lineRule="exact"/>
              <w:rPr>
                <w:sz w:val="20"/>
                <w:szCs w:val="20"/>
                <w:color w:val="auto"/>
              </w:rPr>
            </w:pPr>
            <w:r>
              <w:rPr>
                <w:rFonts w:ascii="Calibri" w:cs="Calibri" w:eastAsia="Calibri" w:hAnsi="Calibri"/>
                <w:sz w:val="17"/>
                <w:szCs w:val="17"/>
                <w:b w:val="1"/>
                <w:bCs w:val="1"/>
                <w:color w:val="1C4787"/>
                <w:w w:val="98"/>
              </w:rPr>
              <w:t>Rate per common</w:t>
            </w:r>
          </w:p>
        </w:tc>
        <w:tc>
          <w:tcPr>
            <w:tcW w:w="320" w:type="dxa"/>
            <w:vAlign w:val="bottom"/>
            <w:shd w:val="clear" w:color="auto" w:fill="E6EEFF"/>
          </w:tcPr>
          <w:p>
            <w:pPr>
              <w:spacing w:after="0"/>
              <w:rPr>
                <w:sz w:val="14"/>
                <w:szCs w:val="14"/>
                <w:color w:val="auto"/>
              </w:rPr>
            </w:pPr>
          </w:p>
        </w:tc>
        <w:tc>
          <w:tcPr>
            <w:tcW w:w="1900" w:type="dxa"/>
            <w:vAlign w:val="bottom"/>
            <w:shd w:val="clear" w:color="auto" w:fill="E6EEFF"/>
          </w:tcPr>
          <w:p>
            <w:pPr>
              <w:jc w:val="center"/>
              <w:ind w:right="234"/>
              <w:spacing w:after="0" w:line="167" w:lineRule="exact"/>
              <w:rPr>
                <w:sz w:val="20"/>
                <w:szCs w:val="20"/>
                <w:color w:val="auto"/>
              </w:rPr>
            </w:pPr>
            <w:r>
              <w:rPr>
                <w:rFonts w:ascii="Calibri" w:cs="Calibri" w:eastAsia="Calibri" w:hAnsi="Calibri"/>
                <w:sz w:val="17"/>
                <w:szCs w:val="17"/>
                <w:b w:val="1"/>
                <w:bCs w:val="1"/>
                <w:color w:val="1C4787"/>
                <w:w w:val="97"/>
              </w:rPr>
              <w:t>amount paid to</w:t>
            </w:r>
          </w:p>
        </w:tc>
      </w:tr>
      <w:tr>
        <w:trPr>
          <w:trHeight w:val="240"/>
        </w:trPr>
        <w:tc>
          <w:tcPr>
            <w:tcW w:w="20" w:type="dxa"/>
            <w:vAlign w:val="bottom"/>
          </w:tcPr>
          <w:p>
            <w:pPr>
              <w:spacing w:after="0"/>
              <w:rPr>
                <w:sz w:val="20"/>
                <w:szCs w:val="20"/>
                <w:color w:val="auto"/>
              </w:rPr>
            </w:pPr>
          </w:p>
        </w:tc>
        <w:tc>
          <w:tcPr>
            <w:tcW w:w="3680" w:type="dxa"/>
            <w:vAlign w:val="bottom"/>
            <w:tcBorders>
              <w:bottom w:val="single" w:sz="8" w:color="E6EEFF"/>
            </w:tcBorders>
            <w:gridSpan w:val="2"/>
            <w:shd w:val="clear" w:color="auto" w:fill="E6EEFF"/>
          </w:tcPr>
          <w:p>
            <w:pPr>
              <w:ind w:left="1160"/>
              <w:spacing w:after="0"/>
              <w:rPr>
                <w:sz w:val="20"/>
                <w:szCs w:val="20"/>
                <w:color w:val="auto"/>
              </w:rPr>
            </w:pPr>
            <w:r>
              <w:rPr>
                <w:rFonts w:ascii="Calibri" w:cs="Calibri" w:eastAsia="Calibri" w:hAnsi="Calibri"/>
                <w:sz w:val="17"/>
                <w:szCs w:val="17"/>
                <w:b w:val="1"/>
                <w:bCs w:val="1"/>
                <w:color w:val="1C4787"/>
              </w:rPr>
              <w:t>2023 Record Date</w:t>
            </w:r>
          </w:p>
        </w:tc>
        <w:tc>
          <w:tcPr>
            <w:tcW w:w="3680" w:type="dxa"/>
            <w:vAlign w:val="bottom"/>
            <w:tcBorders>
              <w:bottom w:val="single" w:sz="8" w:color="E6EEFF"/>
            </w:tcBorders>
            <w:gridSpan w:val="2"/>
            <w:shd w:val="clear" w:color="auto" w:fill="E6EEFF"/>
          </w:tcPr>
          <w:p>
            <w:pPr>
              <w:ind w:left="1280"/>
              <w:spacing w:after="0"/>
              <w:rPr>
                <w:sz w:val="20"/>
                <w:szCs w:val="20"/>
                <w:color w:val="auto"/>
              </w:rPr>
            </w:pPr>
            <w:r>
              <w:rPr>
                <w:rFonts w:ascii="Calibri" w:cs="Calibri" w:eastAsia="Calibri" w:hAnsi="Calibri"/>
                <w:sz w:val="17"/>
                <w:szCs w:val="17"/>
                <w:b w:val="1"/>
                <w:bCs w:val="1"/>
                <w:color w:val="1C4787"/>
              </w:rPr>
              <w:t>Payment Date</w:t>
            </w:r>
          </w:p>
        </w:tc>
        <w:tc>
          <w:tcPr>
            <w:tcW w:w="120" w:type="dxa"/>
            <w:vAlign w:val="bottom"/>
            <w:tcBorders>
              <w:bottom w:val="single" w:sz="8" w:color="E6EEFF"/>
            </w:tcBorders>
            <w:shd w:val="clear" w:color="auto" w:fill="E6EEFF"/>
          </w:tcPr>
          <w:p>
            <w:pPr>
              <w:spacing w:after="0"/>
              <w:rPr>
                <w:sz w:val="20"/>
                <w:szCs w:val="20"/>
                <w:color w:val="auto"/>
              </w:rPr>
            </w:pPr>
          </w:p>
        </w:tc>
        <w:tc>
          <w:tcPr>
            <w:tcW w:w="1520" w:type="dxa"/>
            <w:vAlign w:val="bottom"/>
            <w:tcBorders>
              <w:bottom w:val="single" w:sz="8" w:color="E6EEFF"/>
            </w:tcBorders>
            <w:gridSpan w:val="2"/>
            <w:shd w:val="clear" w:color="auto" w:fill="E6EEFF"/>
          </w:tcPr>
          <w:p>
            <w:pPr>
              <w:jc w:val="center"/>
              <w:ind w:right="220"/>
              <w:spacing w:after="0" w:line="205" w:lineRule="exact"/>
              <w:rPr>
                <w:sz w:val="20"/>
                <w:szCs w:val="20"/>
                <w:color w:val="auto"/>
              </w:rPr>
            </w:pPr>
            <w:r>
              <w:rPr>
                <w:rFonts w:ascii="Calibri" w:cs="Calibri" w:eastAsia="Calibri" w:hAnsi="Calibri"/>
                <w:sz w:val="17"/>
                <w:szCs w:val="17"/>
                <w:b w:val="1"/>
                <w:bCs w:val="1"/>
                <w:color w:val="1C4787"/>
                <w:w w:val="97"/>
              </w:rPr>
              <w:t>share</w:t>
            </w:r>
          </w:p>
        </w:tc>
        <w:tc>
          <w:tcPr>
            <w:tcW w:w="320" w:type="dxa"/>
            <w:vAlign w:val="bottom"/>
            <w:tcBorders>
              <w:bottom w:val="single" w:sz="8" w:color="E6EEFF"/>
            </w:tcBorders>
            <w:shd w:val="clear" w:color="auto" w:fill="E6EEFF"/>
          </w:tcPr>
          <w:p>
            <w:pPr>
              <w:spacing w:after="0"/>
              <w:rPr>
                <w:sz w:val="20"/>
                <w:szCs w:val="20"/>
                <w:color w:val="auto"/>
              </w:rPr>
            </w:pPr>
          </w:p>
        </w:tc>
        <w:tc>
          <w:tcPr>
            <w:tcW w:w="1900" w:type="dxa"/>
            <w:vAlign w:val="bottom"/>
            <w:tcBorders>
              <w:bottom w:val="single" w:sz="8" w:color="E6EEFF"/>
            </w:tcBorders>
            <w:shd w:val="clear" w:color="auto" w:fill="E6EEFF"/>
          </w:tcPr>
          <w:p>
            <w:pPr>
              <w:jc w:val="center"/>
              <w:ind w:right="234"/>
              <w:spacing w:after="0" w:line="205" w:lineRule="exact"/>
              <w:rPr>
                <w:sz w:val="20"/>
                <w:szCs w:val="20"/>
                <w:color w:val="auto"/>
              </w:rPr>
            </w:pPr>
            <w:r>
              <w:rPr>
                <w:rFonts w:ascii="Calibri" w:cs="Calibri" w:eastAsia="Calibri" w:hAnsi="Calibri"/>
                <w:sz w:val="17"/>
                <w:szCs w:val="17"/>
                <w:b w:val="1"/>
                <w:bCs w:val="1"/>
                <w:color w:val="1C4787"/>
                <w:w w:val="97"/>
              </w:rPr>
              <w:t>holders of record</w:t>
            </w:r>
          </w:p>
        </w:tc>
      </w:tr>
      <w:tr>
        <w:trPr>
          <w:trHeight w:val="205"/>
        </w:trPr>
        <w:tc>
          <w:tcPr>
            <w:tcW w:w="20" w:type="dxa"/>
            <w:vAlign w:val="bottom"/>
          </w:tcPr>
          <w:p>
            <w:pPr>
              <w:spacing w:after="0"/>
              <w:rPr>
                <w:sz w:val="17"/>
                <w:szCs w:val="17"/>
                <w:color w:val="auto"/>
              </w:rPr>
            </w:pPr>
          </w:p>
        </w:tc>
        <w:tc>
          <w:tcPr>
            <w:tcW w:w="356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January 17, 2023</w:t>
            </w:r>
          </w:p>
        </w:tc>
        <w:tc>
          <w:tcPr>
            <w:tcW w:w="120" w:type="dxa"/>
            <w:vAlign w:val="bottom"/>
          </w:tcPr>
          <w:p>
            <w:pPr>
              <w:spacing w:after="0"/>
              <w:rPr>
                <w:sz w:val="17"/>
                <w:szCs w:val="17"/>
                <w:color w:val="auto"/>
              </w:rPr>
            </w:pPr>
          </w:p>
        </w:tc>
        <w:tc>
          <w:tcPr>
            <w:tcW w:w="3560" w:type="dxa"/>
            <w:vAlign w:val="bottom"/>
            <w:tcBorders>
              <w:top w:val="single" w:sz="8" w:color="auto"/>
            </w:tcBorders>
          </w:tcPr>
          <w:p>
            <w:pPr>
              <w:spacing w:after="0" w:line="205" w:lineRule="exact"/>
              <w:rPr>
                <w:sz w:val="20"/>
                <w:szCs w:val="20"/>
                <w:color w:val="auto"/>
              </w:rPr>
            </w:pPr>
            <w:r>
              <w:rPr>
                <w:rFonts w:ascii="Calibri" w:cs="Calibri" w:eastAsia="Calibri" w:hAnsi="Calibri"/>
                <w:sz w:val="17"/>
                <w:szCs w:val="17"/>
                <w:color w:val="auto"/>
              </w:rPr>
              <w:t>January 30, 2023</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0.50</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4"/>
              <w:spacing w:after="0" w:line="205" w:lineRule="exact"/>
              <w:rPr>
                <w:sz w:val="20"/>
                <w:szCs w:val="20"/>
                <w:color w:val="auto"/>
              </w:rPr>
            </w:pPr>
            <w:r>
              <w:rPr>
                <w:rFonts w:ascii="Calibri" w:cs="Calibri" w:eastAsia="Calibri" w:hAnsi="Calibri"/>
                <w:sz w:val="17"/>
                <w:szCs w:val="17"/>
                <w:color w:val="auto"/>
              </w:rPr>
              <w:t>$</w:t>
            </w:r>
          </w:p>
        </w:tc>
        <w:tc>
          <w:tcPr>
            <w:tcW w:w="190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17,007</w:t>
            </w:r>
          </w:p>
        </w:tc>
      </w:tr>
      <w:tr>
        <w:trPr>
          <w:trHeight w:val="226"/>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February 15, 2023</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February 27, 2023</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0.50</w:t>
            </w:r>
          </w:p>
        </w:tc>
        <w:tc>
          <w:tcPr>
            <w:tcW w:w="100" w:type="dxa"/>
            <w:vAlign w:val="bottom"/>
            <w:shd w:val="clear" w:color="auto" w:fill="E6EEFF"/>
          </w:tcPr>
          <w:p>
            <w:pPr>
              <w:spacing w:after="0"/>
              <w:rPr>
                <w:sz w:val="19"/>
                <w:szCs w:val="19"/>
                <w:color w:val="auto"/>
              </w:rPr>
            </w:pPr>
          </w:p>
        </w:tc>
        <w:tc>
          <w:tcPr>
            <w:tcW w:w="320" w:type="dxa"/>
            <w:vAlign w:val="bottom"/>
            <w:shd w:val="clear" w:color="auto" w:fill="E6EEFF"/>
          </w:tcPr>
          <w:p>
            <w:pPr>
              <w:spacing w:after="0"/>
              <w:rPr>
                <w:sz w:val="19"/>
                <w:szCs w:val="19"/>
                <w:color w:val="auto"/>
              </w:rPr>
            </w:pPr>
          </w:p>
        </w:tc>
        <w:tc>
          <w:tcPr>
            <w:tcW w:w="1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19,471</w:t>
            </w:r>
          </w:p>
        </w:tc>
      </w:tr>
      <w:tr>
        <w:trPr>
          <w:trHeight w:val="212"/>
        </w:trPr>
        <w:tc>
          <w:tcPr>
            <w:tcW w:w="20" w:type="dxa"/>
            <w:vAlign w:val="bottom"/>
          </w:tcPr>
          <w:p>
            <w:pPr>
              <w:spacing w:after="0"/>
              <w:rPr>
                <w:sz w:val="18"/>
                <w:szCs w:val="18"/>
                <w:color w:val="auto"/>
              </w:rPr>
            </w:pPr>
          </w:p>
        </w:tc>
        <w:tc>
          <w:tcPr>
            <w:tcW w:w="36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March 15, 2023</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March 28, 2023</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0.40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line="205" w:lineRule="exact"/>
              <w:rPr>
                <w:sz w:val="20"/>
                <w:szCs w:val="20"/>
                <w:color w:val="auto"/>
              </w:rPr>
            </w:pPr>
            <w:r>
              <w:rPr>
                <w:rFonts w:ascii="Calibri" w:cs="Calibri" w:eastAsia="Calibri" w:hAnsi="Calibri"/>
                <w:sz w:val="17"/>
                <w:szCs w:val="17"/>
                <w:color w:val="auto"/>
              </w:rPr>
              <w:t>15,526</w:t>
            </w:r>
          </w:p>
        </w:tc>
      </w:tr>
      <w:tr>
        <w:trPr>
          <w:trHeight w:val="226"/>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April 17, 2023</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April 27, 2023</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0.40</w:t>
            </w:r>
          </w:p>
        </w:tc>
        <w:tc>
          <w:tcPr>
            <w:tcW w:w="100" w:type="dxa"/>
            <w:vAlign w:val="bottom"/>
            <w:shd w:val="clear" w:color="auto" w:fill="E6EEFF"/>
          </w:tcPr>
          <w:p>
            <w:pPr>
              <w:spacing w:after="0"/>
              <w:rPr>
                <w:sz w:val="19"/>
                <w:szCs w:val="19"/>
                <w:color w:val="auto"/>
              </w:rPr>
            </w:pPr>
          </w:p>
        </w:tc>
        <w:tc>
          <w:tcPr>
            <w:tcW w:w="320" w:type="dxa"/>
            <w:vAlign w:val="bottom"/>
            <w:shd w:val="clear" w:color="auto" w:fill="E6EEFF"/>
          </w:tcPr>
          <w:p>
            <w:pPr>
              <w:spacing w:after="0"/>
              <w:rPr>
                <w:sz w:val="19"/>
                <w:szCs w:val="19"/>
                <w:color w:val="auto"/>
              </w:rPr>
            </w:pPr>
          </w:p>
        </w:tc>
        <w:tc>
          <w:tcPr>
            <w:tcW w:w="1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15,788</w:t>
            </w:r>
          </w:p>
        </w:tc>
      </w:tr>
      <w:tr>
        <w:trPr>
          <w:trHeight w:val="212"/>
        </w:trPr>
        <w:tc>
          <w:tcPr>
            <w:tcW w:w="20" w:type="dxa"/>
            <w:vAlign w:val="bottom"/>
          </w:tcPr>
          <w:p>
            <w:pPr>
              <w:spacing w:after="0"/>
              <w:rPr>
                <w:sz w:val="18"/>
                <w:szCs w:val="18"/>
                <w:color w:val="auto"/>
              </w:rPr>
            </w:pPr>
          </w:p>
        </w:tc>
        <w:tc>
          <w:tcPr>
            <w:tcW w:w="36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May 15, 2023</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May 30, 2023</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0.40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line="205" w:lineRule="exact"/>
              <w:rPr>
                <w:sz w:val="20"/>
                <w:szCs w:val="20"/>
                <w:color w:val="auto"/>
              </w:rPr>
            </w:pPr>
            <w:r>
              <w:rPr>
                <w:rFonts w:ascii="Calibri" w:cs="Calibri" w:eastAsia="Calibri" w:hAnsi="Calibri"/>
                <w:sz w:val="17"/>
                <w:szCs w:val="17"/>
                <w:color w:val="auto"/>
              </w:rPr>
              <w:t>15,964</w:t>
            </w:r>
          </w:p>
        </w:tc>
      </w:tr>
      <w:tr>
        <w:trPr>
          <w:trHeight w:val="226"/>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June 15, 2023</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June 29, 2023</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0.40</w:t>
            </w:r>
          </w:p>
        </w:tc>
        <w:tc>
          <w:tcPr>
            <w:tcW w:w="100" w:type="dxa"/>
            <w:vAlign w:val="bottom"/>
            <w:shd w:val="clear" w:color="auto" w:fill="E6EEFF"/>
          </w:tcPr>
          <w:p>
            <w:pPr>
              <w:spacing w:after="0"/>
              <w:rPr>
                <w:sz w:val="19"/>
                <w:szCs w:val="19"/>
                <w:color w:val="auto"/>
              </w:rPr>
            </w:pPr>
          </w:p>
        </w:tc>
        <w:tc>
          <w:tcPr>
            <w:tcW w:w="320" w:type="dxa"/>
            <w:vAlign w:val="bottom"/>
            <w:shd w:val="clear" w:color="auto" w:fill="E6EEFF"/>
          </w:tcPr>
          <w:p>
            <w:pPr>
              <w:spacing w:after="0"/>
              <w:rPr>
                <w:sz w:val="19"/>
                <w:szCs w:val="19"/>
                <w:color w:val="auto"/>
              </w:rPr>
            </w:pPr>
          </w:p>
        </w:tc>
        <w:tc>
          <w:tcPr>
            <w:tcW w:w="1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16,585</w:t>
            </w:r>
          </w:p>
        </w:tc>
      </w:tr>
      <w:tr>
        <w:trPr>
          <w:trHeight w:val="212"/>
        </w:trPr>
        <w:tc>
          <w:tcPr>
            <w:tcW w:w="20" w:type="dxa"/>
            <w:vAlign w:val="bottom"/>
          </w:tcPr>
          <w:p>
            <w:pPr>
              <w:spacing w:after="0"/>
              <w:rPr>
                <w:sz w:val="18"/>
                <w:szCs w:val="18"/>
                <w:color w:val="auto"/>
              </w:rPr>
            </w:pPr>
          </w:p>
        </w:tc>
        <w:tc>
          <w:tcPr>
            <w:tcW w:w="36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July 17, 2023</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July 28, 2023</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0.40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line="205" w:lineRule="exact"/>
              <w:rPr>
                <w:sz w:val="20"/>
                <w:szCs w:val="20"/>
                <w:color w:val="auto"/>
              </w:rPr>
            </w:pPr>
            <w:r>
              <w:rPr>
                <w:rFonts w:ascii="Calibri" w:cs="Calibri" w:eastAsia="Calibri" w:hAnsi="Calibri"/>
                <w:sz w:val="17"/>
                <w:szCs w:val="17"/>
                <w:color w:val="auto"/>
              </w:rPr>
              <w:t>18,405</w:t>
            </w:r>
          </w:p>
        </w:tc>
      </w:tr>
      <w:tr>
        <w:trPr>
          <w:trHeight w:val="226"/>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August 15, 2023</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August 30, 2023</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0.40</w:t>
            </w:r>
          </w:p>
        </w:tc>
        <w:tc>
          <w:tcPr>
            <w:tcW w:w="100" w:type="dxa"/>
            <w:vAlign w:val="bottom"/>
            <w:shd w:val="clear" w:color="auto" w:fill="E6EEFF"/>
          </w:tcPr>
          <w:p>
            <w:pPr>
              <w:spacing w:after="0"/>
              <w:rPr>
                <w:sz w:val="19"/>
                <w:szCs w:val="19"/>
                <w:color w:val="auto"/>
              </w:rPr>
            </w:pPr>
          </w:p>
        </w:tc>
        <w:tc>
          <w:tcPr>
            <w:tcW w:w="320" w:type="dxa"/>
            <w:vAlign w:val="bottom"/>
            <w:shd w:val="clear" w:color="auto" w:fill="E6EEFF"/>
          </w:tcPr>
          <w:p>
            <w:pPr>
              <w:spacing w:after="0"/>
              <w:rPr>
                <w:sz w:val="19"/>
                <w:szCs w:val="19"/>
                <w:color w:val="auto"/>
              </w:rPr>
            </w:pPr>
          </w:p>
        </w:tc>
        <w:tc>
          <w:tcPr>
            <w:tcW w:w="1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19,123</w:t>
            </w:r>
          </w:p>
        </w:tc>
      </w:tr>
      <w:tr>
        <w:trPr>
          <w:trHeight w:val="212"/>
        </w:trPr>
        <w:tc>
          <w:tcPr>
            <w:tcW w:w="20" w:type="dxa"/>
            <w:vAlign w:val="bottom"/>
          </w:tcPr>
          <w:p>
            <w:pPr>
              <w:spacing w:after="0"/>
              <w:rPr>
                <w:sz w:val="18"/>
                <w:szCs w:val="18"/>
                <w:color w:val="auto"/>
              </w:rPr>
            </w:pPr>
          </w:p>
        </w:tc>
        <w:tc>
          <w:tcPr>
            <w:tcW w:w="36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September 15, 2023</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September 28, 2023</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0.40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line="205" w:lineRule="exact"/>
              <w:rPr>
                <w:sz w:val="20"/>
                <w:szCs w:val="20"/>
                <w:color w:val="auto"/>
              </w:rPr>
            </w:pPr>
            <w:r>
              <w:rPr>
                <w:rFonts w:ascii="Calibri" w:cs="Calibri" w:eastAsia="Calibri" w:hAnsi="Calibri"/>
                <w:sz w:val="17"/>
                <w:szCs w:val="17"/>
                <w:color w:val="auto"/>
              </w:rPr>
              <w:t>19,310</w:t>
            </w:r>
          </w:p>
        </w:tc>
      </w:tr>
      <w:tr>
        <w:trPr>
          <w:trHeight w:val="226"/>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October 16, 2023</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October 30, 2023</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0.40</w:t>
            </w:r>
          </w:p>
        </w:tc>
        <w:tc>
          <w:tcPr>
            <w:tcW w:w="100" w:type="dxa"/>
            <w:vAlign w:val="bottom"/>
            <w:shd w:val="clear" w:color="auto" w:fill="E6EEFF"/>
          </w:tcPr>
          <w:p>
            <w:pPr>
              <w:spacing w:after="0"/>
              <w:rPr>
                <w:sz w:val="19"/>
                <w:szCs w:val="19"/>
                <w:color w:val="auto"/>
              </w:rPr>
            </w:pPr>
          </w:p>
        </w:tc>
        <w:tc>
          <w:tcPr>
            <w:tcW w:w="320" w:type="dxa"/>
            <w:vAlign w:val="bottom"/>
            <w:shd w:val="clear" w:color="auto" w:fill="E6EEFF"/>
          </w:tcPr>
          <w:p>
            <w:pPr>
              <w:spacing w:after="0"/>
              <w:rPr>
                <w:sz w:val="19"/>
                <w:szCs w:val="19"/>
                <w:color w:val="auto"/>
              </w:rPr>
            </w:pPr>
          </w:p>
        </w:tc>
        <w:tc>
          <w:tcPr>
            <w:tcW w:w="1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19,730</w:t>
            </w:r>
          </w:p>
        </w:tc>
      </w:tr>
      <w:tr>
        <w:trPr>
          <w:trHeight w:val="212"/>
        </w:trPr>
        <w:tc>
          <w:tcPr>
            <w:tcW w:w="20" w:type="dxa"/>
            <w:vAlign w:val="bottom"/>
          </w:tcPr>
          <w:p>
            <w:pPr>
              <w:spacing w:after="0"/>
              <w:rPr>
                <w:sz w:val="18"/>
                <w:szCs w:val="18"/>
                <w:color w:val="auto"/>
              </w:rPr>
            </w:pPr>
          </w:p>
        </w:tc>
        <w:tc>
          <w:tcPr>
            <w:tcW w:w="36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November, 15, 2023</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November 29, 2023</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0.40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line="205" w:lineRule="exact"/>
              <w:rPr>
                <w:sz w:val="20"/>
                <w:szCs w:val="20"/>
                <w:color w:val="auto"/>
              </w:rPr>
            </w:pPr>
            <w:r>
              <w:rPr>
                <w:rFonts w:ascii="Calibri" w:cs="Calibri" w:eastAsia="Calibri" w:hAnsi="Calibri"/>
                <w:sz w:val="17"/>
                <w:szCs w:val="17"/>
                <w:color w:val="auto"/>
              </w:rPr>
              <w:t>19,671</w:t>
            </w:r>
          </w:p>
        </w:tc>
      </w:tr>
      <w:tr>
        <w:trPr>
          <w:trHeight w:val="219"/>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December 15, 2023</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December 28, 2023</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0.40</w:t>
            </w:r>
          </w:p>
        </w:tc>
        <w:tc>
          <w:tcPr>
            <w:tcW w:w="100" w:type="dxa"/>
            <w:vAlign w:val="bottom"/>
            <w:shd w:val="clear" w:color="auto" w:fill="E6EEFF"/>
          </w:tcPr>
          <w:p>
            <w:pPr>
              <w:spacing w:after="0"/>
              <w:rPr>
                <w:sz w:val="19"/>
                <w:szCs w:val="19"/>
                <w:color w:val="auto"/>
              </w:rPr>
            </w:pPr>
          </w:p>
        </w:tc>
        <w:tc>
          <w:tcPr>
            <w:tcW w:w="320" w:type="dxa"/>
            <w:vAlign w:val="bottom"/>
            <w:tcBorders>
              <w:bottom w:val="single" w:sz="8" w:color="auto"/>
            </w:tcBorders>
            <w:shd w:val="clear" w:color="auto" w:fill="E6EEFF"/>
          </w:tcPr>
          <w:p>
            <w:pPr>
              <w:spacing w:after="0"/>
              <w:rPr>
                <w:sz w:val="19"/>
                <w:szCs w:val="19"/>
                <w:color w:val="auto"/>
              </w:rPr>
            </w:pPr>
          </w:p>
        </w:tc>
        <w:tc>
          <w:tcPr>
            <w:tcW w:w="190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19,644</w:t>
            </w:r>
          </w:p>
        </w:tc>
      </w:tr>
      <w:tr>
        <w:trPr>
          <w:trHeight w:val="219"/>
        </w:trPr>
        <w:tc>
          <w:tcPr>
            <w:tcW w:w="2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Calibri" w:cs="Calibri" w:eastAsia="Calibri" w:hAnsi="Calibri"/>
                <w:sz w:val="17"/>
                <w:szCs w:val="17"/>
                <w:color w:val="auto"/>
              </w:rPr>
              <w:t>Total dividends paid</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4"/>
              <w:spacing w:after="0" w:line="205" w:lineRule="exact"/>
              <w:rPr>
                <w:sz w:val="20"/>
                <w:szCs w:val="20"/>
                <w:color w:val="auto"/>
              </w:rPr>
            </w:pPr>
            <w:r>
              <w:rPr>
                <w:rFonts w:ascii="Calibri" w:cs="Calibri" w:eastAsia="Calibri" w:hAnsi="Calibri"/>
                <w:sz w:val="17"/>
                <w:szCs w:val="17"/>
                <w:color w:val="auto"/>
              </w:rPr>
              <w:t>$</w:t>
            </w:r>
          </w:p>
        </w:tc>
        <w:tc>
          <w:tcPr>
            <w:tcW w:w="19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216,224</w:t>
            </w: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305"/>
        </w:trPr>
        <w:tc>
          <w:tcPr>
            <w:tcW w:w="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-752475</wp:posOffset>
            </wp:positionV>
            <wp:extent cx="458470" cy="5073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05" w:name="page106"/>
    <w:bookmarkEnd w:id="105"/>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gridSpan w:val="2"/>
          </w:tcPr>
          <w:p>
            <w:pPr>
              <w:jc w:val="right"/>
              <w:ind w:right="20"/>
              <w:spacing w:after="0" w:line="206" w:lineRule="exact"/>
              <w:rPr>
                <w:sz w:val="20"/>
                <w:szCs w:val="20"/>
                <w:color w:val="auto"/>
              </w:rPr>
            </w:pPr>
            <w:r>
              <w:rPr>
                <w:rFonts w:ascii="Calibri" w:cs="Calibri" w:eastAsia="Calibri" w:hAnsi="Calibri"/>
                <w:sz w:val="17"/>
                <w:szCs w:val="17"/>
                <w:color w:val="1C4787"/>
              </w:rPr>
              <w:t>104</w:t>
            </w: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356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520" w:type="dxa"/>
            <w:vAlign w:val="bottom"/>
            <w:gridSpan w:val="2"/>
            <w:vMerge w:val="restart"/>
            <w:shd w:val="clear" w:color="auto" w:fill="E6EEFF"/>
          </w:tcPr>
          <w:p>
            <w:pPr>
              <w:jc w:val="center"/>
              <w:ind w:right="240"/>
              <w:spacing w:after="0"/>
              <w:rPr>
                <w:sz w:val="20"/>
                <w:szCs w:val="20"/>
                <w:color w:val="auto"/>
              </w:rPr>
            </w:pPr>
            <w:r>
              <w:rPr>
                <w:rFonts w:ascii="Calibri" w:cs="Calibri" w:eastAsia="Calibri" w:hAnsi="Calibri"/>
                <w:sz w:val="17"/>
                <w:szCs w:val="17"/>
                <w:b w:val="1"/>
                <w:bCs w:val="1"/>
                <w:color w:val="1C4787"/>
                <w:w w:val="98"/>
              </w:rPr>
              <w:t>Rate per common</w:t>
            </w:r>
          </w:p>
        </w:tc>
        <w:tc>
          <w:tcPr>
            <w:tcW w:w="320" w:type="dxa"/>
            <w:vAlign w:val="bottom"/>
            <w:shd w:val="clear" w:color="auto" w:fill="E6EEFF"/>
          </w:tcPr>
          <w:p>
            <w:pPr>
              <w:spacing w:after="0"/>
              <w:rPr>
                <w:sz w:val="14"/>
                <w:szCs w:val="14"/>
                <w:color w:val="auto"/>
              </w:rPr>
            </w:pPr>
          </w:p>
        </w:tc>
        <w:tc>
          <w:tcPr>
            <w:tcW w:w="1900" w:type="dxa"/>
            <w:vAlign w:val="bottom"/>
            <w:shd w:val="clear" w:color="auto" w:fill="E6EEFF"/>
          </w:tcPr>
          <w:p>
            <w:pPr>
              <w:jc w:val="center"/>
              <w:ind w:right="234"/>
              <w:spacing w:after="0" w:line="173" w:lineRule="exact"/>
              <w:rPr>
                <w:sz w:val="20"/>
                <w:szCs w:val="20"/>
                <w:color w:val="auto"/>
              </w:rPr>
            </w:pPr>
            <w:r>
              <w:rPr>
                <w:rFonts w:ascii="Calibri" w:cs="Calibri" w:eastAsia="Calibri" w:hAnsi="Calibri"/>
                <w:sz w:val="17"/>
                <w:szCs w:val="17"/>
                <w:b w:val="1"/>
                <w:bCs w:val="1"/>
                <w:color w:val="1C4787"/>
                <w:w w:val="97"/>
              </w:rPr>
              <w:t>Aggregate</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356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520" w:type="dxa"/>
            <w:vAlign w:val="bottom"/>
            <w:gridSpan w:val="2"/>
            <w:vMerge w:val="continue"/>
            <w:shd w:val="clear" w:color="auto" w:fill="E6EEFF"/>
          </w:tcPr>
          <w:p>
            <w:pPr>
              <w:spacing w:after="0"/>
              <w:rPr>
                <w:sz w:val="14"/>
                <w:szCs w:val="14"/>
                <w:color w:val="auto"/>
              </w:rPr>
            </w:pPr>
          </w:p>
        </w:tc>
        <w:tc>
          <w:tcPr>
            <w:tcW w:w="320" w:type="dxa"/>
            <w:vAlign w:val="bottom"/>
            <w:shd w:val="clear" w:color="auto" w:fill="E6EEFF"/>
          </w:tcPr>
          <w:p>
            <w:pPr>
              <w:spacing w:after="0"/>
              <w:rPr>
                <w:sz w:val="14"/>
                <w:szCs w:val="14"/>
                <w:color w:val="auto"/>
              </w:rPr>
            </w:pPr>
          </w:p>
        </w:tc>
        <w:tc>
          <w:tcPr>
            <w:tcW w:w="1900" w:type="dxa"/>
            <w:vAlign w:val="bottom"/>
            <w:shd w:val="clear" w:color="auto" w:fill="E6EEFF"/>
          </w:tcPr>
          <w:p>
            <w:pPr>
              <w:jc w:val="center"/>
              <w:ind w:right="234"/>
              <w:spacing w:after="0" w:line="167" w:lineRule="exact"/>
              <w:rPr>
                <w:sz w:val="20"/>
                <w:szCs w:val="20"/>
                <w:color w:val="auto"/>
              </w:rPr>
            </w:pPr>
            <w:r>
              <w:rPr>
                <w:rFonts w:ascii="Calibri" w:cs="Calibri" w:eastAsia="Calibri" w:hAnsi="Calibri"/>
                <w:sz w:val="17"/>
                <w:szCs w:val="17"/>
                <w:b w:val="1"/>
                <w:bCs w:val="1"/>
                <w:color w:val="1C4787"/>
                <w:w w:val="97"/>
              </w:rPr>
              <w:t>amount paid to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680" w:type="dxa"/>
            <w:vAlign w:val="bottom"/>
            <w:tcBorders>
              <w:bottom w:val="single" w:sz="8" w:color="E6EEFF"/>
            </w:tcBorders>
            <w:gridSpan w:val="2"/>
            <w:shd w:val="clear" w:color="auto" w:fill="E6EEFF"/>
          </w:tcPr>
          <w:p>
            <w:pPr>
              <w:ind w:left="1160"/>
              <w:spacing w:after="0" w:line="205" w:lineRule="exact"/>
              <w:rPr>
                <w:sz w:val="20"/>
                <w:szCs w:val="20"/>
                <w:color w:val="auto"/>
              </w:rPr>
            </w:pPr>
            <w:r>
              <w:rPr>
                <w:rFonts w:ascii="Calibri" w:cs="Calibri" w:eastAsia="Calibri" w:hAnsi="Calibri"/>
                <w:sz w:val="17"/>
                <w:szCs w:val="17"/>
                <w:b w:val="1"/>
                <w:bCs w:val="1"/>
                <w:color w:val="1C4787"/>
              </w:rPr>
              <w:t>2022 Record Date</w:t>
            </w:r>
          </w:p>
        </w:tc>
        <w:tc>
          <w:tcPr>
            <w:tcW w:w="3680" w:type="dxa"/>
            <w:vAlign w:val="bottom"/>
            <w:tcBorders>
              <w:bottom w:val="single" w:sz="8" w:color="E6EEFF"/>
            </w:tcBorders>
            <w:gridSpan w:val="2"/>
            <w:shd w:val="clear" w:color="auto" w:fill="E6EEFF"/>
          </w:tcPr>
          <w:p>
            <w:pPr>
              <w:ind w:left="1280"/>
              <w:spacing w:after="0" w:line="205" w:lineRule="exact"/>
              <w:rPr>
                <w:sz w:val="20"/>
                <w:szCs w:val="20"/>
                <w:color w:val="auto"/>
              </w:rPr>
            </w:pPr>
            <w:r>
              <w:rPr>
                <w:rFonts w:ascii="Calibri" w:cs="Calibri" w:eastAsia="Calibri" w:hAnsi="Calibri"/>
                <w:sz w:val="17"/>
                <w:szCs w:val="17"/>
                <w:b w:val="1"/>
                <w:bCs w:val="1"/>
                <w:color w:val="1C4787"/>
              </w:rPr>
              <w:t>Payment Date</w:t>
            </w:r>
          </w:p>
        </w:tc>
        <w:tc>
          <w:tcPr>
            <w:tcW w:w="120" w:type="dxa"/>
            <w:vAlign w:val="bottom"/>
            <w:tcBorders>
              <w:bottom w:val="single" w:sz="8" w:color="E6EEFF"/>
            </w:tcBorders>
            <w:shd w:val="clear" w:color="auto" w:fill="E6EEFF"/>
          </w:tcPr>
          <w:p>
            <w:pPr>
              <w:spacing w:after="0"/>
              <w:rPr>
                <w:sz w:val="19"/>
                <w:szCs w:val="19"/>
                <w:color w:val="auto"/>
              </w:rPr>
            </w:pPr>
          </w:p>
        </w:tc>
        <w:tc>
          <w:tcPr>
            <w:tcW w:w="1520" w:type="dxa"/>
            <w:vAlign w:val="bottom"/>
            <w:tcBorders>
              <w:bottom w:val="single" w:sz="8" w:color="E6EEFF"/>
            </w:tcBorders>
            <w:gridSpan w:val="2"/>
            <w:shd w:val="clear" w:color="auto" w:fill="E6EEFF"/>
          </w:tcPr>
          <w:p>
            <w:pPr>
              <w:jc w:val="center"/>
              <w:ind w:right="220"/>
              <w:spacing w:after="0" w:line="205" w:lineRule="exact"/>
              <w:rPr>
                <w:sz w:val="20"/>
                <w:szCs w:val="20"/>
                <w:color w:val="auto"/>
              </w:rPr>
            </w:pPr>
            <w:r>
              <w:rPr>
                <w:rFonts w:ascii="Calibri" w:cs="Calibri" w:eastAsia="Calibri" w:hAnsi="Calibri"/>
                <w:sz w:val="17"/>
                <w:szCs w:val="17"/>
                <w:b w:val="1"/>
                <w:bCs w:val="1"/>
                <w:color w:val="1C4787"/>
                <w:w w:val="97"/>
              </w:rPr>
              <w:t>share</w:t>
            </w:r>
          </w:p>
        </w:tc>
        <w:tc>
          <w:tcPr>
            <w:tcW w:w="320" w:type="dxa"/>
            <w:vAlign w:val="bottom"/>
            <w:tcBorders>
              <w:bottom w:val="single" w:sz="8" w:color="E6EEFF"/>
            </w:tcBorders>
            <w:shd w:val="clear" w:color="auto" w:fill="E6EEFF"/>
          </w:tcPr>
          <w:p>
            <w:pPr>
              <w:spacing w:after="0"/>
              <w:rPr>
                <w:sz w:val="19"/>
                <w:szCs w:val="19"/>
                <w:color w:val="auto"/>
              </w:rPr>
            </w:pPr>
          </w:p>
        </w:tc>
        <w:tc>
          <w:tcPr>
            <w:tcW w:w="1900" w:type="dxa"/>
            <w:vAlign w:val="bottom"/>
            <w:tcBorders>
              <w:bottom w:val="single" w:sz="8" w:color="E6EEFF"/>
            </w:tcBorders>
            <w:shd w:val="clear" w:color="auto" w:fill="E6EEFF"/>
          </w:tcPr>
          <w:p>
            <w:pPr>
              <w:jc w:val="center"/>
              <w:ind w:right="234"/>
              <w:spacing w:after="0" w:line="205" w:lineRule="exact"/>
              <w:rPr>
                <w:sz w:val="20"/>
                <w:szCs w:val="20"/>
                <w:color w:val="auto"/>
              </w:rPr>
            </w:pPr>
            <w:r>
              <w:rPr>
                <w:rFonts w:ascii="Calibri" w:cs="Calibri" w:eastAsia="Calibri" w:hAnsi="Calibri"/>
                <w:sz w:val="17"/>
                <w:szCs w:val="17"/>
                <w:b w:val="1"/>
                <w:bCs w:val="1"/>
                <w:color w:val="1C4787"/>
                <w:w w:val="97"/>
              </w:rPr>
              <w:t>holders of record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January 18, 2022</w:t>
            </w:r>
          </w:p>
        </w:tc>
        <w:tc>
          <w:tcPr>
            <w:tcW w:w="120" w:type="dxa"/>
            <w:vAlign w:val="bottom"/>
          </w:tcPr>
          <w:p>
            <w:pPr>
              <w:spacing w:after="0"/>
              <w:rPr>
                <w:sz w:val="17"/>
                <w:szCs w:val="17"/>
                <w:color w:val="auto"/>
              </w:rPr>
            </w:pPr>
          </w:p>
        </w:tc>
        <w:tc>
          <w:tcPr>
            <w:tcW w:w="3560" w:type="dxa"/>
            <w:vAlign w:val="bottom"/>
            <w:tcBorders>
              <w:top w:val="single" w:sz="8" w:color="auto"/>
            </w:tcBorders>
          </w:tcPr>
          <w:p>
            <w:pPr>
              <w:spacing w:after="0" w:line="205" w:lineRule="exact"/>
              <w:rPr>
                <w:sz w:val="20"/>
                <w:szCs w:val="20"/>
                <w:color w:val="auto"/>
              </w:rPr>
            </w:pPr>
            <w:r>
              <w:rPr>
                <w:rFonts w:ascii="Calibri" w:cs="Calibri" w:eastAsia="Calibri" w:hAnsi="Calibri"/>
                <w:sz w:val="17"/>
                <w:szCs w:val="17"/>
                <w:color w:val="auto"/>
              </w:rPr>
              <w:t>January 28, 2022</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0.50</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4"/>
              <w:spacing w:after="0" w:line="205" w:lineRule="exact"/>
              <w:rPr>
                <w:sz w:val="20"/>
                <w:szCs w:val="20"/>
                <w:color w:val="auto"/>
              </w:rPr>
            </w:pPr>
            <w:r>
              <w:rPr>
                <w:rFonts w:ascii="Calibri" w:cs="Calibri" w:eastAsia="Calibri" w:hAnsi="Calibri"/>
                <w:sz w:val="17"/>
                <w:szCs w:val="17"/>
                <w:color w:val="auto"/>
              </w:rPr>
              <w:t>$</w:t>
            </w:r>
          </w:p>
        </w:tc>
        <w:tc>
          <w:tcPr>
            <w:tcW w:w="190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9,654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February 15, 2022</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February 28, 2022</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0.50</w:t>
            </w:r>
          </w:p>
        </w:tc>
        <w:tc>
          <w:tcPr>
            <w:tcW w:w="100" w:type="dxa"/>
            <w:vAlign w:val="bottom"/>
            <w:shd w:val="clear" w:color="auto" w:fill="E6EEFF"/>
          </w:tcPr>
          <w:p>
            <w:pPr>
              <w:spacing w:after="0"/>
              <w:rPr>
                <w:sz w:val="19"/>
                <w:szCs w:val="19"/>
                <w:color w:val="auto"/>
              </w:rPr>
            </w:pPr>
          </w:p>
        </w:tc>
        <w:tc>
          <w:tcPr>
            <w:tcW w:w="320" w:type="dxa"/>
            <w:vAlign w:val="bottom"/>
            <w:shd w:val="clear" w:color="auto" w:fill="E6EEFF"/>
          </w:tcPr>
          <w:p>
            <w:pPr>
              <w:spacing w:after="0"/>
              <w:rPr>
                <w:sz w:val="19"/>
                <w:szCs w:val="19"/>
                <w:color w:val="auto"/>
              </w:rPr>
            </w:pPr>
          </w:p>
        </w:tc>
        <w:tc>
          <w:tcPr>
            <w:tcW w:w="1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March 15, 2022</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March 28, 2022</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0.50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line="205" w:lineRule="exact"/>
              <w:rPr>
                <w:sz w:val="20"/>
                <w:szCs w:val="20"/>
                <w:color w:val="auto"/>
              </w:rPr>
            </w:pPr>
            <w:r>
              <w:rPr>
                <w:rFonts w:ascii="Calibri" w:cs="Calibri" w:eastAsia="Calibri" w:hAnsi="Calibri"/>
                <w:sz w:val="17"/>
                <w:szCs w:val="17"/>
                <w:color w:val="auto"/>
              </w:rPr>
              <w:t>9,764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April 18, 2022</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April 29, 2022</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0.50</w:t>
            </w:r>
          </w:p>
        </w:tc>
        <w:tc>
          <w:tcPr>
            <w:tcW w:w="100" w:type="dxa"/>
            <w:vAlign w:val="bottom"/>
            <w:shd w:val="clear" w:color="auto" w:fill="E6EEFF"/>
          </w:tcPr>
          <w:p>
            <w:pPr>
              <w:spacing w:after="0"/>
              <w:rPr>
                <w:sz w:val="19"/>
                <w:szCs w:val="19"/>
                <w:color w:val="auto"/>
              </w:rPr>
            </w:pPr>
          </w:p>
        </w:tc>
        <w:tc>
          <w:tcPr>
            <w:tcW w:w="320" w:type="dxa"/>
            <w:vAlign w:val="bottom"/>
            <w:shd w:val="clear" w:color="auto" w:fill="E6EEFF"/>
          </w:tcPr>
          <w:p>
            <w:pPr>
              <w:spacing w:after="0"/>
              <w:rPr>
                <w:sz w:val="19"/>
                <w:szCs w:val="19"/>
                <w:color w:val="auto"/>
              </w:rPr>
            </w:pPr>
          </w:p>
        </w:tc>
        <w:tc>
          <w:tcPr>
            <w:tcW w:w="1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10,359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May 16, 2022</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May 27, 2022</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0.50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line="205" w:lineRule="exact"/>
              <w:rPr>
                <w:sz w:val="20"/>
                <w:szCs w:val="20"/>
                <w:color w:val="auto"/>
              </w:rPr>
            </w:pPr>
            <w:r>
              <w:rPr>
                <w:rFonts w:ascii="Calibri" w:cs="Calibri" w:eastAsia="Calibri" w:hAnsi="Calibri"/>
                <w:sz w:val="17"/>
                <w:szCs w:val="17"/>
                <w:color w:val="auto"/>
              </w:rPr>
              <w:t>10,639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June 15, 2022</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June 29, 2022</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0.50</w:t>
            </w:r>
          </w:p>
        </w:tc>
        <w:tc>
          <w:tcPr>
            <w:tcW w:w="100" w:type="dxa"/>
            <w:vAlign w:val="bottom"/>
            <w:shd w:val="clear" w:color="auto" w:fill="E6EEFF"/>
          </w:tcPr>
          <w:p>
            <w:pPr>
              <w:spacing w:after="0"/>
              <w:rPr>
                <w:sz w:val="19"/>
                <w:szCs w:val="19"/>
                <w:color w:val="auto"/>
              </w:rPr>
            </w:pPr>
          </w:p>
        </w:tc>
        <w:tc>
          <w:tcPr>
            <w:tcW w:w="320" w:type="dxa"/>
            <w:vAlign w:val="bottom"/>
            <w:shd w:val="clear" w:color="auto" w:fill="E6EEFF"/>
          </w:tcPr>
          <w:p>
            <w:pPr>
              <w:spacing w:after="0"/>
              <w:rPr>
                <w:sz w:val="19"/>
                <w:szCs w:val="19"/>
                <w:color w:val="auto"/>
              </w:rPr>
            </w:pPr>
          </w:p>
        </w:tc>
        <w:tc>
          <w:tcPr>
            <w:tcW w:w="1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11,159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July 15, 2022</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July 29, 2022</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0.50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line="205" w:lineRule="exact"/>
              <w:rPr>
                <w:sz w:val="20"/>
                <w:szCs w:val="20"/>
                <w:color w:val="auto"/>
              </w:rPr>
            </w:pPr>
            <w:r>
              <w:rPr>
                <w:rFonts w:ascii="Calibri" w:cs="Calibri" w:eastAsia="Calibri" w:hAnsi="Calibri"/>
                <w:sz w:val="17"/>
                <w:szCs w:val="17"/>
                <w:color w:val="auto"/>
              </w:rPr>
              <w:t>11,426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August 15, 2022</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August 29, 2022</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0.50</w:t>
            </w:r>
          </w:p>
        </w:tc>
        <w:tc>
          <w:tcPr>
            <w:tcW w:w="100" w:type="dxa"/>
            <w:vAlign w:val="bottom"/>
            <w:shd w:val="clear" w:color="auto" w:fill="E6EEFF"/>
          </w:tcPr>
          <w:p>
            <w:pPr>
              <w:spacing w:after="0"/>
              <w:rPr>
                <w:sz w:val="19"/>
                <w:szCs w:val="19"/>
                <w:color w:val="auto"/>
              </w:rPr>
            </w:pPr>
          </w:p>
        </w:tc>
        <w:tc>
          <w:tcPr>
            <w:tcW w:w="320" w:type="dxa"/>
            <w:vAlign w:val="bottom"/>
            <w:shd w:val="clear" w:color="auto" w:fill="E6EEFF"/>
          </w:tcPr>
          <w:p>
            <w:pPr>
              <w:spacing w:after="0"/>
              <w:rPr>
                <w:sz w:val="19"/>
                <w:szCs w:val="19"/>
                <w:color w:val="auto"/>
              </w:rPr>
            </w:pPr>
          </w:p>
        </w:tc>
        <w:tc>
          <w:tcPr>
            <w:tcW w:w="1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12,313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September 15, 2022</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September 29, 2022</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0.50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line="205" w:lineRule="exact"/>
              <w:rPr>
                <w:sz w:val="20"/>
                <w:szCs w:val="20"/>
                <w:color w:val="auto"/>
              </w:rPr>
            </w:pPr>
            <w:r>
              <w:rPr>
                <w:rFonts w:ascii="Calibri" w:cs="Calibri" w:eastAsia="Calibri" w:hAnsi="Calibri"/>
                <w:sz w:val="17"/>
                <w:szCs w:val="17"/>
                <w:color w:val="auto"/>
              </w:rPr>
              <w:t>13,406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October 17, 2022</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October 28, 2022</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0.50</w:t>
            </w:r>
          </w:p>
        </w:tc>
        <w:tc>
          <w:tcPr>
            <w:tcW w:w="100" w:type="dxa"/>
            <w:vAlign w:val="bottom"/>
            <w:shd w:val="clear" w:color="auto" w:fill="E6EEFF"/>
          </w:tcPr>
          <w:p>
            <w:pPr>
              <w:spacing w:after="0"/>
              <w:rPr>
                <w:sz w:val="19"/>
                <w:szCs w:val="19"/>
                <w:color w:val="auto"/>
              </w:rPr>
            </w:pPr>
          </w:p>
        </w:tc>
        <w:tc>
          <w:tcPr>
            <w:tcW w:w="320" w:type="dxa"/>
            <w:vAlign w:val="bottom"/>
            <w:shd w:val="clear" w:color="auto" w:fill="E6EEFF"/>
          </w:tcPr>
          <w:p>
            <w:pPr>
              <w:spacing w:after="0"/>
              <w:rPr>
                <w:sz w:val="19"/>
                <w:szCs w:val="19"/>
                <w:color w:val="auto"/>
              </w:rPr>
            </w:pPr>
          </w:p>
        </w:tc>
        <w:tc>
          <w:tcPr>
            <w:tcW w:w="1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13,284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November 15, 2022</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November 28, 2022</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0.50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line="205" w:lineRule="exact"/>
              <w:rPr>
                <w:sz w:val="20"/>
                <w:szCs w:val="20"/>
                <w:color w:val="auto"/>
              </w:rPr>
            </w:pPr>
            <w:r>
              <w:rPr>
                <w:rFonts w:ascii="Calibri" w:cs="Calibri" w:eastAsia="Calibri" w:hAnsi="Calibri"/>
                <w:sz w:val="17"/>
                <w:szCs w:val="17"/>
                <w:color w:val="auto"/>
              </w:rPr>
              <w:t>14,465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December 15, 2022</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December 28, 2022</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0.50</w:t>
            </w:r>
          </w:p>
        </w:tc>
        <w:tc>
          <w:tcPr>
            <w:tcW w:w="100" w:type="dxa"/>
            <w:vAlign w:val="bottom"/>
            <w:shd w:val="clear" w:color="auto" w:fill="E6EEFF"/>
          </w:tcPr>
          <w:p>
            <w:pPr>
              <w:spacing w:after="0"/>
              <w:rPr>
                <w:sz w:val="19"/>
                <w:szCs w:val="19"/>
                <w:color w:val="auto"/>
              </w:rPr>
            </w:pPr>
          </w:p>
        </w:tc>
        <w:tc>
          <w:tcPr>
            <w:tcW w:w="320" w:type="dxa"/>
            <w:vAlign w:val="bottom"/>
            <w:tcBorders>
              <w:bottom w:val="single" w:sz="8" w:color="auto"/>
            </w:tcBorders>
            <w:shd w:val="clear" w:color="auto" w:fill="E6EEFF"/>
          </w:tcPr>
          <w:p>
            <w:pPr>
              <w:spacing w:after="0"/>
              <w:rPr>
                <w:sz w:val="19"/>
                <w:szCs w:val="19"/>
                <w:color w:val="auto"/>
              </w:rPr>
            </w:pPr>
          </w:p>
        </w:tc>
        <w:tc>
          <w:tcPr>
            <w:tcW w:w="190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16,265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Calibri" w:cs="Calibri" w:eastAsia="Calibri" w:hAnsi="Calibri"/>
                <w:sz w:val="17"/>
                <w:szCs w:val="17"/>
                <w:color w:val="auto"/>
              </w:rPr>
              <w:t>Total dividends paid</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4"/>
              <w:spacing w:after="0" w:line="205" w:lineRule="exact"/>
              <w:rPr>
                <w:sz w:val="20"/>
                <w:szCs w:val="20"/>
                <w:color w:val="auto"/>
              </w:rPr>
            </w:pPr>
            <w:r>
              <w:rPr>
                <w:rFonts w:ascii="Calibri" w:cs="Calibri" w:eastAsia="Calibri" w:hAnsi="Calibri"/>
                <w:sz w:val="17"/>
                <w:szCs w:val="17"/>
                <w:color w:val="auto"/>
              </w:rPr>
              <w:t>$</w:t>
            </w:r>
          </w:p>
        </w:tc>
        <w:tc>
          <w:tcPr>
            <w:tcW w:w="19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142,424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900" w:type="dxa"/>
            <w:vAlign w:val="bottom"/>
            <w:tcBorders>
              <w:top w:val="single" w:sz="8" w:color="auto"/>
            </w:tcBorders>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356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520" w:type="dxa"/>
            <w:vAlign w:val="bottom"/>
            <w:gridSpan w:val="2"/>
            <w:vMerge w:val="restart"/>
            <w:shd w:val="clear" w:color="auto" w:fill="E6EEFF"/>
          </w:tcPr>
          <w:p>
            <w:pPr>
              <w:jc w:val="center"/>
              <w:ind w:right="240"/>
              <w:spacing w:after="0"/>
              <w:rPr>
                <w:sz w:val="20"/>
                <w:szCs w:val="20"/>
                <w:color w:val="auto"/>
              </w:rPr>
            </w:pPr>
            <w:r>
              <w:rPr>
                <w:rFonts w:ascii="Calibri" w:cs="Calibri" w:eastAsia="Calibri" w:hAnsi="Calibri"/>
                <w:sz w:val="17"/>
                <w:szCs w:val="17"/>
                <w:b w:val="1"/>
                <w:bCs w:val="1"/>
                <w:color w:val="1C4787"/>
                <w:w w:val="98"/>
              </w:rPr>
              <w:t>Rate per common</w:t>
            </w:r>
          </w:p>
        </w:tc>
        <w:tc>
          <w:tcPr>
            <w:tcW w:w="320" w:type="dxa"/>
            <w:vAlign w:val="bottom"/>
            <w:shd w:val="clear" w:color="auto" w:fill="E6EEFF"/>
          </w:tcPr>
          <w:p>
            <w:pPr>
              <w:spacing w:after="0"/>
              <w:rPr>
                <w:sz w:val="14"/>
                <w:szCs w:val="14"/>
                <w:color w:val="auto"/>
              </w:rPr>
            </w:pPr>
          </w:p>
        </w:tc>
        <w:tc>
          <w:tcPr>
            <w:tcW w:w="1900" w:type="dxa"/>
            <w:vAlign w:val="bottom"/>
            <w:shd w:val="clear" w:color="auto" w:fill="E6EEFF"/>
          </w:tcPr>
          <w:p>
            <w:pPr>
              <w:jc w:val="center"/>
              <w:ind w:right="234"/>
              <w:spacing w:after="0" w:line="173" w:lineRule="exact"/>
              <w:rPr>
                <w:sz w:val="20"/>
                <w:szCs w:val="20"/>
                <w:color w:val="auto"/>
              </w:rPr>
            </w:pPr>
            <w:r>
              <w:rPr>
                <w:rFonts w:ascii="Calibri" w:cs="Calibri" w:eastAsia="Calibri" w:hAnsi="Calibri"/>
                <w:sz w:val="17"/>
                <w:szCs w:val="17"/>
                <w:b w:val="1"/>
                <w:bCs w:val="1"/>
                <w:color w:val="1C4787"/>
                <w:w w:val="97"/>
              </w:rPr>
              <w:t>Aggregate</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356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20" w:type="dxa"/>
            <w:vAlign w:val="bottom"/>
            <w:shd w:val="clear" w:color="auto" w:fill="E6EEFF"/>
          </w:tcPr>
          <w:p>
            <w:pPr>
              <w:spacing w:after="0"/>
              <w:rPr>
                <w:sz w:val="14"/>
                <w:szCs w:val="14"/>
                <w:color w:val="auto"/>
              </w:rPr>
            </w:pPr>
          </w:p>
        </w:tc>
        <w:tc>
          <w:tcPr>
            <w:tcW w:w="1520" w:type="dxa"/>
            <w:vAlign w:val="bottom"/>
            <w:gridSpan w:val="2"/>
            <w:vMerge w:val="continue"/>
            <w:shd w:val="clear" w:color="auto" w:fill="E6EEFF"/>
          </w:tcPr>
          <w:p>
            <w:pPr>
              <w:spacing w:after="0"/>
              <w:rPr>
                <w:sz w:val="14"/>
                <w:szCs w:val="14"/>
                <w:color w:val="auto"/>
              </w:rPr>
            </w:pPr>
          </w:p>
        </w:tc>
        <w:tc>
          <w:tcPr>
            <w:tcW w:w="320" w:type="dxa"/>
            <w:vAlign w:val="bottom"/>
            <w:shd w:val="clear" w:color="auto" w:fill="E6EEFF"/>
          </w:tcPr>
          <w:p>
            <w:pPr>
              <w:spacing w:after="0"/>
              <w:rPr>
                <w:sz w:val="14"/>
                <w:szCs w:val="14"/>
                <w:color w:val="auto"/>
              </w:rPr>
            </w:pPr>
          </w:p>
        </w:tc>
        <w:tc>
          <w:tcPr>
            <w:tcW w:w="1900" w:type="dxa"/>
            <w:vAlign w:val="bottom"/>
            <w:shd w:val="clear" w:color="auto" w:fill="E6EEFF"/>
          </w:tcPr>
          <w:p>
            <w:pPr>
              <w:jc w:val="center"/>
              <w:ind w:right="234"/>
              <w:spacing w:after="0" w:line="167" w:lineRule="exact"/>
              <w:rPr>
                <w:sz w:val="20"/>
                <w:szCs w:val="20"/>
                <w:color w:val="auto"/>
              </w:rPr>
            </w:pPr>
            <w:r>
              <w:rPr>
                <w:rFonts w:ascii="Calibri" w:cs="Calibri" w:eastAsia="Calibri" w:hAnsi="Calibri"/>
                <w:sz w:val="17"/>
                <w:szCs w:val="17"/>
                <w:b w:val="1"/>
                <w:bCs w:val="1"/>
                <w:color w:val="1C4787"/>
                <w:w w:val="97"/>
              </w:rPr>
              <w:t>amount paid to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680" w:type="dxa"/>
            <w:vAlign w:val="bottom"/>
            <w:tcBorders>
              <w:bottom w:val="single" w:sz="8" w:color="E6EEFF"/>
            </w:tcBorders>
            <w:gridSpan w:val="2"/>
            <w:shd w:val="clear" w:color="auto" w:fill="E6EEFF"/>
          </w:tcPr>
          <w:p>
            <w:pPr>
              <w:ind w:left="1160"/>
              <w:spacing w:after="0" w:line="205" w:lineRule="exact"/>
              <w:rPr>
                <w:sz w:val="20"/>
                <w:szCs w:val="20"/>
                <w:color w:val="auto"/>
              </w:rPr>
            </w:pPr>
            <w:r>
              <w:rPr>
                <w:rFonts w:ascii="Calibri" w:cs="Calibri" w:eastAsia="Calibri" w:hAnsi="Calibri"/>
                <w:sz w:val="17"/>
                <w:szCs w:val="17"/>
                <w:b w:val="1"/>
                <w:bCs w:val="1"/>
                <w:color w:val="1C4787"/>
              </w:rPr>
              <w:t>2021 Record Date</w:t>
            </w:r>
          </w:p>
        </w:tc>
        <w:tc>
          <w:tcPr>
            <w:tcW w:w="3680" w:type="dxa"/>
            <w:vAlign w:val="bottom"/>
            <w:tcBorders>
              <w:bottom w:val="single" w:sz="8" w:color="E6EEFF"/>
            </w:tcBorders>
            <w:gridSpan w:val="2"/>
            <w:shd w:val="clear" w:color="auto" w:fill="E6EEFF"/>
          </w:tcPr>
          <w:p>
            <w:pPr>
              <w:ind w:left="1280"/>
              <w:spacing w:after="0" w:line="205" w:lineRule="exact"/>
              <w:rPr>
                <w:sz w:val="20"/>
                <w:szCs w:val="20"/>
                <w:color w:val="auto"/>
              </w:rPr>
            </w:pPr>
            <w:r>
              <w:rPr>
                <w:rFonts w:ascii="Calibri" w:cs="Calibri" w:eastAsia="Calibri" w:hAnsi="Calibri"/>
                <w:sz w:val="17"/>
                <w:szCs w:val="17"/>
                <w:b w:val="1"/>
                <w:bCs w:val="1"/>
                <w:color w:val="1C4787"/>
              </w:rPr>
              <w:t>Payment Date</w:t>
            </w:r>
          </w:p>
        </w:tc>
        <w:tc>
          <w:tcPr>
            <w:tcW w:w="120" w:type="dxa"/>
            <w:vAlign w:val="bottom"/>
            <w:tcBorders>
              <w:bottom w:val="single" w:sz="8" w:color="E6EEFF"/>
            </w:tcBorders>
            <w:shd w:val="clear" w:color="auto" w:fill="E6EEFF"/>
          </w:tcPr>
          <w:p>
            <w:pPr>
              <w:spacing w:after="0"/>
              <w:rPr>
                <w:sz w:val="19"/>
                <w:szCs w:val="19"/>
                <w:color w:val="auto"/>
              </w:rPr>
            </w:pPr>
          </w:p>
        </w:tc>
        <w:tc>
          <w:tcPr>
            <w:tcW w:w="1520" w:type="dxa"/>
            <w:vAlign w:val="bottom"/>
            <w:tcBorders>
              <w:bottom w:val="single" w:sz="8" w:color="E6EEFF"/>
            </w:tcBorders>
            <w:gridSpan w:val="2"/>
            <w:shd w:val="clear" w:color="auto" w:fill="E6EEFF"/>
          </w:tcPr>
          <w:p>
            <w:pPr>
              <w:jc w:val="center"/>
              <w:ind w:right="220"/>
              <w:spacing w:after="0" w:line="205" w:lineRule="exact"/>
              <w:rPr>
                <w:sz w:val="20"/>
                <w:szCs w:val="20"/>
                <w:color w:val="auto"/>
              </w:rPr>
            </w:pPr>
            <w:r>
              <w:rPr>
                <w:rFonts w:ascii="Calibri" w:cs="Calibri" w:eastAsia="Calibri" w:hAnsi="Calibri"/>
                <w:sz w:val="17"/>
                <w:szCs w:val="17"/>
                <w:b w:val="1"/>
                <w:bCs w:val="1"/>
                <w:color w:val="1C4787"/>
                <w:w w:val="97"/>
              </w:rPr>
              <w:t>share</w:t>
            </w:r>
          </w:p>
        </w:tc>
        <w:tc>
          <w:tcPr>
            <w:tcW w:w="320" w:type="dxa"/>
            <w:vAlign w:val="bottom"/>
            <w:tcBorders>
              <w:bottom w:val="single" w:sz="8" w:color="E6EEFF"/>
            </w:tcBorders>
            <w:shd w:val="clear" w:color="auto" w:fill="E6EEFF"/>
          </w:tcPr>
          <w:p>
            <w:pPr>
              <w:spacing w:after="0"/>
              <w:rPr>
                <w:sz w:val="19"/>
                <w:szCs w:val="19"/>
                <w:color w:val="auto"/>
              </w:rPr>
            </w:pPr>
          </w:p>
        </w:tc>
        <w:tc>
          <w:tcPr>
            <w:tcW w:w="1900" w:type="dxa"/>
            <w:vAlign w:val="bottom"/>
            <w:tcBorders>
              <w:bottom w:val="single" w:sz="8" w:color="E6EEFF"/>
            </w:tcBorders>
            <w:shd w:val="clear" w:color="auto" w:fill="E6EEFF"/>
          </w:tcPr>
          <w:p>
            <w:pPr>
              <w:jc w:val="center"/>
              <w:ind w:right="234"/>
              <w:spacing w:after="0" w:line="205" w:lineRule="exact"/>
              <w:rPr>
                <w:sz w:val="20"/>
                <w:szCs w:val="20"/>
                <w:color w:val="auto"/>
              </w:rPr>
            </w:pPr>
            <w:r>
              <w:rPr>
                <w:rFonts w:ascii="Calibri" w:cs="Calibri" w:eastAsia="Calibri" w:hAnsi="Calibri"/>
                <w:sz w:val="17"/>
                <w:szCs w:val="17"/>
                <w:b w:val="1"/>
                <w:bCs w:val="1"/>
                <w:color w:val="1C4787"/>
                <w:w w:val="97"/>
              </w:rPr>
              <w:t>holders of record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tcBorders>
              <w:top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January 15, 2021</w:t>
            </w:r>
          </w:p>
        </w:tc>
        <w:tc>
          <w:tcPr>
            <w:tcW w:w="120" w:type="dxa"/>
            <w:vAlign w:val="bottom"/>
          </w:tcPr>
          <w:p>
            <w:pPr>
              <w:spacing w:after="0"/>
              <w:rPr>
                <w:sz w:val="17"/>
                <w:szCs w:val="17"/>
                <w:color w:val="auto"/>
              </w:rPr>
            </w:pPr>
          </w:p>
        </w:tc>
        <w:tc>
          <w:tcPr>
            <w:tcW w:w="3560" w:type="dxa"/>
            <w:vAlign w:val="bottom"/>
            <w:tcBorders>
              <w:top w:val="single" w:sz="8" w:color="auto"/>
            </w:tcBorders>
          </w:tcPr>
          <w:p>
            <w:pPr>
              <w:spacing w:after="0" w:line="205" w:lineRule="exact"/>
              <w:rPr>
                <w:sz w:val="20"/>
                <w:szCs w:val="20"/>
                <w:color w:val="auto"/>
              </w:rPr>
            </w:pPr>
            <w:r>
              <w:rPr>
                <w:rFonts w:ascii="Calibri" w:cs="Calibri" w:eastAsia="Calibri" w:hAnsi="Calibri"/>
                <w:sz w:val="17"/>
                <w:szCs w:val="17"/>
                <w:color w:val="auto"/>
              </w:rPr>
              <w:t>January 28, 2021</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0.50</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4"/>
              <w:spacing w:after="0" w:line="205" w:lineRule="exact"/>
              <w:rPr>
                <w:sz w:val="20"/>
                <w:szCs w:val="20"/>
                <w:color w:val="auto"/>
              </w:rPr>
            </w:pPr>
            <w:r>
              <w:rPr>
                <w:rFonts w:ascii="Calibri" w:cs="Calibri" w:eastAsia="Calibri" w:hAnsi="Calibri"/>
                <w:sz w:val="17"/>
                <w:szCs w:val="17"/>
                <w:color w:val="auto"/>
              </w:rPr>
              <w:t>$</w:t>
            </w:r>
          </w:p>
        </w:tc>
        <w:tc>
          <w:tcPr>
            <w:tcW w:w="190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6,646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February 16, 2021</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February 26, 2021</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0.50</w:t>
            </w:r>
          </w:p>
        </w:tc>
        <w:tc>
          <w:tcPr>
            <w:tcW w:w="100" w:type="dxa"/>
            <w:vAlign w:val="bottom"/>
            <w:shd w:val="clear" w:color="auto" w:fill="E6EEFF"/>
          </w:tcPr>
          <w:p>
            <w:pPr>
              <w:spacing w:after="0"/>
              <w:rPr>
                <w:sz w:val="19"/>
                <w:szCs w:val="19"/>
                <w:color w:val="auto"/>
              </w:rPr>
            </w:pPr>
          </w:p>
        </w:tc>
        <w:tc>
          <w:tcPr>
            <w:tcW w:w="320" w:type="dxa"/>
            <w:vAlign w:val="bottom"/>
            <w:shd w:val="clear" w:color="auto" w:fill="E6EEFF"/>
          </w:tcPr>
          <w:p>
            <w:pPr>
              <w:spacing w:after="0"/>
              <w:rPr>
                <w:sz w:val="19"/>
                <w:szCs w:val="19"/>
                <w:color w:val="auto"/>
              </w:rPr>
            </w:pPr>
          </w:p>
        </w:tc>
        <w:tc>
          <w:tcPr>
            <w:tcW w:w="1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6,645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March 15, 2021</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March 29, 2021</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0.50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line="205" w:lineRule="exact"/>
              <w:rPr>
                <w:sz w:val="20"/>
                <w:szCs w:val="20"/>
                <w:color w:val="auto"/>
              </w:rPr>
            </w:pPr>
            <w:r>
              <w:rPr>
                <w:rFonts w:ascii="Calibri" w:cs="Calibri" w:eastAsia="Calibri" w:hAnsi="Calibri"/>
                <w:sz w:val="17"/>
                <w:szCs w:val="17"/>
                <w:color w:val="auto"/>
              </w:rPr>
              <w:t>6,766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April 15, 2021</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April 29, 2021</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0.50</w:t>
            </w:r>
          </w:p>
        </w:tc>
        <w:tc>
          <w:tcPr>
            <w:tcW w:w="100" w:type="dxa"/>
            <w:vAlign w:val="bottom"/>
            <w:shd w:val="clear" w:color="auto" w:fill="E6EEFF"/>
          </w:tcPr>
          <w:p>
            <w:pPr>
              <w:spacing w:after="0"/>
              <w:rPr>
                <w:sz w:val="19"/>
                <w:szCs w:val="19"/>
                <w:color w:val="auto"/>
              </w:rPr>
            </w:pPr>
          </w:p>
        </w:tc>
        <w:tc>
          <w:tcPr>
            <w:tcW w:w="320" w:type="dxa"/>
            <w:vAlign w:val="bottom"/>
            <w:shd w:val="clear" w:color="auto" w:fill="E6EEFF"/>
          </w:tcPr>
          <w:p>
            <w:pPr>
              <w:spacing w:after="0"/>
              <w:rPr>
                <w:sz w:val="19"/>
                <w:szCs w:val="19"/>
                <w:color w:val="auto"/>
              </w:rPr>
            </w:pPr>
          </w:p>
        </w:tc>
        <w:tc>
          <w:tcPr>
            <w:tcW w:w="1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7,234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May 17, 2021</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May 27, 2021</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0.50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line="205" w:lineRule="exact"/>
              <w:rPr>
                <w:sz w:val="20"/>
                <w:szCs w:val="20"/>
                <w:color w:val="auto"/>
              </w:rPr>
            </w:pPr>
            <w:r>
              <w:rPr>
                <w:rFonts w:ascii="Calibri" w:cs="Calibri" w:eastAsia="Calibri" w:hAnsi="Calibri"/>
                <w:sz w:val="17"/>
                <w:szCs w:val="17"/>
                <w:color w:val="auto"/>
              </w:rPr>
              <w:t>7,646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June 15, 2021</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June 29, 2021</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0.50</w:t>
            </w:r>
          </w:p>
        </w:tc>
        <w:tc>
          <w:tcPr>
            <w:tcW w:w="100" w:type="dxa"/>
            <w:vAlign w:val="bottom"/>
            <w:shd w:val="clear" w:color="auto" w:fill="E6EEFF"/>
          </w:tcPr>
          <w:p>
            <w:pPr>
              <w:spacing w:after="0"/>
              <w:rPr>
                <w:sz w:val="19"/>
                <w:szCs w:val="19"/>
                <w:color w:val="auto"/>
              </w:rPr>
            </w:pPr>
          </w:p>
        </w:tc>
        <w:tc>
          <w:tcPr>
            <w:tcW w:w="320" w:type="dxa"/>
            <w:vAlign w:val="bottom"/>
            <w:shd w:val="clear" w:color="auto" w:fill="E6EEFF"/>
          </w:tcPr>
          <w:p>
            <w:pPr>
              <w:spacing w:after="0"/>
              <w:rPr>
                <w:sz w:val="19"/>
                <w:szCs w:val="19"/>
                <w:color w:val="auto"/>
              </w:rPr>
            </w:pPr>
          </w:p>
        </w:tc>
        <w:tc>
          <w:tcPr>
            <w:tcW w:w="1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8,317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July 15, 2021</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July 29, 2021</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0.50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line="205" w:lineRule="exact"/>
              <w:rPr>
                <w:sz w:val="20"/>
                <w:szCs w:val="20"/>
                <w:color w:val="auto"/>
              </w:rPr>
            </w:pPr>
            <w:r>
              <w:rPr>
                <w:rFonts w:ascii="Calibri" w:cs="Calibri" w:eastAsia="Calibri" w:hAnsi="Calibri"/>
                <w:sz w:val="17"/>
                <w:szCs w:val="17"/>
                <w:color w:val="auto"/>
              </w:rPr>
              <w:t>8,413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August 16, 2021</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August 27, 2021</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0.50</w:t>
            </w:r>
          </w:p>
        </w:tc>
        <w:tc>
          <w:tcPr>
            <w:tcW w:w="100" w:type="dxa"/>
            <w:vAlign w:val="bottom"/>
            <w:shd w:val="clear" w:color="auto" w:fill="E6EEFF"/>
          </w:tcPr>
          <w:p>
            <w:pPr>
              <w:spacing w:after="0"/>
              <w:rPr>
                <w:sz w:val="19"/>
                <w:szCs w:val="19"/>
                <w:color w:val="auto"/>
              </w:rPr>
            </w:pPr>
          </w:p>
        </w:tc>
        <w:tc>
          <w:tcPr>
            <w:tcW w:w="320" w:type="dxa"/>
            <w:vAlign w:val="bottom"/>
            <w:shd w:val="clear" w:color="auto" w:fill="E6EEFF"/>
          </w:tcPr>
          <w:p>
            <w:pPr>
              <w:spacing w:after="0"/>
              <w:rPr>
                <w:sz w:val="19"/>
                <w:szCs w:val="19"/>
                <w:color w:val="auto"/>
              </w:rPr>
            </w:pPr>
          </w:p>
        </w:tc>
        <w:tc>
          <w:tcPr>
            <w:tcW w:w="1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8,413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September 15, 2021</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September 29, 2021</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0.50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line="205" w:lineRule="exact"/>
              <w:rPr>
                <w:sz w:val="20"/>
                <w:szCs w:val="20"/>
                <w:color w:val="auto"/>
              </w:rPr>
            </w:pPr>
            <w:r>
              <w:rPr>
                <w:rFonts w:ascii="Calibri" w:cs="Calibri" w:eastAsia="Calibri" w:hAnsi="Calibri"/>
                <w:sz w:val="17"/>
                <w:szCs w:val="17"/>
                <w:color w:val="auto"/>
              </w:rPr>
              <w:t>8,635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October 15, 2021</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October 28, 2021</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0.50</w:t>
            </w:r>
          </w:p>
        </w:tc>
        <w:tc>
          <w:tcPr>
            <w:tcW w:w="100" w:type="dxa"/>
            <w:vAlign w:val="bottom"/>
            <w:shd w:val="clear" w:color="auto" w:fill="E6EEFF"/>
          </w:tcPr>
          <w:p>
            <w:pPr>
              <w:spacing w:after="0"/>
              <w:rPr>
                <w:sz w:val="19"/>
                <w:szCs w:val="19"/>
                <w:color w:val="auto"/>
              </w:rPr>
            </w:pPr>
          </w:p>
        </w:tc>
        <w:tc>
          <w:tcPr>
            <w:tcW w:w="320" w:type="dxa"/>
            <w:vAlign w:val="bottom"/>
            <w:shd w:val="clear" w:color="auto" w:fill="E6EEFF"/>
          </w:tcPr>
          <w:p>
            <w:pPr>
              <w:spacing w:after="0"/>
              <w:rPr>
                <w:sz w:val="19"/>
                <w:szCs w:val="19"/>
                <w:color w:val="auto"/>
              </w:rPr>
            </w:pPr>
          </w:p>
        </w:tc>
        <w:tc>
          <w:tcPr>
            <w:tcW w:w="19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November 15, 2021</w:t>
            </w:r>
          </w:p>
        </w:tc>
        <w:tc>
          <w:tcPr>
            <w:tcW w:w="3680" w:type="dxa"/>
            <w:vAlign w:val="bottom"/>
            <w:gridSpan w:val="2"/>
          </w:tcPr>
          <w:p>
            <w:pPr>
              <w:spacing w:after="0" w:line="205" w:lineRule="exact"/>
              <w:rPr>
                <w:sz w:val="20"/>
                <w:szCs w:val="20"/>
                <w:color w:val="auto"/>
              </w:rPr>
            </w:pPr>
            <w:r>
              <w:rPr>
                <w:rFonts w:ascii="Calibri" w:cs="Calibri" w:eastAsia="Calibri" w:hAnsi="Calibri"/>
                <w:sz w:val="17"/>
                <w:szCs w:val="17"/>
                <w:color w:val="auto"/>
              </w:rPr>
              <w:t>November 29, 2021</w:t>
            </w:r>
          </w:p>
        </w:tc>
        <w:tc>
          <w:tcPr>
            <w:tcW w:w="120" w:type="dxa"/>
            <w:vAlign w:val="bottom"/>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1420" w:type="dxa"/>
            <w:vAlign w:val="bottom"/>
          </w:tcPr>
          <w:p>
            <w:pPr>
              <w:jc w:val="right"/>
              <w:spacing w:after="0" w:line="205" w:lineRule="exact"/>
              <w:rPr>
                <w:sz w:val="20"/>
                <w:szCs w:val="20"/>
                <w:color w:val="auto"/>
              </w:rPr>
            </w:pPr>
            <w:r>
              <w:rPr>
                <w:rFonts w:ascii="Calibri" w:cs="Calibri" w:eastAsia="Calibri" w:hAnsi="Calibri"/>
                <w:sz w:val="17"/>
                <w:szCs w:val="17"/>
                <w:color w:val="auto"/>
              </w:rPr>
              <w:t>0.50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line="205" w:lineRule="exact"/>
              <w:rPr>
                <w:sz w:val="20"/>
                <w:szCs w:val="20"/>
                <w:color w:val="auto"/>
              </w:rPr>
            </w:pPr>
            <w:r>
              <w:rPr>
                <w:rFonts w:ascii="Calibri" w:cs="Calibri" w:eastAsia="Calibri" w:hAnsi="Calibri"/>
                <w:sz w:val="17"/>
                <w:szCs w:val="17"/>
                <w:color w:val="auto"/>
              </w:rPr>
              <w:t>9,347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8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December 15, 2021</w:t>
            </w:r>
          </w:p>
        </w:tc>
        <w:tc>
          <w:tcPr>
            <w:tcW w:w="3680" w:type="dxa"/>
            <w:vAlign w:val="bottom"/>
            <w:gridSpan w:val="2"/>
            <w:shd w:val="clear" w:color="auto" w:fill="E6EEFF"/>
          </w:tcPr>
          <w:p>
            <w:pPr>
              <w:spacing w:after="0"/>
              <w:rPr>
                <w:sz w:val="20"/>
                <w:szCs w:val="20"/>
                <w:color w:val="auto"/>
              </w:rPr>
            </w:pPr>
            <w:r>
              <w:rPr>
                <w:rFonts w:ascii="Calibri" w:cs="Calibri" w:eastAsia="Calibri" w:hAnsi="Calibri"/>
                <w:sz w:val="17"/>
                <w:szCs w:val="17"/>
                <w:color w:val="auto"/>
              </w:rPr>
              <w:t>December 29, 2021</w:t>
            </w:r>
          </w:p>
        </w:tc>
        <w:tc>
          <w:tcPr>
            <w:tcW w:w="1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w w:val="92"/>
              </w:rPr>
              <w:t>$</w:t>
            </w:r>
          </w:p>
        </w:tc>
        <w:tc>
          <w:tcPr>
            <w:tcW w:w="14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0.50</w:t>
            </w:r>
          </w:p>
        </w:tc>
        <w:tc>
          <w:tcPr>
            <w:tcW w:w="100" w:type="dxa"/>
            <w:vAlign w:val="bottom"/>
            <w:shd w:val="clear" w:color="auto" w:fill="E6EEFF"/>
          </w:tcPr>
          <w:p>
            <w:pPr>
              <w:spacing w:after="0"/>
              <w:rPr>
                <w:sz w:val="19"/>
                <w:szCs w:val="19"/>
                <w:color w:val="auto"/>
              </w:rPr>
            </w:pPr>
          </w:p>
        </w:tc>
        <w:tc>
          <w:tcPr>
            <w:tcW w:w="320" w:type="dxa"/>
            <w:vAlign w:val="bottom"/>
            <w:tcBorders>
              <w:bottom w:val="single" w:sz="8" w:color="auto"/>
            </w:tcBorders>
            <w:shd w:val="clear" w:color="auto" w:fill="E6EEFF"/>
          </w:tcPr>
          <w:p>
            <w:pPr>
              <w:spacing w:after="0"/>
              <w:rPr>
                <w:sz w:val="19"/>
                <w:szCs w:val="19"/>
                <w:color w:val="auto"/>
              </w:rPr>
            </w:pPr>
          </w:p>
        </w:tc>
        <w:tc>
          <w:tcPr>
            <w:tcW w:w="1900" w:type="dxa"/>
            <w:vAlign w:val="bottom"/>
            <w:tcBorders>
              <w:bottom w:val="single" w:sz="8" w:color="auto"/>
            </w:tcBorders>
            <w:shd w:val="clear" w:color="auto" w:fill="E6EEFF"/>
          </w:tcPr>
          <w:p>
            <w:pPr>
              <w:jc w:val="right"/>
              <w:spacing w:after="0"/>
              <w:rPr>
                <w:sz w:val="20"/>
                <w:szCs w:val="20"/>
                <w:color w:val="auto"/>
              </w:rPr>
            </w:pPr>
            <w:r>
              <w:rPr>
                <w:rFonts w:ascii="Calibri" w:cs="Calibri" w:eastAsia="Calibri" w:hAnsi="Calibri"/>
                <w:sz w:val="17"/>
                <w:szCs w:val="17"/>
                <w:color w:val="auto"/>
              </w:rPr>
              <w:t>9,503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Calibri" w:cs="Calibri" w:eastAsia="Calibri" w:hAnsi="Calibri"/>
                <w:sz w:val="17"/>
                <w:szCs w:val="17"/>
                <w:color w:val="auto"/>
              </w:rPr>
              <w:t>Total dividends paid</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4"/>
              <w:spacing w:after="0" w:line="205" w:lineRule="exact"/>
              <w:rPr>
                <w:sz w:val="20"/>
                <w:szCs w:val="20"/>
                <w:color w:val="auto"/>
              </w:rPr>
            </w:pPr>
            <w:r>
              <w:rPr>
                <w:rFonts w:ascii="Calibri" w:cs="Calibri" w:eastAsia="Calibri" w:hAnsi="Calibri"/>
                <w:sz w:val="17"/>
                <w:szCs w:val="17"/>
                <w:color w:val="auto"/>
              </w:rPr>
              <w:t>$</w:t>
            </w:r>
          </w:p>
        </w:tc>
        <w:tc>
          <w:tcPr>
            <w:tcW w:w="19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96,630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5"/>
        </w:trPr>
        <w:tc>
          <w:tcPr>
            <w:tcW w:w="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-752475</wp:posOffset>
            </wp:positionV>
            <wp:extent cx="458470" cy="5073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06" w:name="page107"/>
    <w:bookmarkEnd w:id="106"/>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105</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Note 11 - Net Income (Loss) per Common Share</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following table presents a reconciliaton of net income (loss) and the shares used in calculatng weighted average basic and diluted earnings per common share for the years ended December 31, 2023, December 31, 2022 and December 31,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840" w:type="dxa"/>
            <w:vAlign w:val="bottom"/>
            <w:shd w:val="clear" w:color="auto" w:fill="E6EEFF"/>
          </w:tcPr>
          <w:p>
            <w:pPr>
              <w:spacing w:after="0"/>
              <w:rPr>
                <w:sz w:val="19"/>
                <w:szCs w:val="19"/>
                <w:color w:val="auto"/>
              </w:rPr>
            </w:pPr>
          </w:p>
        </w:tc>
        <w:tc>
          <w:tcPr>
            <w:tcW w:w="440" w:type="dxa"/>
            <w:vAlign w:val="bottom"/>
            <w:tcBorders>
              <w:bottom w:val="single" w:sz="8" w:color="auto"/>
            </w:tcBorders>
            <w:shd w:val="clear" w:color="auto" w:fill="E6EEFF"/>
          </w:tcPr>
          <w:p>
            <w:pPr>
              <w:spacing w:after="0"/>
              <w:rPr>
                <w:sz w:val="19"/>
                <w:szCs w:val="19"/>
                <w:color w:val="auto"/>
              </w:rPr>
            </w:pPr>
          </w:p>
        </w:tc>
        <w:tc>
          <w:tcPr>
            <w:tcW w:w="940" w:type="dxa"/>
            <w:vAlign w:val="bottom"/>
            <w:tcBorders>
              <w:bottom w:val="single" w:sz="8" w:color="auto"/>
            </w:tcBorders>
            <w:shd w:val="clear" w:color="auto" w:fill="E6EEFF"/>
          </w:tcPr>
          <w:p>
            <w:pPr>
              <w:spacing w:after="0"/>
              <w:rPr>
                <w:sz w:val="19"/>
                <w:szCs w:val="19"/>
                <w:color w:val="auto"/>
              </w:rPr>
            </w:pPr>
          </w:p>
        </w:tc>
        <w:tc>
          <w:tcPr>
            <w:tcW w:w="120" w:type="dxa"/>
            <w:vAlign w:val="bottom"/>
            <w:tcBorders>
              <w:bottom w:val="single" w:sz="8" w:color="auto"/>
            </w:tcBorders>
            <w:shd w:val="clear" w:color="auto" w:fill="E6EEFF"/>
          </w:tcPr>
          <w:p>
            <w:pPr>
              <w:spacing w:after="0"/>
              <w:rPr>
                <w:sz w:val="19"/>
                <w:szCs w:val="19"/>
                <w:color w:val="auto"/>
              </w:rPr>
            </w:pPr>
          </w:p>
        </w:tc>
        <w:tc>
          <w:tcPr>
            <w:tcW w:w="1520" w:type="dxa"/>
            <w:vAlign w:val="bottom"/>
            <w:tcBorders>
              <w:bottom w:val="single" w:sz="8" w:color="auto"/>
            </w:tcBorders>
            <w:gridSpan w:val="3"/>
            <w:shd w:val="clear" w:color="auto" w:fill="E6EEFF"/>
          </w:tcPr>
          <w:p>
            <w:pPr>
              <w:ind w:left="20"/>
              <w:spacing w:after="0"/>
              <w:rPr>
                <w:sz w:val="20"/>
                <w:szCs w:val="20"/>
                <w:color w:val="auto"/>
              </w:rPr>
            </w:pPr>
            <w:r>
              <w:rPr>
                <w:rFonts w:ascii="Calibri" w:cs="Calibri" w:eastAsia="Calibri" w:hAnsi="Calibri"/>
                <w:sz w:val="17"/>
                <w:szCs w:val="17"/>
                <w:b w:val="1"/>
                <w:bCs w:val="1"/>
                <w:color w:val="1C4787"/>
              </w:rPr>
              <w:t>For the Years Ended</w:t>
            </w:r>
          </w:p>
        </w:tc>
        <w:tc>
          <w:tcPr>
            <w:tcW w:w="440" w:type="dxa"/>
            <w:vAlign w:val="bottom"/>
            <w:tcBorders>
              <w:bottom w:val="single" w:sz="8" w:color="auto"/>
            </w:tcBorders>
            <w:shd w:val="clear" w:color="auto" w:fill="E6EEFF"/>
          </w:tcPr>
          <w:p>
            <w:pPr>
              <w:spacing w:after="0"/>
              <w:rPr>
                <w:sz w:val="19"/>
                <w:szCs w:val="19"/>
                <w:color w:val="auto"/>
              </w:rPr>
            </w:pPr>
          </w:p>
        </w:tc>
        <w:tc>
          <w:tcPr>
            <w:tcW w:w="940" w:type="dxa"/>
            <w:vAlign w:val="bottom"/>
            <w:tcBorders>
              <w:bottom w:val="single" w:sz="8" w:color="auto"/>
            </w:tcBorders>
            <w:shd w:val="clear" w:color="auto" w:fill="E6EEFF"/>
          </w:tcPr>
          <w:p>
            <w:pPr>
              <w:spacing w:after="0"/>
              <w:rPr>
                <w:sz w:val="19"/>
                <w:szCs w:val="19"/>
                <w:color w:val="auto"/>
              </w:rPr>
            </w:pPr>
          </w:p>
        </w:tc>
      </w:tr>
      <w:tr>
        <w:trPr>
          <w:trHeight w:val="205"/>
        </w:trPr>
        <w:tc>
          <w:tcPr>
            <w:tcW w:w="6840" w:type="dxa"/>
            <w:vAlign w:val="bottom"/>
          </w:tcPr>
          <w:p>
            <w:pPr>
              <w:spacing w:after="0"/>
              <w:rPr>
                <w:sz w:val="17"/>
                <w:szCs w:val="17"/>
                <w:color w:val="auto"/>
              </w:rPr>
            </w:pPr>
          </w:p>
        </w:tc>
        <w:tc>
          <w:tcPr>
            <w:tcW w:w="1500" w:type="dxa"/>
            <w:vAlign w:val="bottom"/>
            <w:gridSpan w:val="3"/>
          </w:tcPr>
          <w:p>
            <w:pPr>
              <w:jc w:val="right"/>
              <w:ind w:right="140"/>
              <w:spacing w:after="0" w:line="205" w:lineRule="exact"/>
              <w:rPr>
                <w:sz w:val="20"/>
                <w:szCs w:val="20"/>
                <w:color w:val="auto"/>
              </w:rPr>
            </w:pPr>
            <w:r>
              <w:rPr>
                <w:rFonts w:ascii="Calibri" w:cs="Calibri" w:eastAsia="Calibri" w:hAnsi="Calibri"/>
                <w:sz w:val="17"/>
                <w:szCs w:val="17"/>
                <w:b w:val="1"/>
                <w:bCs w:val="1"/>
                <w:color w:val="1C4787"/>
                <w:w w:val="98"/>
              </w:rPr>
              <w:t>December 31, 2023</w:t>
            </w:r>
          </w:p>
        </w:tc>
        <w:tc>
          <w:tcPr>
            <w:tcW w:w="1520" w:type="dxa"/>
            <w:vAlign w:val="bottom"/>
            <w:gridSpan w:val="3"/>
          </w:tcPr>
          <w:p>
            <w:pPr>
              <w:ind w:left="2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380" w:type="dxa"/>
            <w:vAlign w:val="bottom"/>
            <w:gridSpan w:val="2"/>
          </w:tcPr>
          <w:p>
            <w:pPr>
              <w:ind w:left="20"/>
              <w:spacing w:after="0" w:line="205" w:lineRule="exact"/>
              <w:rPr>
                <w:sz w:val="20"/>
                <w:szCs w:val="20"/>
                <w:color w:val="auto"/>
              </w:rPr>
            </w:pPr>
            <w:r>
              <w:rPr>
                <w:rFonts w:ascii="Calibri" w:cs="Calibri" w:eastAsia="Calibri" w:hAnsi="Calibri"/>
                <w:sz w:val="17"/>
                <w:szCs w:val="17"/>
                <w:b w:val="1"/>
                <w:bCs w:val="1"/>
                <w:color w:val="1C4787"/>
                <w:w w:val="98"/>
              </w:rPr>
              <w:t>December 31, 2021</w:t>
            </w:r>
          </w:p>
        </w:tc>
      </w:tr>
      <w:tr>
        <w:trPr>
          <w:trHeight w:val="219"/>
        </w:trPr>
        <w:tc>
          <w:tcPr>
            <w:tcW w:w="6840" w:type="dxa"/>
            <w:vAlign w:val="bottom"/>
            <w:tcBorders>
              <w:top w:val="single" w:sz="8" w:color="E6EEFF"/>
            </w:tcBorders>
            <w:shd w:val="clear" w:color="auto" w:fill="E6EEFF"/>
          </w:tcPr>
          <w:p>
            <w:pPr>
              <w:ind w:left="20"/>
              <w:spacing w:after="0" w:line="197" w:lineRule="exact"/>
              <w:rPr>
                <w:sz w:val="20"/>
                <w:szCs w:val="20"/>
                <w:color w:val="auto"/>
              </w:rPr>
            </w:pPr>
            <w:r>
              <w:rPr>
                <w:rFonts w:ascii="Calibri" w:cs="Calibri" w:eastAsia="Calibri" w:hAnsi="Calibri"/>
                <w:sz w:val="17"/>
                <w:szCs w:val="17"/>
                <w:b w:val="1"/>
                <w:bCs w:val="1"/>
                <w:color w:val="1C4787"/>
              </w:rPr>
              <w:t>Net Income (Loss)</w:t>
            </w:r>
          </w:p>
        </w:tc>
        <w:tc>
          <w:tcPr>
            <w:tcW w:w="440" w:type="dxa"/>
            <w:vAlign w:val="bottom"/>
            <w:tcBorders>
              <w:top w:val="single" w:sz="8" w:color="auto"/>
            </w:tcBorders>
            <w:shd w:val="clear" w:color="auto" w:fill="E6EEFF"/>
          </w:tcPr>
          <w:p>
            <w:pPr>
              <w:jc w:val="right"/>
              <w:ind w:right="25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(67,923)</w:t>
            </w:r>
          </w:p>
        </w:tc>
        <w:tc>
          <w:tcPr>
            <w:tcW w:w="120" w:type="dxa"/>
            <w:vAlign w:val="bottom"/>
            <w:tcBorders>
              <w:top w:val="single" w:sz="8" w:color="E6EEFF"/>
            </w:tcBorders>
            <w:shd w:val="clear" w:color="auto" w:fill="E6EEFF"/>
          </w:tcPr>
          <w:p>
            <w:pPr>
              <w:spacing w:after="0"/>
              <w:rPr>
                <w:sz w:val="19"/>
                <w:szCs w:val="19"/>
                <w:color w:val="auto"/>
              </w:rPr>
            </w:pPr>
          </w:p>
        </w:tc>
        <w:tc>
          <w:tcPr>
            <w:tcW w:w="420" w:type="dxa"/>
            <w:vAlign w:val="bottom"/>
            <w:tcBorders>
              <w:top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98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(229,930)</w:t>
            </w:r>
          </w:p>
        </w:tc>
        <w:tc>
          <w:tcPr>
            <w:tcW w:w="120" w:type="dxa"/>
            <w:vAlign w:val="bottom"/>
            <w:tcBorders>
              <w:top w:val="single" w:sz="8" w:color="E6EEFF"/>
            </w:tcBorders>
            <w:shd w:val="clear" w:color="auto" w:fill="E6EEFF"/>
          </w:tcPr>
          <w:p>
            <w:pPr>
              <w:spacing w:after="0"/>
              <w:rPr>
                <w:sz w:val="19"/>
                <w:szCs w:val="19"/>
                <w:color w:val="auto"/>
              </w:rPr>
            </w:pPr>
          </w:p>
        </w:tc>
        <w:tc>
          <w:tcPr>
            <w:tcW w:w="440" w:type="dxa"/>
            <w:vAlign w:val="bottom"/>
            <w:tcBorders>
              <w:top w:val="single" w:sz="8" w:color="auto"/>
            </w:tcBorders>
            <w:shd w:val="clear" w:color="auto" w:fill="E6EEFF"/>
          </w:tcPr>
          <w:p>
            <w:pPr>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15,363</w:t>
            </w:r>
          </w:p>
        </w:tc>
      </w:tr>
      <w:tr>
        <w:trPr>
          <w:trHeight w:val="212"/>
        </w:trPr>
        <w:tc>
          <w:tcPr>
            <w:tcW w:w="6840" w:type="dxa"/>
            <w:vAlign w:val="bottom"/>
            <w:tcBorders>
              <w:bottom w:val="single" w:sz="8" w:color="E6EEFF"/>
            </w:tcBorders>
          </w:tcPr>
          <w:p>
            <w:pPr>
              <w:ind w:left="120"/>
              <w:spacing w:after="0" w:line="205" w:lineRule="exact"/>
              <w:rPr>
                <w:sz w:val="20"/>
                <w:szCs w:val="20"/>
                <w:color w:val="auto"/>
              </w:rPr>
            </w:pPr>
            <w:r>
              <w:rPr>
                <w:rFonts w:ascii="Calibri" w:cs="Calibri" w:eastAsia="Calibri" w:hAnsi="Calibri"/>
                <w:sz w:val="17"/>
                <w:szCs w:val="17"/>
                <w:color w:val="auto"/>
              </w:rPr>
              <w:t>Less: Preferred dividends</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(11,982)</w:t>
            </w:r>
          </w:p>
        </w:tc>
        <w:tc>
          <w:tcPr>
            <w:tcW w:w="120" w:type="dxa"/>
            <w:vAlign w:val="bottom"/>
            <w:tcBorders>
              <w:bottom w:val="single" w:sz="8" w:color="E6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(11,982)</w:t>
            </w:r>
          </w:p>
        </w:tc>
        <w:tc>
          <w:tcPr>
            <w:tcW w:w="120" w:type="dxa"/>
            <w:vAlign w:val="bottom"/>
            <w:tcBorders>
              <w:bottom w:val="single" w:sz="8" w:color="E6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(11,473)</w:t>
            </w:r>
          </w:p>
        </w:tc>
      </w:tr>
      <w:tr>
        <w:trPr>
          <w:trHeight w:val="244"/>
        </w:trPr>
        <w:tc>
          <w:tcPr>
            <w:tcW w:w="6840" w:type="dxa"/>
            <w:vAlign w:val="bottom"/>
            <w:tcBorders>
              <w:bottom w:val="single" w:sz="8" w:color="E6EEFF"/>
            </w:tcBorders>
            <w:shd w:val="clear" w:color="auto" w:fill="E6EEFF"/>
          </w:tcPr>
          <w:p>
            <w:pPr>
              <w:ind w:left="20"/>
              <w:spacing w:after="0"/>
              <w:rPr>
                <w:sz w:val="20"/>
                <w:szCs w:val="20"/>
                <w:color w:val="auto"/>
              </w:rPr>
            </w:pPr>
            <w:r>
              <w:rPr>
                <w:rFonts w:ascii="Calibri" w:cs="Calibri" w:eastAsia="Calibri" w:hAnsi="Calibri"/>
                <w:sz w:val="17"/>
                <w:szCs w:val="17"/>
                <w:b w:val="1"/>
                <w:bCs w:val="1"/>
                <w:color w:val="1C4787"/>
              </w:rPr>
              <w:t>Net Income (loss) available (related) to common stockholders</w:t>
            </w:r>
          </w:p>
        </w:tc>
        <w:tc>
          <w:tcPr>
            <w:tcW w:w="440" w:type="dxa"/>
            <w:vAlign w:val="bottom"/>
            <w:tcBorders>
              <w:bottom w:val="single" w:sz="8" w:color="auto"/>
            </w:tcBorders>
            <w:shd w:val="clear" w:color="auto" w:fill="E6EEFF"/>
          </w:tcPr>
          <w:p>
            <w:pPr>
              <w:jc w:val="right"/>
              <w:ind w:right="25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(79,905)</w:t>
            </w:r>
          </w:p>
        </w:tc>
        <w:tc>
          <w:tcPr>
            <w:tcW w:w="120" w:type="dxa"/>
            <w:vAlign w:val="bottom"/>
            <w:tcBorders>
              <w:bottom w:val="single" w:sz="8" w:color="E6EEFF"/>
            </w:tcBorders>
            <w:shd w:val="clear" w:color="auto" w:fill="E6EEFF"/>
          </w:tcPr>
          <w:p>
            <w:pPr>
              <w:spacing w:after="0"/>
              <w:rPr>
                <w:sz w:val="20"/>
                <w:szCs w:val="20"/>
                <w:color w:val="auto"/>
              </w:rPr>
            </w:pPr>
          </w:p>
        </w:tc>
        <w:tc>
          <w:tcPr>
            <w:tcW w:w="420" w:type="dxa"/>
            <w:vAlign w:val="bottom"/>
            <w:tcBorders>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98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(241,912)</w:t>
            </w:r>
          </w:p>
        </w:tc>
        <w:tc>
          <w:tcPr>
            <w:tcW w:w="120" w:type="dxa"/>
            <w:vAlign w:val="bottom"/>
            <w:tcBorders>
              <w:bottom w:val="single" w:sz="8" w:color="E6EEFF"/>
            </w:tcBorders>
            <w:shd w:val="clear" w:color="auto" w:fill="E6EEFF"/>
          </w:tcPr>
          <w:p>
            <w:pPr>
              <w:spacing w:after="0"/>
              <w:rPr>
                <w:sz w:val="20"/>
                <w:szCs w:val="20"/>
                <w:color w:val="auto"/>
              </w:rPr>
            </w:pPr>
          </w:p>
        </w:tc>
        <w:tc>
          <w:tcPr>
            <w:tcW w:w="440" w:type="dxa"/>
            <w:vAlign w:val="bottom"/>
            <w:tcBorders>
              <w:bottom w:val="single" w:sz="8" w:color="auto"/>
            </w:tcBorders>
            <w:shd w:val="clear" w:color="auto" w:fill="E6EEFF"/>
          </w:tcPr>
          <w:p>
            <w:pPr>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3,890</w:t>
            </w:r>
          </w:p>
        </w:tc>
      </w:tr>
      <w:tr>
        <w:trPr>
          <w:trHeight w:val="20"/>
        </w:trPr>
        <w:tc>
          <w:tcPr>
            <w:tcW w:w="6840" w:type="dxa"/>
            <w:vAlign w:val="bottom"/>
            <w:tcBorders>
              <w:top w:val="single" w:sz="8" w:color="E6EEFF"/>
            </w:tcBorders>
          </w:tcPr>
          <w:p>
            <w:pPr>
              <w:spacing w:after="0" w:line="20" w:lineRule="exact"/>
              <w:rPr>
                <w:sz w:val="1"/>
                <w:szCs w:val="1"/>
                <w:color w:val="auto"/>
              </w:rPr>
            </w:pPr>
          </w:p>
        </w:tc>
        <w:tc>
          <w:tcPr>
            <w:tcW w:w="44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420" w:type="dxa"/>
            <w:vAlign w:val="bottom"/>
            <w:tcBorders>
              <w:top w:val="single" w:sz="8" w:color="E6EEFF"/>
              <w:bottom w:val="single" w:sz="8" w:color="auto"/>
            </w:tcBorders>
          </w:tcPr>
          <w:p>
            <w:pPr>
              <w:spacing w:after="0" w:line="20" w:lineRule="exact"/>
              <w:rPr>
                <w:sz w:val="1"/>
                <w:szCs w:val="1"/>
                <w:color w:val="auto"/>
              </w:rPr>
            </w:pPr>
          </w:p>
        </w:tc>
        <w:tc>
          <w:tcPr>
            <w:tcW w:w="98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44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r>
      <w:tr>
        <w:trPr>
          <w:trHeight w:val="204"/>
        </w:trPr>
        <w:tc>
          <w:tcPr>
            <w:tcW w:w="6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6840" w:type="dxa"/>
            <w:vAlign w:val="bottom"/>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Weighted average common shares outstanding – basic</w:t>
            </w:r>
          </w:p>
        </w:tc>
        <w:tc>
          <w:tcPr>
            <w:tcW w:w="440" w:type="dxa"/>
            <w:vAlign w:val="bottom"/>
            <w:shd w:val="clear" w:color="auto" w:fill="E6EEFF"/>
          </w:tcPr>
          <w:p>
            <w:pPr>
              <w:spacing w:after="0"/>
              <w:rPr>
                <w:sz w:val="19"/>
                <w:szCs w:val="19"/>
                <w:color w:val="auto"/>
              </w:rPr>
            </w:pPr>
          </w:p>
        </w:tc>
        <w:tc>
          <w:tcPr>
            <w:tcW w:w="94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43,054</w:t>
            </w:r>
          </w:p>
        </w:tc>
        <w:tc>
          <w:tcPr>
            <w:tcW w:w="120" w:type="dxa"/>
            <w:vAlign w:val="bottom"/>
            <w:shd w:val="clear" w:color="auto" w:fill="E6EEFF"/>
          </w:tcPr>
          <w:p>
            <w:pPr>
              <w:spacing w:after="0"/>
              <w:rPr>
                <w:sz w:val="19"/>
                <w:szCs w:val="19"/>
                <w:color w:val="auto"/>
              </w:rPr>
            </w:pPr>
          </w:p>
        </w:tc>
        <w:tc>
          <w:tcPr>
            <w:tcW w:w="420" w:type="dxa"/>
            <w:vAlign w:val="bottom"/>
            <w:shd w:val="clear" w:color="auto" w:fill="E6EEFF"/>
          </w:tcPr>
          <w:p>
            <w:pPr>
              <w:spacing w:after="0"/>
              <w:rPr>
                <w:sz w:val="19"/>
                <w:szCs w:val="19"/>
                <w:color w:val="auto"/>
              </w:rPr>
            </w:pPr>
          </w:p>
        </w:tc>
        <w:tc>
          <w:tcPr>
            <w:tcW w:w="98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23,594</w:t>
            </w:r>
          </w:p>
        </w:tc>
        <w:tc>
          <w:tcPr>
            <w:tcW w:w="120" w:type="dxa"/>
            <w:vAlign w:val="bottom"/>
            <w:shd w:val="clear" w:color="auto" w:fill="E6EEFF"/>
          </w:tcPr>
          <w:p>
            <w:pPr>
              <w:spacing w:after="0"/>
              <w:rPr>
                <w:sz w:val="19"/>
                <w:szCs w:val="19"/>
                <w:color w:val="auto"/>
              </w:rPr>
            </w:pPr>
          </w:p>
        </w:tc>
        <w:tc>
          <w:tcPr>
            <w:tcW w:w="440" w:type="dxa"/>
            <w:vAlign w:val="bottom"/>
            <w:shd w:val="clear" w:color="auto" w:fill="E6EEFF"/>
          </w:tcPr>
          <w:p>
            <w:pPr>
              <w:spacing w:after="0"/>
              <w:rPr>
                <w:sz w:val="19"/>
                <w:szCs w:val="19"/>
                <w:color w:val="auto"/>
              </w:rPr>
            </w:pPr>
          </w:p>
        </w:tc>
        <w:tc>
          <w:tcPr>
            <w:tcW w:w="940" w:type="dxa"/>
            <w:vAlign w:val="bottom"/>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15,897</w:t>
            </w:r>
          </w:p>
        </w:tc>
      </w:tr>
      <w:tr>
        <w:trPr>
          <w:trHeight w:val="212"/>
        </w:trPr>
        <w:tc>
          <w:tcPr>
            <w:tcW w:w="6840" w:type="dxa"/>
            <w:vAlign w:val="bottom"/>
          </w:tcPr>
          <w:p>
            <w:pPr>
              <w:ind w:left="120"/>
              <w:spacing w:after="0" w:line="205" w:lineRule="exact"/>
              <w:rPr>
                <w:sz w:val="20"/>
                <w:szCs w:val="20"/>
                <w:color w:val="auto"/>
              </w:rPr>
            </w:pPr>
            <w:r>
              <w:rPr>
                <w:rFonts w:ascii="Calibri" w:cs="Calibri" w:eastAsia="Calibri" w:hAnsi="Calibri"/>
                <w:sz w:val="17"/>
                <w:szCs w:val="17"/>
                <w:color w:val="auto"/>
              </w:rPr>
              <w:t>Add: Efect of dilutve non-vested awards, assumed vested</w:t>
            </w:r>
          </w:p>
        </w:tc>
        <w:tc>
          <w:tcPr>
            <w:tcW w:w="440" w:type="dxa"/>
            <w:vAlign w:val="bottom"/>
          </w:tcPr>
          <w:p>
            <w:pPr>
              <w:spacing w:after="0"/>
              <w:rPr>
                <w:sz w:val="18"/>
                <w:szCs w:val="18"/>
                <w:color w:val="auto"/>
              </w:rPr>
            </w:pPr>
          </w:p>
        </w:tc>
        <w:tc>
          <w:tcPr>
            <w:tcW w:w="106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20" w:type="dxa"/>
            <w:vAlign w:val="bottom"/>
          </w:tcPr>
          <w:p>
            <w:pPr>
              <w:spacing w:after="0"/>
              <w:rPr>
                <w:sz w:val="18"/>
                <w:szCs w:val="18"/>
                <w:color w:val="auto"/>
              </w:rPr>
            </w:pPr>
          </w:p>
        </w:tc>
        <w:tc>
          <w:tcPr>
            <w:tcW w:w="11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w:t>
            </w:r>
          </w:p>
        </w:tc>
        <w:tc>
          <w:tcPr>
            <w:tcW w:w="440" w:type="dxa"/>
            <w:vAlign w:val="bottom"/>
          </w:tcPr>
          <w:p>
            <w:pPr>
              <w:spacing w:after="0"/>
              <w:rPr>
                <w:sz w:val="18"/>
                <w:szCs w:val="18"/>
                <w:color w:val="auto"/>
              </w:rPr>
            </w:pPr>
          </w:p>
        </w:tc>
        <w:tc>
          <w:tcPr>
            <w:tcW w:w="940" w:type="dxa"/>
            <w:vAlign w:val="bottom"/>
          </w:tcPr>
          <w:p>
            <w:pPr>
              <w:jc w:val="right"/>
              <w:spacing w:after="0" w:line="205" w:lineRule="exact"/>
              <w:rPr>
                <w:sz w:val="20"/>
                <w:szCs w:val="20"/>
                <w:color w:val="auto"/>
              </w:rPr>
            </w:pPr>
            <w:r>
              <w:rPr>
                <w:rFonts w:ascii="Calibri" w:cs="Calibri" w:eastAsia="Calibri" w:hAnsi="Calibri"/>
                <w:sz w:val="17"/>
                <w:szCs w:val="17"/>
                <w:color w:val="auto"/>
              </w:rPr>
              <w:t>165</w:t>
            </w:r>
          </w:p>
        </w:tc>
      </w:tr>
      <w:tr>
        <w:trPr>
          <w:trHeight w:val="244"/>
        </w:trPr>
        <w:tc>
          <w:tcPr>
            <w:tcW w:w="6840" w:type="dxa"/>
            <w:vAlign w:val="bottom"/>
            <w:tcBorders>
              <w:top w:val="single" w:sz="8" w:color="E6EEFF"/>
              <w:bottom w:val="single" w:sz="8" w:color="E6EEFF"/>
            </w:tcBorders>
            <w:shd w:val="clear" w:color="auto" w:fill="E6EEFF"/>
          </w:tcPr>
          <w:p>
            <w:pPr>
              <w:ind w:left="20"/>
              <w:spacing w:after="0"/>
              <w:rPr>
                <w:sz w:val="20"/>
                <w:szCs w:val="20"/>
                <w:color w:val="auto"/>
              </w:rPr>
            </w:pPr>
            <w:r>
              <w:rPr>
                <w:rFonts w:ascii="Calibri" w:cs="Calibri" w:eastAsia="Calibri" w:hAnsi="Calibri"/>
                <w:sz w:val="17"/>
                <w:szCs w:val="17"/>
                <w:color w:val="auto"/>
              </w:rPr>
              <w:t>Weighted average common shares outstanding – diluted</w:t>
            </w:r>
          </w:p>
        </w:tc>
        <w:tc>
          <w:tcPr>
            <w:tcW w:w="440" w:type="dxa"/>
            <w:vAlign w:val="bottom"/>
            <w:tcBorders>
              <w:top w:val="single" w:sz="8" w:color="auto"/>
              <w:bottom w:val="single" w:sz="8" w:color="auto"/>
            </w:tcBorders>
            <w:shd w:val="clear" w:color="auto" w:fill="E6EEFF"/>
          </w:tcPr>
          <w:p>
            <w:pPr>
              <w:spacing w:after="0"/>
              <w:rPr>
                <w:sz w:val="20"/>
                <w:szCs w:val="20"/>
                <w:color w:val="auto"/>
              </w:rPr>
            </w:pPr>
          </w:p>
        </w:tc>
        <w:tc>
          <w:tcPr>
            <w:tcW w:w="94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43,054</w:t>
            </w:r>
          </w:p>
        </w:tc>
        <w:tc>
          <w:tcPr>
            <w:tcW w:w="120" w:type="dxa"/>
            <w:vAlign w:val="bottom"/>
            <w:tcBorders>
              <w:top w:val="single" w:sz="8" w:color="E6EEFF"/>
              <w:bottom w:val="single" w:sz="8" w:color="E6EEFF"/>
            </w:tcBorders>
            <w:shd w:val="clear" w:color="auto" w:fill="E6EEFF"/>
          </w:tcPr>
          <w:p>
            <w:pPr>
              <w:spacing w:after="0"/>
              <w:rPr>
                <w:sz w:val="20"/>
                <w:szCs w:val="20"/>
                <w:color w:val="auto"/>
              </w:rPr>
            </w:pPr>
          </w:p>
        </w:tc>
        <w:tc>
          <w:tcPr>
            <w:tcW w:w="420" w:type="dxa"/>
            <w:vAlign w:val="bottom"/>
            <w:tcBorders>
              <w:top w:val="single" w:sz="8" w:color="auto"/>
              <w:bottom w:val="single" w:sz="8" w:color="auto"/>
            </w:tcBorders>
            <w:shd w:val="clear" w:color="auto" w:fill="E6EEFF"/>
          </w:tcPr>
          <w:p>
            <w:pPr>
              <w:spacing w:after="0"/>
              <w:rPr>
                <w:sz w:val="20"/>
                <w:szCs w:val="20"/>
                <w:color w:val="auto"/>
              </w:rPr>
            </w:pPr>
          </w:p>
        </w:tc>
        <w:tc>
          <w:tcPr>
            <w:tcW w:w="98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23,594</w:t>
            </w:r>
          </w:p>
        </w:tc>
        <w:tc>
          <w:tcPr>
            <w:tcW w:w="120" w:type="dxa"/>
            <w:vAlign w:val="bottom"/>
            <w:tcBorders>
              <w:top w:val="single" w:sz="8" w:color="E6EEFF"/>
              <w:bottom w:val="single" w:sz="8" w:color="E6EEFF"/>
            </w:tcBorders>
            <w:shd w:val="clear" w:color="auto" w:fill="E6EEFF"/>
          </w:tcPr>
          <w:p>
            <w:pPr>
              <w:spacing w:after="0"/>
              <w:rPr>
                <w:sz w:val="20"/>
                <w:szCs w:val="20"/>
                <w:color w:val="auto"/>
              </w:rPr>
            </w:pPr>
          </w:p>
        </w:tc>
        <w:tc>
          <w:tcPr>
            <w:tcW w:w="440" w:type="dxa"/>
            <w:vAlign w:val="bottom"/>
            <w:tcBorders>
              <w:top w:val="single" w:sz="8" w:color="auto"/>
              <w:bottom w:val="single" w:sz="8" w:color="auto"/>
            </w:tcBorders>
            <w:shd w:val="clear" w:color="auto" w:fill="E6EEFF"/>
          </w:tcPr>
          <w:p>
            <w:pPr>
              <w:spacing w:after="0"/>
              <w:rPr>
                <w:sz w:val="20"/>
                <w:szCs w:val="20"/>
                <w:color w:val="auto"/>
              </w:rPr>
            </w:pPr>
          </w:p>
        </w:tc>
        <w:tc>
          <w:tcPr>
            <w:tcW w:w="940" w:type="dxa"/>
            <w:vAlign w:val="bottom"/>
            <w:tcBorders>
              <w:top w:val="single" w:sz="8" w:color="auto"/>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16,062</w:t>
            </w:r>
          </w:p>
        </w:tc>
      </w:tr>
      <w:tr>
        <w:trPr>
          <w:trHeight w:val="20"/>
        </w:trPr>
        <w:tc>
          <w:tcPr>
            <w:tcW w:w="6840" w:type="dxa"/>
            <w:vAlign w:val="bottom"/>
            <w:tcBorders>
              <w:top w:val="single" w:sz="8" w:color="E6EEFF"/>
            </w:tcBorders>
          </w:tcPr>
          <w:p>
            <w:pPr>
              <w:spacing w:after="0" w:line="20" w:lineRule="exact"/>
              <w:rPr>
                <w:sz w:val="1"/>
                <w:szCs w:val="1"/>
                <w:color w:val="auto"/>
              </w:rPr>
            </w:pPr>
          </w:p>
        </w:tc>
        <w:tc>
          <w:tcPr>
            <w:tcW w:w="44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420" w:type="dxa"/>
            <w:vAlign w:val="bottom"/>
            <w:tcBorders>
              <w:top w:val="single" w:sz="8" w:color="E6EEFF"/>
              <w:bottom w:val="single" w:sz="8" w:color="auto"/>
            </w:tcBorders>
          </w:tcPr>
          <w:p>
            <w:pPr>
              <w:spacing w:after="0" w:line="20" w:lineRule="exact"/>
              <w:rPr>
                <w:sz w:val="1"/>
                <w:szCs w:val="1"/>
                <w:color w:val="auto"/>
              </w:rPr>
            </w:pPr>
          </w:p>
        </w:tc>
        <w:tc>
          <w:tcPr>
            <w:tcW w:w="98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44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619"/>
        <w:spacing w:after="0" w:line="230" w:lineRule="auto"/>
        <w:rPr>
          <w:sz w:val="20"/>
          <w:szCs w:val="20"/>
          <w:color w:val="auto"/>
        </w:rPr>
      </w:pPr>
      <w:r>
        <w:rPr>
          <w:rFonts w:ascii="Calibri" w:cs="Calibri" w:eastAsia="Calibri" w:hAnsi="Calibri"/>
          <w:sz w:val="17"/>
          <w:szCs w:val="17"/>
          <w:color w:val="auto"/>
        </w:rPr>
        <w:t>For the years ended December 31, 2023 and December 31, 2022, 298 and 114, respectvely, of potentally dilutve non-vested awards outstanding were excluded from the computaton of diluted Net Loss related to common stockholders because to have included them would have been ant-dilutve for the period.</w:t>
      </w:r>
    </w:p>
    <w:p>
      <w:pPr>
        <w:spacing w:after="0" w:line="16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Note 12 - Comprehensive Income (Loss) per Common Share</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following table presents a reconciliaton of comprehensive loss and the shares used in calculatng weighted average basic and diluted comprehensive loss per common share for the years ended December 31, 2023, December 31, 2022 and December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20" w:type="dxa"/>
            <w:vAlign w:val="bottom"/>
            <w:shd w:val="clear" w:color="auto" w:fill="E6EEFF"/>
          </w:tcPr>
          <w:p>
            <w:pPr>
              <w:spacing w:after="0"/>
              <w:rPr>
                <w:sz w:val="19"/>
                <w:szCs w:val="19"/>
                <w:color w:val="auto"/>
              </w:rPr>
            </w:pPr>
          </w:p>
        </w:tc>
        <w:tc>
          <w:tcPr>
            <w:tcW w:w="480" w:type="dxa"/>
            <w:vAlign w:val="bottom"/>
            <w:tcBorders>
              <w:bottom w:val="single" w:sz="8" w:color="auto"/>
            </w:tcBorders>
            <w:shd w:val="clear" w:color="auto" w:fill="E6EEFF"/>
          </w:tcPr>
          <w:p>
            <w:pPr>
              <w:spacing w:after="0"/>
              <w:rPr>
                <w:sz w:val="19"/>
                <w:szCs w:val="19"/>
                <w:color w:val="auto"/>
              </w:rPr>
            </w:pPr>
          </w:p>
        </w:tc>
        <w:tc>
          <w:tcPr>
            <w:tcW w:w="960" w:type="dxa"/>
            <w:vAlign w:val="bottom"/>
            <w:tcBorders>
              <w:bottom w:val="single" w:sz="8" w:color="auto"/>
            </w:tcBorders>
            <w:shd w:val="clear" w:color="auto" w:fill="E6EEFF"/>
          </w:tcPr>
          <w:p>
            <w:pPr>
              <w:spacing w:after="0"/>
              <w:rPr>
                <w:sz w:val="19"/>
                <w:szCs w:val="19"/>
                <w:color w:val="auto"/>
              </w:rPr>
            </w:pPr>
          </w:p>
        </w:tc>
        <w:tc>
          <w:tcPr>
            <w:tcW w:w="100" w:type="dxa"/>
            <w:vAlign w:val="bottom"/>
            <w:tcBorders>
              <w:bottom w:val="single" w:sz="8" w:color="auto"/>
            </w:tcBorders>
            <w:shd w:val="clear" w:color="auto" w:fill="E6EEFF"/>
          </w:tcPr>
          <w:p>
            <w:pPr>
              <w:spacing w:after="0"/>
              <w:rPr>
                <w:sz w:val="19"/>
                <w:szCs w:val="19"/>
                <w:color w:val="auto"/>
              </w:rPr>
            </w:pPr>
          </w:p>
        </w:tc>
        <w:tc>
          <w:tcPr>
            <w:tcW w:w="1560" w:type="dxa"/>
            <w:vAlign w:val="bottom"/>
            <w:tcBorders>
              <w:bottom w:val="single" w:sz="8" w:color="auto"/>
            </w:tcBorders>
            <w:gridSpan w:val="3"/>
            <w:shd w:val="clear" w:color="auto" w:fill="E6EEFF"/>
          </w:tcPr>
          <w:p>
            <w:pPr>
              <w:ind w:left="40"/>
              <w:spacing w:after="0"/>
              <w:rPr>
                <w:sz w:val="20"/>
                <w:szCs w:val="20"/>
                <w:color w:val="auto"/>
              </w:rPr>
            </w:pPr>
            <w:r>
              <w:rPr>
                <w:rFonts w:ascii="Calibri" w:cs="Calibri" w:eastAsia="Calibri" w:hAnsi="Calibri"/>
                <w:sz w:val="17"/>
                <w:szCs w:val="17"/>
                <w:b w:val="1"/>
                <w:bCs w:val="1"/>
                <w:color w:val="1C4787"/>
              </w:rPr>
              <w:t>For the Years Ended</w:t>
            </w:r>
          </w:p>
        </w:tc>
        <w:tc>
          <w:tcPr>
            <w:tcW w:w="460" w:type="dxa"/>
            <w:vAlign w:val="bottom"/>
            <w:tcBorders>
              <w:bottom w:val="single" w:sz="8" w:color="auto"/>
            </w:tcBorders>
            <w:shd w:val="clear" w:color="auto" w:fill="E6EEFF"/>
          </w:tcPr>
          <w:p>
            <w:pPr>
              <w:spacing w:after="0"/>
              <w:rPr>
                <w:sz w:val="19"/>
                <w:szCs w:val="19"/>
                <w:color w:val="auto"/>
              </w:rPr>
            </w:pPr>
          </w:p>
        </w:tc>
        <w:tc>
          <w:tcPr>
            <w:tcW w:w="960" w:type="dxa"/>
            <w:vAlign w:val="bottom"/>
            <w:tcBorders>
              <w:bottom w:val="single" w:sz="8" w:color="auto"/>
            </w:tcBorders>
            <w:shd w:val="clear" w:color="auto" w:fill="E6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720" w:type="dxa"/>
            <w:vAlign w:val="bottom"/>
          </w:tcPr>
          <w:p>
            <w:pPr>
              <w:spacing w:after="0"/>
              <w:rPr>
                <w:sz w:val="17"/>
                <w:szCs w:val="17"/>
                <w:color w:val="auto"/>
              </w:rPr>
            </w:pPr>
          </w:p>
        </w:tc>
        <w:tc>
          <w:tcPr>
            <w:tcW w:w="1540" w:type="dxa"/>
            <w:vAlign w:val="bottom"/>
            <w:gridSpan w:val="3"/>
          </w:tcPr>
          <w:p>
            <w:pPr>
              <w:ind w:left="4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560" w:type="dxa"/>
            <w:vAlign w:val="bottom"/>
            <w:gridSpan w:val="3"/>
          </w:tcPr>
          <w:p>
            <w:pPr>
              <w:ind w:left="6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420" w:type="dxa"/>
            <w:vAlign w:val="bottom"/>
            <w:gridSpan w:val="2"/>
          </w:tcPr>
          <w:p>
            <w:pPr>
              <w:jc w:val="right"/>
              <w:spacing w:after="0" w:line="205" w:lineRule="exact"/>
              <w:rPr>
                <w:sz w:val="20"/>
                <w:szCs w:val="20"/>
                <w:color w:val="auto"/>
              </w:rPr>
            </w:pPr>
            <w:r>
              <w:rPr>
                <w:rFonts w:ascii="Calibri" w:cs="Calibri" w:eastAsia="Calibri" w:hAnsi="Calibri"/>
                <w:sz w:val="17"/>
                <w:szCs w:val="17"/>
                <w:b w:val="1"/>
                <w:bCs w:val="1"/>
                <w:color w:val="1C4787"/>
                <w:w w:val="99"/>
              </w:rPr>
              <w:t>December 31, 2021</w:t>
            </w:r>
          </w:p>
        </w:tc>
        <w:tc>
          <w:tcPr>
            <w:tcW w:w="0" w:type="dxa"/>
            <w:vAlign w:val="bottom"/>
          </w:tcPr>
          <w:p>
            <w:pPr>
              <w:spacing w:after="0"/>
              <w:rPr>
                <w:sz w:val="1"/>
                <w:szCs w:val="1"/>
                <w:color w:val="auto"/>
              </w:rPr>
            </w:pPr>
          </w:p>
        </w:tc>
      </w:tr>
      <w:tr>
        <w:trPr>
          <w:trHeight w:val="219"/>
        </w:trPr>
        <w:tc>
          <w:tcPr>
            <w:tcW w:w="6720" w:type="dxa"/>
            <w:vAlign w:val="bottom"/>
            <w:tcBorders>
              <w:top w:val="single" w:sz="8" w:color="E6EEFF"/>
            </w:tcBorders>
            <w:shd w:val="clear" w:color="auto" w:fill="E6EEFF"/>
          </w:tcPr>
          <w:p>
            <w:pPr>
              <w:ind w:left="20"/>
              <w:spacing w:after="0" w:line="197" w:lineRule="exact"/>
              <w:rPr>
                <w:sz w:val="20"/>
                <w:szCs w:val="20"/>
                <w:color w:val="auto"/>
              </w:rPr>
            </w:pPr>
            <w:r>
              <w:rPr>
                <w:rFonts w:ascii="Calibri" w:cs="Calibri" w:eastAsia="Calibri" w:hAnsi="Calibri"/>
                <w:sz w:val="17"/>
                <w:szCs w:val="17"/>
                <w:b w:val="1"/>
                <w:bCs w:val="1"/>
                <w:color w:val="1C4787"/>
              </w:rPr>
              <w:t>Comprehensive Loss</w:t>
            </w:r>
          </w:p>
        </w:tc>
        <w:tc>
          <w:tcPr>
            <w:tcW w:w="480" w:type="dxa"/>
            <w:vAlign w:val="bottom"/>
            <w:tcBorders>
              <w:top w:val="single" w:sz="8" w:color="auto"/>
            </w:tcBorders>
            <w:shd w:val="clear" w:color="auto" w:fill="E6EEFF"/>
          </w:tcPr>
          <w:p>
            <w:pPr>
              <w:jc w:val="right"/>
              <w:ind w:right="294"/>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(56,396)</w:t>
            </w:r>
          </w:p>
        </w:tc>
        <w:tc>
          <w:tcPr>
            <w:tcW w:w="100" w:type="dxa"/>
            <w:vAlign w:val="bottom"/>
            <w:tcBorders>
              <w:top w:val="single" w:sz="8" w:color="E6EEFF"/>
            </w:tcBorders>
            <w:shd w:val="clear" w:color="auto" w:fill="E6EEFF"/>
          </w:tcPr>
          <w:p>
            <w:pPr>
              <w:spacing w:after="0"/>
              <w:rPr>
                <w:sz w:val="19"/>
                <w:szCs w:val="19"/>
                <w:color w:val="auto"/>
              </w:rPr>
            </w:pPr>
          </w:p>
        </w:tc>
        <w:tc>
          <w:tcPr>
            <w:tcW w:w="440" w:type="dxa"/>
            <w:vAlign w:val="bottom"/>
            <w:tcBorders>
              <w:top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00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(348,430)</w:t>
            </w:r>
          </w:p>
        </w:tc>
        <w:tc>
          <w:tcPr>
            <w:tcW w:w="120" w:type="dxa"/>
            <w:vAlign w:val="bottom"/>
            <w:tcBorders>
              <w:top w:val="single" w:sz="8" w:color="E6EEFF"/>
            </w:tcBorders>
            <w:shd w:val="clear" w:color="auto" w:fill="E6EEFF"/>
          </w:tcPr>
          <w:p>
            <w:pPr>
              <w:spacing w:after="0"/>
              <w:rPr>
                <w:sz w:val="19"/>
                <w:szCs w:val="19"/>
                <w:color w:val="auto"/>
              </w:rPr>
            </w:pPr>
          </w:p>
        </w:tc>
        <w:tc>
          <w:tcPr>
            <w:tcW w:w="460" w:type="dxa"/>
            <w:vAlign w:val="bottom"/>
            <w:tcBorders>
              <w:top w:val="single" w:sz="8" w:color="auto"/>
            </w:tcBorders>
            <w:shd w:val="clear" w:color="auto" w:fill="E6EEFF"/>
          </w:tcPr>
          <w:p>
            <w:pPr>
              <w:jc w:val="right"/>
              <w:ind w:right="274"/>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(56,695)</w:t>
            </w:r>
          </w:p>
        </w:tc>
        <w:tc>
          <w:tcPr>
            <w:tcW w:w="0" w:type="dxa"/>
            <w:vAlign w:val="bottom"/>
          </w:tcPr>
          <w:p>
            <w:pPr>
              <w:spacing w:after="0"/>
              <w:rPr>
                <w:sz w:val="1"/>
                <w:szCs w:val="1"/>
                <w:color w:val="auto"/>
              </w:rPr>
            </w:pPr>
          </w:p>
        </w:tc>
      </w:tr>
      <w:tr>
        <w:trPr>
          <w:trHeight w:val="212"/>
        </w:trPr>
        <w:tc>
          <w:tcPr>
            <w:tcW w:w="6720" w:type="dxa"/>
            <w:vAlign w:val="bottom"/>
            <w:tcBorders>
              <w:bottom w:val="single" w:sz="8" w:color="E6EEFF"/>
            </w:tcBorders>
          </w:tcPr>
          <w:p>
            <w:pPr>
              <w:ind w:left="120"/>
              <w:spacing w:after="0" w:line="205" w:lineRule="exact"/>
              <w:rPr>
                <w:sz w:val="20"/>
                <w:szCs w:val="20"/>
                <w:color w:val="auto"/>
              </w:rPr>
            </w:pPr>
            <w:r>
              <w:rPr>
                <w:rFonts w:ascii="Calibri" w:cs="Calibri" w:eastAsia="Calibri" w:hAnsi="Calibri"/>
                <w:sz w:val="17"/>
                <w:szCs w:val="17"/>
                <w:color w:val="auto"/>
              </w:rPr>
              <w:t>Less: Preferred dividends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(11,982)</w:t>
            </w:r>
          </w:p>
        </w:tc>
        <w:tc>
          <w:tcPr>
            <w:tcW w:w="100" w:type="dxa"/>
            <w:vAlign w:val="bottom"/>
            <w:tcBorders>
              <w:bottom w:val="single" w:sz="8" w:color="E6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(11,982)</w:t>
            </w:r>
          </w:p>
        </w:tc>
        <w:tc>
          <w:tcPr>
            <w:tcW w:w="120" w:type="dxa"/>
            <w:vAlign w:val="bottom"/>
            <w:tcBorders>
              <w:bottom w:val="single" w:sz="8" w:color="E6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(11,473)</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E6EEFF"/>
            </w:tcBorders>
            <w:shd w:val="clear" w:color="auto" w:fill="E6EEFF"/>
          </w:tcPr>
          <w:p>
            <w:pPr>
              <w:ind w:left="20"/>
              <w:spacing w:after="0"/>
              <w:rPr>
                <w:sz w:val="20"/>
                <w:szCs w:val="20"/>
                <w:color w:val="auto"/>
              </w:rPr>
            </w:pPr>
            <w:r>
              <w:rPr>
                <w:rFonts w:ascii="Calibri" w:cs="Calibri" w:eastAsia="Calibri" w:hAnsi="Calibri"/>
                <w:sz w:val="17"/>
                <w:szCs w:val="17"/>
                <w:b w:val="1"/>
                <w:bCs w:val="1"/>
                <w:color w:val="1C4787"/>
              </w:rPr>
              <w:t>Comprehensive Loss related to common stockholders</w:t>
            </w:r>
          </w:p>
        </w:tc>
        <w:tc>
          <w:tcPr>
            <w:tcW w:w="480" w:type="dxa"/>
            <w:vAlign w:val="bottom"/>
            <w:tcBorders>
              <w:bottom w:val="single" w:sz="8" w:color="auto"/>
            </w:tcBorders>
            <w:shd w:val="clear" w:color="auto" w:fill="E6EEFF"/>
          </w:tcPr>
          <w:p>
            <w:pPr>
              <w:jc w:val="right"/>
              <w:ind w:right="294"/>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(68,378)</w:t>
            </w:r>
          </w:p>
        </w:tc>
        <w:tc>
          <w:tcPr>
            <w:tcW w:w="100" w:type="dxa"/>
            <w:vAlign w:val="bottom"/>
            <w:tcBorders>
              <w:bottom w:val="single" w:sz="8" w:color="E6EEFF"/>
            </w:tcBorders>
            <w:shd w:val="clear" w:color="auto" w:fill="E6EEFF"/>
          </w:tcPr>
          <w:p>
            <w:pPr>
              <w:spacing w:after="0"/>
              <w:rPr>
                <w:sz w:val="20"/>
                <w:szCs w:val="20"/>
                <w:color w:val="auto"/>
              </w:rPr>
            </w:pPr>
          </w:p>
        </w:tc>
        <w:tc>
          <w:tcPr>
            <w:tcW w:w="440" w:type="dxa"/>
            <w:vAlign w:val="bottom"/>
            <w:tcBorders>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00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(360,412)</w:t>
            </w:r>
          </w:p>
        </w:tc>
        <w:tc>
          <w:tcPr>
            <w:tcW w:w="120" w:type="dxa"/>
            <w:vAlign w:val="bottom"/>
            <w:tcBorders>
              <w:bottom w:val="single" w:sz="8" w:color="E6EEFF"/>
            </w:tcBorders>
            <w:shd w:val="clear" w:color="auto" w:fill="E6EEFF"/>
          </w:tcPr>
          <w:p>
            <w:pPr>
              <w:spacing w:after="0"/>
              <w:rPr>
                <w:sz w:val="20"/>
                <w:szCs w:val="20"/>
                <w:color w:val="auto"/>
              </w:rPr>
            </w:pPr>
          </w:p>
        </w:tc>
        <w:tc>
          <w:tcPr>
            <w:tcW w:w="460" w:type="dxa"/>
            <w:vAlign w:val="bottom"/>
            <w:tcBorders>
              <w:bottom w:val="single" w:sz="8" w:color="auto"/>
            </w:tcBorders>
            <w:shd w:val="clear" w:color="auto" w:fill="E6EEFF"/>
          </w:tcPr>
          <w:p>
            <w:pPr>
              <w:jc w:val="right"/>
              <w:ind w:right="274"/>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(68,168)</w:t>
            </w:r>
          </w:p>
        </w:tc>
        <w:tc>
          <w:tcPr>
            <w:tcW w:w="0" w:type="dxa"/>
            <w:vAlign w:val="bottom"/>
          </w:tcPr>
          <w:p>
            <w:pPr>
              <w:spacing w:after="0"/>
              <w:rPr>
                <w:sz w:val="1"/>
                <w:szCs w:val="1"/>
                <w:color w:val="auto"/>
              </w:rPr>
            </w:pPr>
          </w:p>
        </w:tc>
      </w:tr>
      <w:tr>
        <w:trPr>
          <w:trHeight w:val="20"/>
        </w:trPr>
        <w:tc>
          <w:tcPr>
            <w:tcW w:w="6720" w:type="dxa"/>
            <w:vAlign w:val="bottom"/>
            <w:tcBorders>
              <w:top w:val="single" w:sz="8" w:color="E6EEFF"/>
              <w:bottom w:val="single" w:sz="8" w:color="E6EEFF"/>
            </w:tcBorders>
            <w:vMerge w:val="restart"/>
          </w:tcPr>
          <w:p>
            <w:pPr>
              <w:ind w:left="20"/>
              <w:spacing w:after="0" w:line="198" w:lineRule="exact"/>
              <w:rPr>
                <w:sz w:val="20"/>
                <w:szCs w:val="20"/>
                <w:color w:val="auto"/>
              </w:rPr>
            </w:pPr>
            <w:r>
              <w:rPr>
                <w:rFonts w:ascii="Calibri" w:cs="Calibri" w:eastAsia="Calibri" w:hAnsi="Calibri"/>
                <w:sz w:val="17"/>
                <w:szCs w:val="17"/>
                <w:b w:val="1"/>
                <w:bCs w:val="1"/>
                <w:color w:val="1C4787"/>
              </w:rPr>
              <w:t>Comprehensive Loss per share related to common stockholders:</w:t>
            </w:r>
          </w:p>
        </w:tc>
        <w:tc>
          <w:tcPr>
            <w:tcW w:w="480" w:type="dxa"/>
            <w:vAlign w:val="bottom"/>
            <w:tcBorders>
              <w:top w:val="single" w:sz="8" w:color="E6EEFF"/>
              <w:bottom w:val="single" w:sz="8" w:color="auto"/>
            </w:tcBorders>
          </w:tcPr>
          <w:p>
            <w:pPr>
              <w:spacing w:after="0" w:line="20" w:lineRule="exact"/>
              <w:rPr>
                <w:sz w:val="1"/>
                <w:szCs w:val="1"/>
                <w:color w:val="auto"/>
              </w:rPr>
            </w:pPr>
          </w:p>
        </w:tc>
        <w:tc>
          <w:tcPr>
            <w:tcW w:w="960" w:type="dxa"/>
            <w:vAlign w:val="bottom"/>
            <w:tcBorders>
              <w:top w:val="single" w:sz="8" w:color="E6EEFF"/>
              <w:bottom w:val="single" w:sz="8" w:color="auto"/>
            </w:tcBorders>
          </w:tcPr>
          <w:p>
            <w:pPr>
              <w:spacing w:after="0" w:line="20" w:lineRule="exact"/>
              <w:rPr>
                <w:sz w:val="1"/>
                <w:szCs w:val="1"/>
                <w:color w:val="auto"/>
              </w:rPr>
            </w:pPr>
          </w:p>
        </w:tc>
        <w:tc>
          <w:tcPr>
            <w:tcW w:w="100" w:type="dxa"/>
            <w:vAlign w:val="bottom"/>
            <w:tcBorders>
              <w:top w:val="single" w:sz="8" w:color="E6EEFF"/>
            </w:tcBorders>
          </w:tcPr>
          <w:p>
            <w:pPr>
              <w:spacing w:after="0" w:line="20" w:lineRule="exact"/>
              <w:rPr>
                <w:sz w:val="1"/>
                <w:szCs w:val="1"/>
                <w:color w:val="auto"/>
              </w:rPr>
            </w:pPr>
          </w:p>
        </w:tc>
        <w:tc>
          <w:tcPr>
            <w:tcW w:w="440" w:type="dxa"/>
            <w:vAlign w:val="bottom"/>
            <w:tcBorders>
              <w:top w:val="single" w:sz="8" w:color="E6EEFF"/>
              <w:bottom w:val="single" w:sz="8" w:color="auto"/>
            </w:tcBorders>
          </w:tcPr>
          <w:p>
            <w:pPr>
              <w:spacing w:after="0" w:line="20" w:lineRule="exact"/>
              <w:rPr>
                <w:sz w:val="1"/>
                <w:szCs w:val="1"/>
                <w:color w:val="auto"/>
              </w:rPr>
            </w:pPr>
          </w:p>
        </w:tc>
        <w:tc>
          <w:tcPr>
            <w:tcW w:w="100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460" w:type="dxa"/>
            <w:vAlign w:val="bottom"/>
            <w:tcBorders>
              <w:top w:val="single" w:sz="8" w:color="E6EEFF"/>
              <w:bottom w:val="single" w:sz="8" w:color="auto"/>
            </w:tcBorders>
          </w:tcPr>
          <w:p>
            <w:pPr>
              <w:spacing w:after="0" w:line="20" w:lineRule="exact"/>
              <w:rPr>
                <w:sz w:val="1"/>
                <w:szCs w:val="1"/>
                <w:color w:val="auto"/>
              </w:rPr>
            </w:pPr>
          </w:p>
        </w:tc>
        <w:tc>
          <w:tcPr>
            <w:tcW w:w="960" w:type="dxa"/>
            <w:vAlign w:val="bottom"/>
            <w:tcBorders>
              <w:top w:val="single" w:sz="8" w:color="E6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7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E6EEFF"/>
          </w:tcPr>
          <w:p>
            <w:pPr>
              <w:ind w:left="120"/>
              <w:spacing w:after="0"/>
              <w:rPr>
                <w:sz w:val="20"/>
                <w:szCs w:val="20"/>
                <w:color w:val="auto"/>
              </w:rPr>
            </w:pPr>
            <w:r>
              <w:rPr>
                <w:rFonts w:ascii="Calibri" w:cs="Calibri" w:eastAsia="Calibri" w:hAnsi="Calibri"/>
                <w:sz w:val="17"/>
                <w:szCs w:val="17"/>
                <w:color w:val="auto"/>
              </w:rPr>
              <w:t>Basic</w:t>
            </w:r>
          </w:p>
        </w:tc>
        <w:tc>
          <w:tcPr>
            <w:tcW w:w="480" w:type="dxa"/>
            <w:vAlign w:val="bottom"/>
            <w:shd w:val="clear" w:color="auto" w:fill="E6EEFF"/>
          </w:tcPr>
          <w:p>
            <w:pPr>
              <w:jc w:val="right"/>
              <w:ind w:right="294"/>
              <w:spacing w:after="0"/>
              <w:rPr>
                <w:sz w:val="20"/>
                <w:szCs w:val="20"/>
                <w:color w:val="auto"/>
              </w:rPr>
            </w:pPr>
            <w:r>
              <w:rPr>
                <w:rFonts w:ascii="Calibri" w:cs="Calibri" w:eastAsia="Calibri" w:hAnsi="Calibri"/>
                <w:sz w:val="17"/>
                <w:szCs w:val="17"/>
                <w:color w:val="auto"/>
                <w:w w:val="92"/>
              </w:rPr>
              <w:t>$</w:t>
            </w:r>
          </w:p>
        </w:tc>
        <w:tc>
          <w:tcPr>
            <w:tcW w:w="9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(1.59)</w:t>
            </w:r>
          </w:p>
        </w:tc>
        <w:tc>
          <w:tcPr>
            <w:tcW w:w="100" w:type="dxa"/>
            <w:vAlign w:val="bottom"/>
            <w:shd w:val="clear" w:color="auto" w:fill="E6EEFF"/>
          </w:tcPr>
          <w:p>
            <w:pPr>
              <w:spacing w:after="0"/>
              <w:rPr>
                <w:sz w:val="19"/>
                <w:szCs w:val="19"/>
                <w:color w:val="auto"/>
              </w:rPr>
            </w:pPr>
          </w:p>
        </w:tc>
        <w:tc>
          <w:tcPr>
            <w:tcW w:w="440" w:type="dxa"/>
            <w:vAlign w:val="bottom"/>
            <w:shd w:val="clear" w:color="auto" w:fill="E6EEFF"/>
          </w:tcPr>
          <w:p>
            <w:pPr>
              <w:ind w:left="20"/>
              <w:spacing w:after="0"/>
              <w:rPr>
                <w:sz w:val="20"/>
                <w:szCs w:val="20"/>
                <w:color w:val="auto"/>
              </w:rPr>
            </w:pPr>
            <w:r>
              <w:rPr>
                <w:rFonts w:ascii="Calibri" w:cs="Calibri" w:eastAsia="Calibri" w:hAnsi="Calibri"/>
                <w:sz w:val="17"/>
                <w:szCs w:val="17"/>
                <w:color w:val="auto"/>
              </w:rPr>
              <w:t>$</w:t>
            </w: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(15.28)</w:t>
            </w:r>
          </w:p>
        </w:tc>
        <w:tc>
          <w:tcPr>
            <w:tcW w:w="120" w:type="dxa"/>
            <w:vAlign w:val="bottom"/>
            <w:shd w:val="clear" w:color="auto" w:fill="E6EEFF"/>
          </w:tcPr>
          <w:p>
            <w:pPr>
              <w:spacing w:after="0"/>
              <w:rPr>
                <w:sz w:val="19"/>
                <w:szCs w:val="19"/>
                <w:color w:val="auto"/>
              </w:rPr>
            </w:pPr>
          </w:p>
        </w:tc>
        <w:tc>
          <w:tcPr>
            <w:tcW w:w="460" w:type="dxa"/>
            <w:vAlign w:val="bottom"/>
            <w:shd w:val="clear" w:color="auto" w:fill="E6EEFF"/>
          </w:tcPr>
          <w:p>
            <w:pPr>
              <w:jc w:val="right"/>
              <w:ind w:right="274"/>
              <w:spacing w:after="0"/>
              <w:rPr>
                <w:sz w:val="20"/>
                <w:szCs w:val="20"/>
                <w:color w:val="auto"/>
              </w:rPr>
            </w:pPr>
            <w:r>
              <w:rPr>
                <w:rFonts w:ascii="Calibri" w:cs="Calibri" w:eastAsia="Calibri" w:hAnsi="Calibri"/>
                <w:sz w:val="17"/>
                <w:szCs w:val="17"/>
                <w:color w:val="auto"/>
                <w:w w:val="92"/>
              </w:rPr>
              <w:t>$</w:t>
            </w:r>
          </w:p>
        </w:tc>
        <w:tc>
          <w:tcPr>
            <w:tcW w:w="9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(4.29)</w:t>
            </w:r>
          </w:p>
        </w:tc>
        <w:tc>
          <w:tcPr>
            <w:tcW w:w="0" w:type="dxa"/>
            <w:vAlign w:val="bottom"/>
          </w:tcPr>
          <w:p>
            <w:pPr>
              <w:spacing w:after="0"/>
              <w:rPr>
                <w:sz w:val="1"/>
                <w:szCs w:val="1"/>
                <w:color w:val="auto"/>
              </w:rPr>
            </w:pPr>
          </w:p>
        </w:tc>
      </w:tr>
      <w:tr>
        <w:trPr>
          <w:trHeight w:val="212"/>
        </w:trPr>
        <w:tc>
          <w:tcPr>
            <w:tcW w:w="6720" w:type="dxa"/>
            <w:vAlign w:val="bottom"/>
          </w:tcPr>
          <w:p>
            <w:pPr>
              <w:ind w:left="120"/>
              <w:spacing w:after="0" w:line="205" w:lineRule="exact"/>
              <w:rPr>
                <w:sz w:val="20"/>
                <w:szCs w:val="20"/>
                <w:color w:val="auto"/>
              </w:rPr>
            </w:pPr>
            <w:r>
              <w:rPr>
                <w:rFonts w:ascii="Calibri" w:cs="Calibri" w:eastAsia="Calibri" w:hAnsi="Calibri"/>
                <w:sz w:val="17"/>
                <w:szCs w:val="17"/>
                <w:color w:val="auto"/>
              </w:rPr>
              <w:t>Diluted</w:t>
            </w:r>
          </w:p>
        </w:tc>
        <w:tc>
          <w:tcPr>
            <w:tcW w:w="480" w:type="dxa"/>
            <w:vAlign w:val="bottom"/>
          </w:tcPr>
          <w:p>
            <w:pPr>
              <w:jc w:val="right"/>
              <w:ind w:right="294"/>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(1.59)</w:t>
            </w:r>
          </w:p>
        </w:tc>
        <w:tc>
          <w:tcPr>
            <w:tcW w:w="100" w:type="dxa"/>
            <w:vAlign w:val="bottom"/>
          </w:tcPr>
          <w:p>
            <w:pPr>
              <w:spacing w:after="0"/>
              <w:rPr>
                <w:sz w:val="18"/>
                <w:szCs w:val="18"/>
                <w:color w:val="auto"/>
              </w:rPr>
            </w:pPr>
          </w:p>
        </w:tc>
        <w:tc>
          <w:tcPr>
            <w:tcW w:w="440" w:type="dxa"/>
            <w:vAlign w:val="bottom"/>
          </w:tcPr>
          <w:p>
            <w:pPr>
              <w:ind w:left="20"/>
              <w:spacing w:after="0" w:line="205" w:lineRule="exact"/>
              <w:rPr>
                <w:sz w:val="20"/>
                <w:szCs w:val="20"/>
                <w:color w:val="auto"/>
              </w:rPr>
            </w:pPr>
            <w:r>
              <w:rPr>
                <w:rFonts w:ascii="Calibri" w:cs="Calibri" w:eastAsia="Calibri" w:hAnsi="Calibri"/>
                <w:sz w:val="17"/>
                <w:szCs w:val="17"/>
                <w:color w:val="auto"/>
              </w:rPr>
              <w:t>$</w:t>
            </w: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(15.28)</w:t>
            </w:r>
          </w:p>
        </w:tc>
        <w:tc>
          <w:tcPr>
            <w:tcW w:w="120" w:type="dxa"/>
            <w:vAlign w:val="bottom"/>
          </w:tcPr>
          <w:p>
            <w:pPr>
              <w:spacing w:after="0"/>
              <w:rPr>
                <w:sz w:val="18"/>
                <w:szCs w:val="18"/>
                <w:color w:val="auto"/>
              </w:rPr>
            </w:pPr>
          </w:p>
        </w:tc>
        <w:tc>
          <w:tcPr>
            <w:tcW w:w="460" w:type="dxa"/>
            <w:vAlign w:val="bottom"/>
          </w:tcPr>
          <w:p>
            <w:pPr>
              <w:jc w:val="right"/>
              <w:ind w:right="274"/>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(4.29)</w:t>
            </w:r>
          </w:p>
        </w:tc>
        <w:tc>
          <w:tcPr>
            <w:tcW w:w="0" w:type="dxa"/>
            <w:vAlign w:val="bottom"/>
          </w:tcPr>
          <w:p>
            <w:pPr>
              <w:spacing w:after="0"/>
              <w:rPr>
                <w:sz w:val="1"/>
                <w:szCs w:val="1"/>
                <w:color w:val="auto"/>
              </w:rPr>
            </w:pPr>
          </w:p>
        </w:tc>
      </w:tr>
      <w:tr>
        <w:trPr>
          <w:trHeight w:val="226"/>
        </w:trPr>
        <w:tc>
          <w:tcPr>
            <w:tcW w:w="6720" w:type="dxa"/>
            <w:vAlign w:val="bottom"/>
            <w:shd w:val="clear" w:color="auto" w:fill="E6EEFF"/>
          </w:tcPr>
          <w:p>
            <w:pPr>
              <w:ind w:left="20"/>
              <w:spacing w:after="0"/>
              <w:rPr>
                <w:sz w:val="20"/>
                <w:szCs w:val="20"/>
                <w:color w:val="auto"/>
              </w:rPr>
            </w:pPr>
            <w:r>
              <w:rPr>
                <w:rFonts w:ascii="Calibri" w:cs="Calibri" w:eastAsia="Calibri" w:hAnsi="Calibri"/>
                <w:sz w:val="17"/>
                <w:szCs w:val="17"/>
                <w:b w:val="1"/>
                <w:bCs w:val="1"/>
                <w:color w:val="1C4787"/>
              </w:rPr>
              <w:t>Weighted average common shares outstanding:</w:t>
            </w:r>
          </w:p>
        </w:tc>
        <w:tc>
          <w:tcPr>
            <w:tcW w:w="480" w:type="dxa"/>
            <w:vAlign w:val="bottom"/>
            <w:shd w:val="clear" w:color="auto" w:fill="E6EEFF"/>
          </w:tcPr>
          <w:p>
            <w:pPr>
              <w:spacing w:after="0"/>
              <w:rPr>
                <w:sz w:val="19"/>
                <w:szCs w:val="19"/>
                <w:color w:val="auto"/>
              </w:rPr>
            </w:pPr>
          </w:p>
        </w:tc>
        <w:tc>
          <w:tcPr>
            <w:tcW w:w="960" w:type="dxa"/>
            <w:vAlign w:val="bottom"/>
            <w:shd w:val="clear" w:color="auto" w:fill="E6EEFF"/>
          </w:tcPr>
          <w:p>
            <w:pPr>
              <w:spacing w:after="0"/>
              <w:rPr>
                <w:sz w:val="19"/>
                <w:szCs w:val="19"/>
                <w:color w:val="auto"/>
              </w:rPr>
            </w:pPr>
          </w:p>
        </w:tc>
        <w:tc>
          <w:tcPr>
            <w:tcW w:w="100" w:type="dxa"/>
            <w:vAlign w:val="bottom"/>
            <w:shd w:val="clear" w:color="auto" w:fill="E6EEFF"/>
          </w:tcPr>
          <w:p>
            <w:pPr>
              <w:spacing w:after="0"/>
              <w:rPr>
                <w:sz w:val="19"/>
                <w:szCs w:val="19"/>
                <w:color w:val="auto"/>
              </w:rPr>
            </w:pPr>
          </w:p>
        </w:tc>
        <w:tc>
          <w:tcPr>
            <w:tcW w:w="440" w:type="dxa"/>
            <w:vAlign w:val="bottom"/>
            <w:shd w:val="clear" w:color="auto" w:fill="E6EEFF"/>
          </w:tcPr>
          <w:p>
            <w:pPr>
              <w:spacing w:after="0"/>
              <w:rPr>
                <w:sz w:val="19"/>
                <w:szCs w:val="19"/>
                <w:color w:val="auto"/>
              </w:rPr>
            </w:pPr>
          </w:p>
        </w:tc>
        <w:tc>
          <w:tcPr>
            <w:tcW w:w="100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460" w:type="dxa"/>
            <w:vAlign w:val="bottom"/>
            <w:shd w:val="clear" w:color="auto" w:fill="E6EEFF"/>
          </w:tcPr>
          <w:p>
            <w:pPr>
              <w:spacing w:after="0"/>
              <w:rPr>
                <w:sz w:val="19"/>
                <w:szCs w:val="19"/>
                <w:color w:val="auto"/>
              </w:rPr>
            </w:pPr>
          </w:p>
        </w:tc>
        <w:tc>
          <w:tcPr>
            <w:tcW w:w="960" w:type="dxa"/>
            <w:vAlign w:val="bottom"/>
            <w:shd w:val="clear" w:color="auto" w:fill="E6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20" w:type="dxa"/>
            <w:vAlign w:val="bottom"/>
          </w:tcPr>
          <w:p>
            <w:pPr>
              <w:ind w:left="120"/>
              <w:spacing w:after="0" w:line="205" w:lineRule="exact"/>
              <w:rPr>
                <w:sz w:val="20"/>
                <w:szCs w:val="20"/>
                <w:color w:val="auto"/>
              </w:rPr>
            </w:pPr>
            <w:r>
              <w:rPr>
                <w:rFonts w:ascii="Calibri" w:cs="Calibri" w:eastAsia="Calibri" w:hAnsi="Calibri"/>
                <w:sz w:val="17"/>
                <w:szCs w:val="17"/>
                <w:color w:val="auto"/>
              </w:rPr>
              <w:t>Basic</w:t>
            </w:r>
          </w:p>
        </w:tc>
        <w:tc>
          <w:tcPr>
            <w:tcW w:w="480" w:type="dxa"/>
            <w:vAlign w:val="bottom"/>
          </w:tcPr>
          <w:p>
            <w:pPr>
              <w:spacing w:after="0"/>
              <w:rPr>
                <w:sz w:val="18"/>
                <w:szCs w:val="18"/>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43,054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23,594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15,897</w:t>
            </w:r>
          </w:p>
        </w:tc>
        <w:tc>
          <w:tcPr>
            <w:tcW w:w="0" w:type="dxa"/>
            <w:vAlign w:val="bottom"/>
          </w:tcPr>
          <w:p>
            <w:pPr>
              <w:spacing w:after="0"/>
              <w:rPr>
                <w:sz w:val="1"/>
                <w:szCs w:val="1"/>
                <w:color w:val="auto"/>
              </w:rPr>
            </w:pPr>
          </w:p>
        </w:tc>
      </w:tr>
      <w:tr>
        <w:trPr>
          <w:trHeight w:val="226"/>
        </w:trPr>
        <w:tc>
          <w:tcPr>
            <w:tcW w:w="6720" w:type="dxa"/>
            <w:vAlign w:val="bottom"/>
            <w:shd w:val="clear" w:color="auto" w:fill="E6EEFF"/>
          </w:tcPr>
          <w:p>
            <w:pPr>
              <w:ind w:left="120"/>
              <w:spacing w:after="0"/>
              <w:rPr>
                <w:sz w:val="20"/>
                <w:szCs w:val="20"/>
                <w:color w:val="auto"/>
              </w:rPr>
            </w:pPr>
            <w:r>
              <w:rPr>
                <w:rFonts w:ascii="Calibri" w:cs="Calibri" w:eastAsia="Calibri" w:hAnsi="Calibri"/>
                <w:sz w:val="17"/>
                <w:szCs w:val="17"/>
                <w:color w:val="auto"/>
              </w:rPr>
              <w:t>Add: Efect of dilutve non-vested awards, assumed vested</w:t>
            </w:r>
          </w:p>
        </w:tc>
        <w:tc>
          <w:tcPr>
            <w:tcW w:w="480" w:type="dxa"/>
            <w:vAlign w:val="bottom"/>
            <w:shd w:val="clear" w:color="auto" w:fill="E6EEFF"/>
          </w:tcPr>
          <w:p>
            <w:pPr>
              <w:spacing w:after="0"/>
              <w:rPr>
                <w:sz w:val="19"/>
                <w:szCs w:val="19"/>
                <w:color w:val="auto"/>
              </w:rPr>
            </w:pPr>
          </w:p>
        </w:tc>
        <w:tc>
          <w:tcPr>
            <w:tcW w:w="1060" w:type="dxa"/>
            <w:vAlign w:val="bottom"/>
            <w:gridSpan w:val="2"/>
            <w:shd w:val="clear" w:color="auto" w:fill="E6EEFF"/>
          </w:tcPr>
          <w:p>
            <w:pPr>
              <w:jc w:val="right"/>
              <w:ind w:right="160"/>
              <w:spacing w:after="0"/>
              <w:rPr>
                <w:sz w:val="20"/>
                <w:szCs w:val="20"/>
                <w:color w:val="auto"/>
              </w:rPr>
            </w:pPr>
            <w:r>
              <w:rPr>
                <w:rFonts w:ascii="Calibri" w:cs="Calibri" w:eastAsia="Calibri" w:hAnsi="Calibri"/>
                <w:sz w:val="17"/>
                <w:szCs w:val="17"/>
                <w:color w:val="auto"/>
              </w:rPr>
              <w:t>—</w:t>
            </w:r>
          </w:p>
        </w:tc>
        <w:tc>
          <w:tcPr>
            <w:tcW w:w="440" w:type="dxa"/>
            <w:vAlign w:val="bottom"/>
            <w:shd w:val="clear" w:color="auto" w:fill="E6EEFF"/>
          </w:tcPr>
          <w:p>
            <w:pPr>
              <w:spacing w:after="0"/>
              <w:rPr>
                <w:sz w:val="19"/>
                <w:szCs w:val="19"/>
                <w:color w:val="auto"/>
              </w:rPr>
            </w:pPr>
          </w:p>
        </w:tc>
        <w:tc>
          <w:tcPr>
            <w:tcW w:w="1120" w:type="dxa"/>
            <w:vAlign w:val="bottom"/>
            <w:gridSpan w:val="2"/>
            <w:shd w:val="clear" w:color="auto" w:fill="E6EEFF"/>
          </w:tcPr>
          <w:p>
            <w:pPr>
              <w:jc w:val="right"/>
              <w:ind w:right="180"/>
              <w:spacing w:after="0"/>
              <w:rPr>
                <w:sz w:val="20"/>
                <w:szCs w:val="20"/>
                <w:color w:val="auto"/>
              </w:rPr>
            </w:pPr>
            <w:r>
              <w:rPr>
                <w:rFonts w:ascii="Calibri" w:cs="Calibri" w:eastAsia="Calibri" w:hAnsi="Calibri"/>
                <w:sz w:val="17"/>
                <w:szCs w:val="17"/>
                <w:color w:val="auto"/>
              </w:rPr>
              <w:t>—</w:t>
            </w:r>
          </w:p>
        </w:tc>
        <w:tc>
          <w:tcPr>
            <w:tcW w:w="460" w:type="dxa"/>
            <w:vAlign w:val="bottom"/>
            <w:shd w:val="clear" w:color="auto" w:fill="E6EEFF"/>
          </w:tcPr>
          <w:p>
            <w:pPr>
              <w:spacing w:after="0"/>
              <w:rPr>
                <w:sz w:val="19"/>
                <w:szCs w:val="19"/>
                <w:color w:val="auto"/>
              </w:rPr>
            </w:pPr>
          </w:p>
        </w:tc>
        <w:tc>
          <w:tcPr>
            <w:tcW w:w="9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05"/>
        </w:trPr>
        <w:tc>
          <w:tcPr>
            <w:tcW w:w="6720" w:type="dxa"/>
            <w:vAlign w:val="bottom"/>
          </w:tcPr>
          <w:p>
            <w:pPr>
              <w:ind w:left="120"/>
              <w:spacing w:after="0" w:line="205" w:lineRule="exact"/>
              <w:rPr>
                <w:sz w:val="20"/>
                <w:szCs w:val="20"/>
                <w:color w:val="auto"/>
              </w:rPr>
            </w:pPr>
            <w:r>
              <w:rPr>
                <w:rFonts w:ascii="Calibri" w:cs="Calibri" w:eastAsia="Calibri" w:hAnsi="Calibri"/>
                <w:sz w:val="17"/>
                <w:szCs w:val="17"/>
                <w:color w:val="auto"/>
              </w:rPr>
              <w:t>Diluted</w:t>
            </w:r>
          </w:p>
        </w:tc>
        <w:tc>
          <w:tcPr>
            <w:tcW w:w="48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43,054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23,594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15,897</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619"/>
        <w:spacing w:after="0" w:line="233" w:lineRule="auto"/>
        <w:rPr>
          <w:sz w:val="20"/>
          <w:szCs w:val="20"/>
          <w:color w:val="auto"/>
        </w:rPr>
      </w:pPr>
      <w:r>
        <w:rPr>
          <w:rFonts w:ascii="Calibri" w:cs="Calibri" w:eastAsia="Calibri" w:hAnsi="Calibri"/>
          <w:sz w:val="17"/>
          <w:szCs w:val="17"/>
          <w:color w:val="auto"/>
        </w:rPr>
        <w:t>For the years ended December 31, 2023, December 31, 2022 and December 31, 2021, 298, 114 and 165 of potentally dilutve non-vested awards outstanding were excluded from the computaton of diluted Comprehensive Loss related to common stockholders because to have included them would have been ant-dilutve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1147445</wp:posOffset>
            </wp:positionV>
            <wp:extent cx="7164070"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423545</wp:posOffset>
            </wp:positionV>
            <wp:extent cx="458470" cy="5073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07" w:name="page108"/>
    <w:bookmarkEnd w:id="107"/>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106</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Note 13 - Income Taxes</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following table reconciles our GAAP net income (loss) to estmated REIT taxable income (loss) for the years ended December 31, 2023, December 31, 2022 and December 31, 2021.</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6580" w:type="dxa"/>
            <w:vAlign w:val="bottom"/>
            <w:shd w:val="clear" w:color="auto" w:fill="E6EEFF"/>
          </w:tcPr>
          <w:p>
            <w:pPr>
              <w:spacing w:after="0"/>
              <w:rPr>
                <w:sz w:val="19"/>
                <w:szCs w:val="19"/>
                <w:color w:val="auto"/>
              </w:rPr>
            </w:pPr>
          </w:p>
        </w:tc>
        <w:tc>
          <w:tcPr>
            <w:tcW w:w="440" w:type="dxa"/>
            <w:vAlign w:val="bottom"/>
            <w:tcBorders>
              <w:bottom w:val="single" w:sz="8" w:color="auto"/>
            </w:tcBorders>
            <w:shd w:val="clear" w:color="auto" w:fill="E6EEFF"/>
          </w:tcPr>
          <w:p>
            <w:pPr>
              <w:spacing w:after="0"/>
              <w:rPr>
                <w:sz w:val="19"/>
                <w:szCs w:val="19"/>
                <w:color w:val="auto"/>
              </w:rPr>
            </w:pPr>
          </w:p>
        </w:tc>
        <w:tc>
          <w:tcPr>
            <w:tcW w:w="1000" w:type="dxa"/>
            <w:vAlign w:val="bottom"/>
            <w:tcBorders>
              <w:bottom w:val="single" w:sz="8" w:color="auto"/>
            </w:tcBorders>
            <w:shd w:val="clear" w:color="auto" w:fill="E6EEFF"/>
          </w:tcPr>
          <w:p>
            <w:pPr>
              <w:spacing w:after="0"/>
              <w:rPr>
                <w:sz w:val="19"/>
                <w:szCs w:val="19"/>
                <w:color w:val="auto"/>
              </w:rPr>
            </w:pPr>
          </w:p>
        </w:tc>
        <w:tc>
          <w:tcPr>
            <w:tcW w:w="120" w:type="dxa"/>
            <w:vAlign w:val="bottom"/>
            <w:tcBorders>
              <w:bottom w:val="single" w:sz="8" w:color="auto"/>
            </w:tcBorders>
            <w:shd w:val="clear" w:color="auto" w:fill="E6EEFF"/>
          </w:tcPr>
          <w:p>
            <w:pPr>
              <w:spacing w:after="0"/>
              <w:rPr>
                <w:sz w:val="19"/>
                <w:szCs w:val="19"/>
                <w:color w:val="auto"/>
              </w:rPr>
            </w:pPr>
          </w:p>
        </w:tc>
        <w:tc>
          <w:tcPr>
            <w:tcW w:w="1560" w:type="dxa"/>
            <w:vAlign w:val="bottom"/>
            <w:tcBorders>
              <w:bottom w:val="single" w:sz="8" w:color="auto"/>
            </w:tcBorders>
            <w:gridSpan w:val="3"/>
            <w:shd w:val="clear" w:color="auto" w:fill="E6EEFF"/>
          </w:tcPr>
          <w:p>
            <w:pPr>
              <w:ind w:left="40"/>
              <w:spacing w:after="0"/>
              <w:rPr>
                <w:sz w:val="20"/>
                <w:szCs w:val="20"/>
                <w:color w:val="auto"/>
              </w:rPr>
            </w:pPr>
            <w:r>
              <w:rPr>
                <w:rFonts w:ascii="Calibri" w:cs="Calibri" w:eastAsia="Calibri" w:hAnsi="Calibri"/>
                <w:sz w:val="17"/>
                <w:szCs w:val="17"/>
                <w:b w:val="1"/>
                <w:bCs w:val="1"/>
                <w:color w:val="1C4787"/>
              </w:rPr>
              <w:t>For the Years Ended</w:t>
            </w:r>
          </w:p>
        </w:tc>
        <w:tc>
          <w:tcPr>
            <w:tcW w:w="440" w:type="dxa"/>
            <w:vAlign w:val="bottom"/>
            <w:tcBorders>
              <w:bottom w:val="single" w:sz="8" w:color="auto"/>
            </w:tcBorders>
            <w:shd w:val="clear" w:color="auto" w:fill="E6EEFF"/>
          </w:tcPr>
          <w:p>
            <w:pPr>
              <w:spacing w:after="0"/>
              <w:rPr>
                <w:sz w:val="19"/>
                <w:szCs w:val="19"/>
                <w:color w:val="auto"/>
              </w:rPr>
            </w:pPr>
          </w:p>
        </w:tc>
        <w:tc>
          <w:tcPr>
            <w:tcW w:w="1000" w:type="dxa"/>
            <w:vAlign w:val="bottom"/>
            <w:tcBorders>
              <w:bottom w:val="single" w:sz="8" w:color="auto"/>
            </w:tcBorders>
            <w:shd w:val="clear" w:color="auto" w:fill="E6EEFF"/>
          </w:tcPr>
          <w:p>
            <w:pPr>
              <w:spacing w:after="0"/>
              <w:rPr>
                <w:sz w:val="19"/>
                <w:szCs w:val="19"/>
                <w:color w:val="auto"/>
              </w:rPr>
            </w:pPr>
          </w:p>
        </w:tc>
      </w:tr>
      <w:tr>
        <w:trPr>
          <w:trHeight w:val="205"/>
        </w:trPr>
        <w:tc>
          <w:tcPr>
            <w:tcW w:w="6580" w:type="dxa"/>
            <w:vAlign w:val="bottom"/>
          </w:tcPr>
          <w:p>
            <w:pPr>
              <w:spacing w:after="0"/>
              <w:rPr>
                <w:sz w:val="17"/>
                <w:szCs w:val="17"/>
                <w:color w:val="auto"/>
              </w:rPr>
            </w:pPr>
          </w:p>
        </w:tc>
        <w:tc>
          <w:tcPr>
            <w:tcW w:w="1560" w:type="dxa"/>
            <w:vAlign w:val="bottom"/>
            <w:gridSpan w:val="3"/>
          </w:tcPr>
          <w:p>
            <w:pPr>
              <w:ind w:left="4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560" w:type="dxa"/>
            <w:vAlign w:val="bottom"/>
            <w:gridSpan w:val="3"/>
          </w:tcPr>
          <w:p>
            <w:pPr>
              <w:ind w:left="4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440" w:type="dxa"/>
            <w:vAlign w:val="bottom"/>
            <w:gridSpan w:val="2"/>
          </w:tcPr>
          <w:p>
            <w:pPr>
              <w:jc w:val="right"/>
              <w:spacing w:after="0" w:line="205" w:lineRule="exact"/>
              <w:rPr>
                <w:sz w:val="20"/>
                <w:szCs w:val="20"/>
                <w:color w:val="auto"/>
              </w:rPr>
            </w:pPr>
            <w:r>
              <w:rPr>
                <w:rFonts w:ascii="Calibri" w:cs="Calibri" w:eastAsia="Calibri" w:hAnsi="Calibri"/>
                <w:sz w:val="17"/>
                <w:szCs w:val="17"/>
                <w:b w:val="1"/>
                <w:bCs w:val="1"/>
                <w:color w:val="1C4787"/>
              </w:rPr>
              <w:t>December 31, 2021</w:t>
            </w:r>
          </w:p>
        </w:tc>
      </w:tr>
      <w:tr>
        <w:trPr>
          <w:trHeight w:val="219"/>
        </w:trPr>
        <w:tc>
          <w:tcPr>
            <w:tcW w:w="6580" w:type="dxa"/>
            <w:vAlign w:val="bottom"/>
            <w:tcBorders>
              <w:top w:val="single" w:sz="8" w:color="E6EEFF"/>
            </w:tcBorders>
            <w:shd w:val="clear" w:color="auto" w:fill="E6EEFF"/>
          </w:tcPr>
          <w:p>
            <w:pPr>
              <w:spacing w:after="0" w:line="197" w:lineRule="exact"/>
              <w:rPr>
                <w:sz w:val="20"/>
                <w:szCs w:val="20"/>
                <w:color w:val="auto"/>
              </w:rPr>
            </w:pPr>
            <w:r>
              <w:rPr>
                <w:rFonts w:ascii="Calibri" w:cs="Calibri" w:eastAsia="Calibri" w:hAnsi="Calibri"/>
                <w:sz w:val="17"/>
                <w:szCs w:val="17"/>
                <w:b w:val="1"/>
                <w:bCs w:val="1"/>
                <w:color w:val="1C4787"/>
              </w:rPr>
              <w:t>GAAP net income (loss)</w:t>
            </w:r>
          </w:p>
        </w:tc>
        <w:tc>
          <w:tcPr>
            <w:tcW w:w="440" w:type="dxa"/>
            <w:vAlign w:val="bottom"/>
            <w:tcBorders>
              <w:top w:val="single" w:sz="8" w:color="auto"/>
            </w:tcBorders>
            <w:shd w:val="clear" w:color="auto" w:fill="E6EEFF"/>
          </w:tcPr>
          <w:p>
            <w:pPr>
              <w:jc w:val="right"/>
              <w:ind w:right="25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(67,923)</w:t>
            </w:r>
          </w:p>
        </w:tc>
        <w:tc>
          <w:tcPr>
            <w:tcW w:w="120" w:type="dxa"/>
            <w:vAlign w:val="bottom"/>
            <w:tcBorders>
              <w:top w:val="single" w:sz="8" w:color="E6EEFF"/>
            </w:tcBorders>
            <w:shd w:val="clear" w:color="auto" w:fill="E6EEFF"/>
          </w:tcPr>
          <w:p>
            <w:pPr>
              <w:spacing w:after="0"/>
              <w:rPr>
                <w:sz w:val="19"/>
                <w:szCs w:val="19"/>
                <w:color w:val="auto"/>
              </w:rPr>
            </w:pPr>
          </w:p>
        </w:tc>
        <w:tc>
          <w:tcPr>
            <w:tcW w:w="440" w:type="dxa"/>
            <w:vAlign w:val="bottom"/>
            <w:tcBorders>
              <w:top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00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(229,930)</w:t>
            </w:r>
          </w:p>
        </w:tc>
        <w:tc>
          <w:tcPr>
            <w:tcW w:w="120" w:type="dxa"/>
            <w:vAlign w:val="bottom"/>
            <w:tcBorders>
              <w:top w:val="single" w:sz="8" w:color="E6EEFF"/>
            </w:tcBorders>
            <w:shd w:val="clear" w:color="auto" w:fill="E6EEFF"/>
          </w:tcPr>
          <w:p>
            <w:pPr>
              <w:spacing w:after="0"/>
              <w:rPr>
                <w:sz w:val="19"/>
                <w:szCs w:val="19"/>
                <w:color w:val="auto"/>
              </w:rPr>
            </w:pPr>
          </w:p>
        </w:tc>
        <w:tc>
          <w:tcPr>
            <w:tcW w:w="440" w:type="dxa"/>
            <w:vAlign w:val="bottom"/>
            <w:tcBorders>
              <w:top w:val="single" w:sz="8" w:color="auto"/>
            </w:tcBorders>
            <w:shd w:val="clear" w:color="auto" w:fill="E6EEFF"/>
          </w:tcPr>
          <w:p>
            <w:pPr>
              <w:jc w:val="right"/>
              <w:ind w:right="25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15,363</w:t>
            </w:r>
          </w:p>
        </w:tc>
      </w:tr>
      <w:tr>
        <w:trPr>
          <w:trHeight w:val="212"/>
        </w:trPr>
        <w:tc>
          <w:tcPr>
            <w:tcW w:w="6580" w:type="dxa"/>
            <w:vAlign w:val="bottom"/>
          </w:tcPr>
          <w:p>
            <w:pPr>
              <w:spacing w:after="0" w:line="205" w:lineRule="exact"/>
              <w:rPr>
                <w:sz w:val="20"/>
                <w:szCs w:val="20"/>
                <w:color w:val="auto"/>
              </w:rPr>
            </w:pPr>
            <w:r>
              <w:rPr>
                <w:rFonts w:ascii="Calibri" w:cs="Calibri" w:eastAsia="Calibri" w:hAnsi="Calibri"/>
                <w:sz w:val="17"/>
                <w:szCs w:val="17"/>
                <w:b w:val="1"/>
                <w:bCs w:val="1"/>
                <w:color w:val="1C4787"/>
              </w:rPr>
              <w:t>Book to tax diferences:</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6"/>
        </w:trPr>
        <w:tc>
          <w:tcPr>
            <w:tcW w:w="6580" w:type="dxa"/>
            <w:vAlign w:val="bottom"/>
            <w:shd w:val="clear" w:color="auto" w:fill="E6EEFF"/>
          </w:tcPr>
          <w:p>
            <w:pPr>
              <w:ind w:left="100"/>
              <w:spacing w:after="0"/>
              <w:rPr>
                <w:sz w:val="20"/>
                <w:szCs w:val="20"/>
                <w:color w:val="auto"/>
              </w:rPr>
            </w:pPr>
            <w:r>
              <w:rPr>
                <w:rFonts w:ascii="Calibri" w:cs="Calibri" w:eastAsia="Calibri" w:hAnsi="Calibri"/>
                <w:sz w:val="17"/>
                <w:szCs w:val="17"/>
                <w:color w:val="auto"/>
              </w:rPr>
              <w:t>TRS (income) loss</w:t>
            </w:r>
          </w:p>
        </w:tc>
        <w:tc>
          <w:tcPr>
            <w:tcW w:w="44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81</w:t>
            </w:r>
          </w:p>
        </w:tc>
        <w:tc>
          <w:tcPr>
            <w:tcW w:w="120" w:type="dxa"/>
            <w:vAlign w:val="bottom"/>
            <w:shd w:val="clear" w:color="auto" w:fill="E6EEFF"/>
          </w:tcPr>
          <w:p>
            <w:pPr>
              <w:spacing w:after="0"/>
              <w:rPr>
                <w:sz w:val="19"/>
                <w:szCs w:val="19"/>
                <w:color w:val="auto"/>
              </w:rPr>
            </w:pPr>
          </w:p>
        </w:tc>
        <w:tc>
          <w:tcPr>
            <w:tcW w:w="44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(186)</w:t>
            </w:r>
          </w:p>
        </w:tc>
        <w:tc>
          <w:tcPr>
            <w:tcW w:w="120" w:type="dxa"/>
            <w:vAlign w:val="bottom"/>
            <w:shd w:val="clear" w:color="auto" w:fill="E6EEFF"/>
          </w:tcPr>
          <w:p>
            <w:pPr>
              <w:spacing w:after="0"/>
              <w:rPr>
                <w:sz w:val="19"/>
                <w:szCs w:val="19"/>
                <w:color w:val="auto"/>
              </w:rPr>
            </w:pPr>
          </w:p>
        </w:tc>
        <w:tc>
          <w:tcPr>
            <w:tcW w:w="44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37</w:t>
            </w:r>
          </w:p>
        </w:tc>
      </w:tr>
      <w:tr>
        <w:trPr>
          <w:trHeight w:val="212"/>
        </w:trPr>
        <w:tc>
          <w:tcPr>
            <w:tcW w:w="6580" w:type="dxa"/>
            <w:vAlign w:val="bottom"/>
          </w:tcPr>
          <w:p>
            <w:pPr>
              <w:ind w:left="100"/>
              <w:spacing w:after="0" w:line="205" w:lineRule="exact"/>
              <w:rPr>
                <w:sz w:val="20"/>
                <w:szCs w:val="20"/>
                <w:color w:val="auto"/>
              </w:rPr>
            </w:pPr>
            <w:r>
              <w:rPr>
                <w:rFonts w:ascii="Calibri" w:cs="Calibri" w:eastAsia="Calibri" w:hAnsi="Calibri"/>
                <w:sz w:val="17"/>
                <w:szCs w:val="17"/>
                <w:color w:val="auto"/>
              </w:rPr>
              <w:t>Premium amortzaton expense</w:t>
            </w:r>
          </w:p>
        </w:tc>
        <w:tc>
          <w:tcPr>
            <w:tcW w:w="44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(148)</w:t>
            </w:r>
          </w:p>
        </w:tc>
      </w:tr>
      <w:tr>
        <w:trPr>
          <w:trHeight w:val="226"/>
        </w:trPr>
        <w:tc>
          <w:tcPr>
            <w:tcW w:w="6580" w:type="dxa"/>
            <w:vAlign w:val="bottom"/>
            <w:shd w:val="clear" w:color="auto" w:fill="E6EEFF"/>
          </w:tcPr>
          <w:p>
            <w:pPr>
              <w:ind w:left="100"/>
              <w:spacing w:after="0"/>
              <w:rPr>
                <w:sz w:val="20"/>
                <w:szCs w:val="20"/>
                <w:color w:val="auto"/>
              </w:rPr>
            </w:pPr>
            <w:r>
              <w:rPr>
                <w:rFonts w:ascii="Calibri" w:cs="Calibri" w:eastAsia="Calibri" w:hAnsi="Calibri"/>
                <w:sz w:val="17"/>
                <w:szCs w:val="17"/>
                <w:color w:val="auto"/>
              </w:rPr>
              <w:t>Agency Securites, trading</w:t>
            </w:r>
          </w:p>
        </w:tc>
        <w:tc>
          <w:tcPr>
            <w:tcW w:w="44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52,665</w:t>
            </w:r>
          </w:p>
        </w:tc>
        <w:tc>
          <w:tcPr>
            <w:tcW w:w="120" w:type="dxa"/>
            <w:vAlign w:val="bottom"/>
            <w:shd w:val="clear" w:color="auto" w:fill="E6EEFF"/>
          </w:tcPr>
          <w:p>
            <w:pPr>
              <w:spacing w:after="0"/>
              <w:rPr>
                <w:sz w:val="19"/>
                <w:szCs w:val="19"/>
                <w:color w:val="auto"/>
              </w:rPr>
            </w:pPr>
          </w:p>
        </w:tc>
        <w:tc>
          <w:tcPr>
            <w:tcW w:w="44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946,666</w:t>
            </w:r>
          </w:p>
        </w:tc>
        <w:tc>
          <w:tcPr>
            <w:tcW w:w="120" w:type="dxa"/>
            <w:vAlign w:val="bottom"/>
            <w:shd w:val="clear" w:color="auto" w:fill="E6EEFF"/>
          </w:tcPr>
          <w:p>
            <w:pPr>
              <w:spacing w:after="0"/>
              <w:rPr>
                <w:sz w:val="19"/>
                <w:szCs w:val="19"/>
                <w:color w:val="auto"/>
              </w:rPr>
            </w:pPr>
          </w:p>
        </w:tc>
        <w:tc>
          <w:tcPr>
            <w:tcW w:w="44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77,145</w:t>
            </w:r>
          </w:p>
        </w:tc>
      </w:tr>
      <w:tr>
        <w:trPr>
          <w:trHeight w:val="212"/>
        </w:trPr>
        <w:tc>
          <w:tcPr>
            <w:tcW w:w="6580" w:type="dxa"/>
            <w:vAlign w:val="bottom"/>
          </w:tcPr>
          <w:p>
            <w:pPr>
              <w:ind w:left="100"/>
              <w:spacing w:after="0" w:line="205" w:lineRule="exact"/>
              <w:rPr>
                <w:sz w:val="20"/>
                <w:szCs w:val="20"/>
                <w:color w:val="auto"/>
              </w:rPr>
            </w:pPr>
            <w:r>
              <w:rPr>
                <w:rFonts w:ascii="Calibri" w:cs="Calibri" w:eastAsia="Calibri" w:hAnsi="Calibri"/>
                <w:sz w:val="17"/>
                <w:szCs w:val="17"/>
                <w:color w:val="auto"/>
              </w:rPr>
              <w:t>U.S. Treasury Securites</w:t>
            </w:r>
          </w:p>
        </w:tc>
        <w:tc>
          <w:tcPr>
            <w:tcW w:w="44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43,093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152,268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9,391</w:t>
            </w:r>
          </w:p>
        </w:tc>
      </w:tr>
      <w:tr>
        <w:trPr>
          <w:trHeight w:val="226"/>
        </w:trPr>
        <w:tc>
          <w:tcPr>
            <w:tcW w:w="6580" w:type="dxa"/>
            <w:vAlign w:val="bottom"/>
            <w:shd w:val="clear" w:color="auto" w:fill="E6EEFF"/>
          </w:tcPr>
          <w:p>
            <w:pPr>
              <w:ind w:left="100"/>
              <w:spacing w:after="0"/>
              <w:rPr>
                <w:sz w:val="20"/>
                <w:szCs w:val="20"/>
                <w:color w:val="auto"/>
              </w:rPr>
            </w:pPr>
            <w:r>
              <w:rPr>
                <w:rFonts w:ascii="Calibri" w:cs="Calibri" w:eastAsia="Calibri" w:hAnsi="Calibri"/>
                <w:sz w:val="17"/>
                <w:szCs w:val="17"/>
                <w:color w:val="auto"/>
              </w:rPr>
              <w:t>Changes in interest rate contracts</w:t>
            </w:r>
          </w:p>
        </w:tc>
        <w:tc>
          <w:tcPr>
            <w:tcW w:w="44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167,963</w:t>
            </w:r>
          </w:p>
        </w:tc>
        <w:tc>
          <w:tcPr>
            <w:tcW w:w="120" w:type="dxa"/>
            <w:vAlign w:val="bottom"/>
            <w:shd w:val="clear" w:color="auto" w:fill="E6EEFF"/>
          </w:tcPr>
          <w:p>
            <w:pPr>
              <w:spacing w:after="0"/>
              <w:rPr>
                <w:sz w:val="19"/>
                <w:szCs w:val="19"/>
                <w:color w:val="auto"/>
              </w:rPr>
            </w:pPr>
          </w:p>
        </w:tc>
        <w:tc>
          <w:tcPr>
            <w:tcW w:w="44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(757,742)</w:t>
            </w:r>
          </w:p>
        </w:tc>
        <w:tc>
          <w:tcPr>
            <w:tcW w:w="120" w:type="dxa"/>
            <w:vAlign w:val="bottom"/>
            <w:shd w:val="clear" w:color="auto" w:fill="E6EEFF"/>
          </w:tcPr>
          <w:p>
            <w:pPr>
              <w:spacing w:after="0"/>
              <w:rPr>
                <w:sz w:val="19"/>
                <w:szCs w:val="19"/>
                <w:color w:val="auto"/>
              </w:rPr>
            </w:pPr>
          </w:p>
        </w:tc>
        <w:tc>
          <w:tcPr>
            <w:tcW w:w="44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(77,300)</w:t>
            </w:r>
          </w:p>
        </w:tc>
      </w:tr>
      <w:tr>
        <w:trPr>
          <w:trHeight w:val="212"/>
        </w:trPr>
        <w:tc>
          <w:tcPr>
            <w:tcW w:w="6580" w:type="dxa"/>
            <w:vAlign w:val="bottom"/>
          </w:tcPr>
          <w:p>
            <w:pPr>
              <w:ind w:left="100"/>
              <w:spacing w:after="0" w:line="205" w:lineRule="exact"/>
              <w:rPr>
                <w:sz w:val="20"/>
                <w:szCs w:val="20"/>
                <w:color w:val="auto"/>
              </w:rPr>
            </w:pPr>
            <w:r>
              <w:rPr>
                <w:rFonts w:ascii="Calibri" w:cs="Calibri" w:eastAsia="Calibri" w:hAnsi="Calibri"/>
                <w:sz w:val="17"/>
                <w:szCs w:val="17"/>
                <w:color w:val="auto"/>
              </w:rPr>
              <w:t>(Gain) Loss on Security sales</w:t>
            </w:r>
          </w:p>
        </w:tc>
        <w:tc>
          <w:tcPr>
            <w:tcW w:w="44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7,471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7,452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(10,952)</w:t>
            </w:r>
          </w:p>
        </w:tc>
      </w:tr>
      <w:tr>
        <w:trPr>
          <w:trHeight w:val="226"/>
        </w:trPr>
        <w:tc>
          <w:tcPr>
            <w:tcW w:w="6580" w:type="dxa"/>
            <w:vAlign w:val="bottom"/>
            <w:shd w:val="clear" w:color="auto" w:fill="E6EEFF"/>
          </w:tcPr>
          <w:p>
            <w:pPr>
              <w:ind w:left="120"/>
              <w:spacing w:after="0"/>
              <w:rPr>
                <w:sz w:val="20"/>
                <w:szCs w:val="20"/>
                <w:color w:val="auto"/>
              </w:rPr>
            </w:pPr>
            <w:r>
              <w:rPr>
                <w:rFonts w:ascii="Calibri" w:cs="Calibri" w:eastAsia="Calibri" w:hAnsi="Calibri"/>
                <w:sz w:val="17"/>
                <w:szCs w:val="17"/>
                <w:color w:val="auto"/>
              </w:rPr>
              <w:t>Impairment losses on available for sale Agency Securites</w:t>
            </w:r>
          </w:p>
        </w:tc>
        <w:tc>
          <w:tcPr>
            <w:tcW w:w="440" w:type="dxa"/>
            <w:vAlign w:val="bottom"/>
            <w:shd w:val="clear" w:color="auto" w:fill="E6EEFF"/>
          </w:tcPr>
          <w:p>
            <w:pPr>
              <w:spacing w:after="0"/>
              <w:rPr>
                <w:sz w:val="19"/>
                <w:szCs w:val="19"/>
                <w:color w:val="auto"/>
              </w:rPr>
            </w:pPr>
          </w:p>
        </w:tc>
        <w:tc>
          <w:tcPr>
            <w:tcW w:w="1120" w:type="dxa"/>
            <w:vAlign w:val="bottom"/>
            <w:gridSpan w:val="2"/>
            <w:shd w:val="clear" w:color="auto" w:fill="E6EEFF"/>
          </w:tcPr>
          <w:p>
            <w:pPr>
              <w:jc w:val="right"/>
              <w:ind w:right="180"/>
              <w:spacing w:after="0"/>
              <w:rPr>
                <w:sz w:val="20"/>
                <w:szCs w:val="20"/>
                <w:color w:val="auto"/>
              </w:rPr>
            </w:pPr>
            <w:r>
              <w:rPr>
                <w:rFonts w:ascii="Calibri" w:cs="Calibri" w:eastAsia="Calibri" w:hAnsi="Calibri"/>
                <w:sz w:val="17"/>
                <w:szCs w:val="17"/>
                <w:color w:val="auto"/>
              </w:rPr>
              <w:t>—</w:t>
            </w:r>
          </w:p>
        </w:tc>
        <w:tc>
          <w:tcPr>
            <w:tcW w:w="44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4,183</w:t>
            </w:r>
          </w:p>
        </w:tc>
        <w:tc>
          <w:tcPr>
            <w:tcW w:w="120" w:type="dxa"/>
            <w:vAlign w:val="bottom"/>
            <w:shd w:val="clear" w:color="auto" w:fill="E6EEFF"/>
          </w:tcPr>
          <w:p>
            <w:pPr>
              <w:spacing w:after="0"/>
              <w:rPr>
                <w:sz w:val="19"/>
                <w:szCs w:val="19"/>
                <w:color w:val="auto"/>
              </w:rPr>
            </w:pPr>
          </w:p>
        </w:tc>
        <w:tc>
          <w:tcPr>
            <w:tcW w:w="44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w:t>
            </w:r>
          </w:p>
        </w:tc>
      </w:tr>
      <w:tr>
        <w:trPr>
          <w:trHeight w:val="212"/>
        </w:trPr>
        <w:tc>
          <w:tcPr>
            <w:tcW w:w="6580" w:type="dxa"/>
            <w:vAlign w:val="bottom"/>
          </w:tcPr>
          <w:p>
            <w:pPr>
              <w:ind w:left="100"/>
              <w:spacing w:after="0" w:line="205" w:lineRule="exact"/>
              <w:rPr>
                <w:sz w:val="20"/>
                <w:szCs w:val="20"/>
                <w:color w:val="auto"/>
              </w:rPr>
            </w:pPr>
            <w:r>
              <w:rPr>
                <w:rFonts w:ascii="Calibri" w:cs="Calibri" w:eastAsia="Calibri" w:hAnsi="Calibri"/>
                <w:sz w:val="17"/>
                <w:szCs w:val="17"/>
                <w:color w:val="auto"/>
              </w:rPr>
              <w:t>Amortzaton of deferred hedging costs</w:t>
            </w:r>
          </w:p>
        </w:tc>
        <w:tc>
          <w:tcPr>
            <w:tcW w:w="44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(103,669)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(145,267)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line="205" w:lineRule="exact"/>
              <w:rPr>
                <w:sz w:val="20"/>
                <w:szCs w:val="20"/>
                <w:color w:val="auto"/>
              </w:rPr>
            </w:pPr>
            <w:r>
              <w:rPr>
                <w:rFonts w:ascii="Calibri" w:cs="Calibri" w:eastAsia="Calibri" w:hAnsi="Calibri"/>
                <w:sz w:val="17"/>
                <w:szCs w:val="17"/>
                <w:color w:val="auto"/>
              </w:rPr>
              <w:t>(163,837)</w:t>
            </w:r>
          </w:p>
        </w:tc>
      </w:tr>
      <w:tr>
        <w:trPr>
          <w:trHeight w:val="226"/>
        </w:trPr>
        <w:tc>
          <w:tcPr>
            <w:tcW w:w="6580" w:type="dxa"/>
            <w:vAlign w:val="bottom"/>
            <w:shd w:val="clear" w:color="auto" w:fill="E6EEFF"/>
          </w:tcPr>
          <w:p>
            <w:pPr>
              <w:ind w:left="100"/>
              <w:spacing w:after="0"/>
              <w:rPr>
                <w:sz w:val="20"/>
                <w:szCs w:val="20"/>
                <w:color w:val="auto"/>
              </w:rPr>
            </w:pPr>
            <w:r>
              <w:rPr>
                <w:rFonts w:ascii="Calibri" w:cs="Calibri" w:eastAsia="Calibri" w:hAnsi="Calibri"/>
                <w:sz w:val="17"/>
                <w:szCs w:val="17"/>
                <w:color w:val="auto"/>
              </w:rPr>
              <w:t>Amortzaton of deferred Treasury Future gains</w:t>
            </w:r>
          </w:p>
        </w:tc>
        <w:tc>
          <w:tcPr>
            <w:tcW w:w="44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23,161</w:t>
            </w:r>
          </w:p>
        </w:tc>
        <w:tc>
          <w:tcPr>
            <w:tcW w:w="120" w:type="dxa"/>
            <w:vAlign w:val="bottom"/>
            <w:shd w:val="clear" w:color="auto" w:fill="E6EEFF"/>
          </w:tcPr>
          <w:p>
            <w:pPr>
              <w:spacing w:after="0"/>
              <w:rPr>
                <w:sz w:val="19"/>
                <w:szCs w:val="19"/>
                <w:color w:val="auto"/>
              </w:rPr>
            </w:pPr>
          </w:p>
        </w:tc>
        <w:tc>
          <w:tcPr>
            <w:tcW w:w="44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3,383</w:t>
            </w:r>
          </w:p>
        </w:tc>
        <w:tc>
          <w:tcPr>
            <w:tcW w:w="120" w:type="dxa"/>
            <w:vAlign w:val="bottom"/>
            <w:shd w:val="clear" w:color="auto" w:fill="E6EEFF"/>
          </w:tcPr>
          <w:p>
            <w:pPr>
              <w:spacing w:after="0"/>
              <w:rPr>
                <w:sz w:val="19"/>
                <w:szCs w:val="19"/>
                <w:color w:val="auto"/>
              </w:rPr>
            </w:pPr>
          </w:p>
        </w:tc>
        <w:tc>
          <w:tcPr>
            <w:tcW w:w="440" w:type="dxa"/>
            <w:vAlign w:val="bottom"/>
            <w:shd w:val="clear" w:color="auto" w:fill="E6EEFF"/>
          </w:tcPr>
          <w:p>
            <w:pPr>
              <w:spacing w:after="0"/>
              <w:rPr>
                <w:sz w:val="19"/>
                <w:szCs w:val="19"/>
                <w:color w:val="auto"/>
              </w:rPr>
            </w:pPr>
          </w:p>
        </w:tc>
        <w:tc>
          <w:tcPr>
            <w:tcW w:w="100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w:t>
            </w:r>
          </w:p>
        </w:tc>
      </w:tr>
      <w:tr>
        <w:trPr>
          <w:trHeight w:val="212"/>
        </w:trPr>
        <w:tc>
          <w:tcPr>
            <w:tcW w:w="6580" w:type="dxa"/>
            <w:vAlign w:val="bottom"/>
            <w:tcBorders>
              <w:bottom w:val="single" w:sz="8" w:color="E6EEFF"/>
            </w:tcBorders>
          </w:tcPr>
          <w:p>
            <w:pPr>
              <w:ind w:left="100"/>
              <w:spacing w:after="0" w:line="205" w:lineRule="exact"/>
              <w:rPr>
                <w:sz w:val="20"/>
                <w:szCs w:val="20"/>
                <w:color w:val="auto"/>
              </w:rPr>
            </w:pPr>
            <w:r>
              <w:rPr>
                <w:rFonts w:ascii="Calibri" w:cs="Calibri" w:eastAsia="Calibri" w:hAnsi="Calibri"/>
                <w:sz w:val="17"/>
                <w:szCs w:val="17"/>
                <w:color w:val="auto"/>
              </w:rPr>
              <w:t>Other</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1,876</w:t>
            </w:r>
          </w:p>
        </w:tc>
        <w:tc>
          <w:tcPr>
            <w:tcW w:w="120" w:type="dxa"/>
            <w:vAlign w:val="bottom"/>
            <w:tcBorders>
              <w:bottom w:val="single" w:sz="8" w:color="E6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2,340</w:t>
            </w:r>
          </w:p>
        </w:tc>
        <w:tc>
          <w:tcPr>
            <w:tcW w:w="120" w:type="dxa"/>
            <w:vAlign w:val="bottom"/>
            <w:tcBorders>
              <w:bottom w:val="single" w:sz="8" w:color="E6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1,834</w:t>
            </w:r>
          </w:p>
        </w:tc>
      </w:tr>
      <w:tr>
        <w:trPr>
          <w:trHeight w:val="244"/>
        </w:trPr>
        <w:tc>
          <w:tcPr>
            <w:tcW w:w="6580" w:type="dxa"/>
            <w:vAlign w:val="bottom"/>
            <w:tcBorders>
              <w:bottom w:val="single" w:sz="8" w:color="E6EEFF"/>
            </w:tcBorders>
            <w:shd w:val="clear" w:color="auto" w:fill="E6EEFF"/>
          </w:tcPr>
          <w:p>
            <w:pPr>
              <w:spacing w:after="0"/>
              <w:rPr>
                <w:sz w:val="20"/>
                <w:szCs w:val="20"/>
                <w:color w:val="auto"/>
              </w:rPr>
            </w:pPr>
            <w:r>
              <w:rPr>
                <w:rFonts w:ascii="Calibri" w:cs="Calibri" w:eastAsia="Calibri" w:hAnsi="Calibri"/>
                <w:sz w:val="17"/>
                <w:szCs w:val="17"/>
                <w:b w:val="1"/>
                <w:bCs w:val="1"/>
                <w:color w:val="1C4787"/>
              </w:rPr>
              <w:t>Estmated REIT taxable income (loss)</w:t>
            </w:r>
          </w:p>
        </w:tc>
        <w:tc>
          <w:tcPr>
            <w:tcW w:w="440" w:type="dxa"/>
            <w:vAlign w:val="bottom"/>
            <w:tcBorders>
              <w:bottom w:val="single" w:sz="8" w:color="auto"/>
            </w:tcBorders>
            <w:shd w:val="clear" w:color="auto" w:fill="E6EEFF"/>
          </w:tcPr>
          <w:p>
            <w:pPr>
              <w:jc w:val="right"/>
              <w:ind w:right="25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124,717</w:t>
            </w:r>
          </w:p>
        </w:tc>
        <w:tc>
          <w:tcPr>
            <w:tcW w:w="120" w:type="dxa"/>
            <w:vAlign w:val="bottom"/>
            <w:tcBorders>
              <w:bottom w:val="single" w:sz="8" w:color="E6EEFF"/>
            </w:tcBorders>
            <w:shd w:val="clear" w:color="auto" w:fill="E6EEFF"/>
          </w:tcPr>
          <w:p>
            <w:pPr>
              <w:spacing w:after="0"/>
              <w:rPr>
                <w:sz w:val="20"/>
                <w:szCs w:val="20"/>
                <w:color w:val="auto"/>
              </w:rPr>
            </w:pPr>
          </w:p>
        </w:tc>
        <w:tc>
          <w:tcPr>
            <w:tcW w:w="440" w:type="dxa"/>
            <w:vAlign w:val="bottom"/>
            <w:tcBorders>
              <w:bottom w:val="single" w:sz="8" w:color="auto"/>
            </w:tcBorders>
            <w:shd w:val="clear" w:color="auto" w:fill="E6EEFF"/>
          </w:tcPr>
          <w:p>
            <w:pPr>
              <w:ind w:left="20"/>
              <w:spacing w:after="0" w:line="205" w:lineRule="exact"/>
              <w:rPr>
                <w:sz w:val="20"/>
                <w:szCs w:val="20"/>
                <w:color w:val="auto"/>
              </w:rPr>
            </w:pPr>
            <w:r>
              <w:rPr>
                <w:rFonts w:ascii="Calibri" w:cs="Calibri" w:eastAsia="Calibri" w:hAnsi="Calibri"/>
                <w:sz w:val="17"/>
                <w:szCs w:val="17"/>
                <w:color w:val="auto"/>
              </w:rPr>
              <w:t>$</w:t>
            </w:r>
          </w:p>
        </w:tc>
        <w:tc>
          <w:tcPr>
            <w:tcW w:w="100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(16,914)</w:t>
            </w:r>
          </w:p>
        </w:tc>
        <w:tc>
          <w:tcPr>
            <w:tcW w:w="120" w:type="dxa"/>
            <w:vAlign w:val="bottom"/>
            <w:tcBorders>
              <w:bottom w:val="single" w:sz="8" w:color="E6EEFF"/>
            </w:tcBorders>
            <w:shd w:val="clear" w:color="auto" w:fill="E6EEFF"/>
          </w:tcPr>
          <w:p>
            <w:pPr>
              <w:spacing w:after="0"/>
              <w:rPr>
                <w:sz w:val="20"/>
                <w:szCs w:val="20"/>
                <w:color w:val="auto"/>
              </w:rPr>
            </w:pPr>
          </w:p>
        </w:tc>
        <w:tc>
          <w:tcPr>
            <w:tcW w:w="440" w:type="dxa"/>
            <w:vAlign w:val="bottom"/>
            <w:tcBorders>
              <w:bottom w:val="single" w:sz="8" w:color="auto"/>
            </w:tcBorders>
            <w:shd w:val="clear" w:color="auto" w:fill="E6EEFF"/>
          </w:tcPr>
          <w:p>
            <w:pPr>
              <w:jc w:val="right"/>
              <w:ind w:right="254"/>
              <w:spacing w:after="0" w:line="205" w:lineRule="exact"/>
              <w:rPr>
                <w:sz w:val="20"/>
                <w:szCs w:val="20"/>
                <w:color w:val="auto"/>
              </w:rPr>
            </w:pPr>
            <w:r>
              <w:rPr>
                <w:rFonts w:ascii="Calibri" w:cs="Calibri" w:eastAsia="Calibri" w:hAnsi="Calibri"/>
                <w:sz w:val="17"/>
                <w:szCs w:val="17"/>
                <w:color w:val="auto"/>
                <w:w w:val="92"/>
              </w:rPr>
              <w:t>$</w:t>
            </w:r>
          </w:p>
        </w:tc>
        <w:tc>
          <w:tcPr>
            <w:tcW w:w="1000" w:type="dxa"/>
            <w:vAlign w:val="bottom"/>
            <w:tcBorders>
              <w:bottom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(148,467)</w:t>
            </w:r>
          </w:p>
        </w:tc>
      </w:tr>
      <w:tr>
        <w:trPr>
          <w:trHeight w:val="20"/>
        </w:trPr>
        <w:tc>
          <w:tcPr>
            <w:tcW w:w="6580" w:type="dxa"/>
            <w:vAlign w:val="bottom"/>
            <w:tcBorders>
              <w:top w:val="single" w:sz="8" w:color="E6EEFF"/>
            </w:tcBorders>
          </w:tcPr>
          <w:p>
            <w:pPr>
              <w:spacing w:after="0" w:line="20" w:lineRule="exact"/>
              <w:rPr>
                <w:sz w:val="1"/>
                <w:szCs w:val="1"/>
                <w:color w:val="auto"/>
              </w:rPr>
            </w:pPr>
          </w:p>
        </w:tc>
        <w:tc>
          <w:tcPr>
            <w:tcW w:w="440" w:type="dxa"/>
            <w:vAlign w:val="bottom"/>
            <w:tcBorders>
              <w:top w:val="single" w:sz="8" w:color="E6EEFF"/>
              <w:bottom w:val="single" w:sz="8" w:color="auto"/>
            </w:tcBorders>
          </w:tcPr>
          <w:p>
            <w:pPr>
              <w:spacing w:after="0" w:line="20" w:lineRule="exact"/>
              <w:rPr>
                <w:sz w:val="1"/>
                <w:szCs w:val="1"/>
                <w:color w:val="auto"/>
              </w:rPr>
            </w:pPr>
          </w:p>
        </w:tc>
        <w:tc>
          <w:tcPr>
            <w:tcW w:w="100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440" w:type="dxa"/>
            <w:vAlign w:val="bottom"/>
            <w:tcBorders>
              <w:top w:val="single" w:sz="8" w:color="E6EEFF"/>
              <w:bottom w:val="single" w:sz="8" w:color="auto"/>
            </w:tcBorders>
          </w:tcPr>
          <w:p>
            <w:pPr>
              <w:spacing w:after="0" w:line="20" w:lineRule="exact"/>
              <w:rPr>
                <w:sz w:val="1"/>
                <w:szCs w:val="1"/>
                <w:color w:val="auto"/>
              </w:rPr>
            </w:pPr>
          </w:p>
        </w:tc>
        <w:tc>
          <w:tcPr>
            <w:tcW w:w="100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440" w:type="dxa"/>
            <w:vAlign w:val="bottom"/>
            <w:tcBorders>
              <w:top w:val="single" w:sz="8" w:color="E6EEFF"/>
              <w:bottom w:val="single" w:sz="8" w:color="auto"/>
            </w:tcBorders>
          </w:tcPr>
          <w:p>
            <w:pPr>
              <w:spacing w:after="0" w:line="20" w:lineRule="exact"/>
              <w:rPr>
                <w:sz w:val="1"/>
                <w:szCs w:val="1"/>
                <w:color w:val="auto"/>
              </w:rPr>
            </w:pPr>
          </w:p>
        </w:tc>
        <w:tc>
          <w:tcPr>
            <w:tcW w:w="1000" w:type="dxa"/>
            <w:vAlign w:val="bottom"/>
            <w:tcBorders>
              <w:top w:val="single" w:sz="8" w:color="E6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Interest rate and futures contracts are treated as hedging transactons for U.S. federal income tax purposes. Unrealized gains and losses on open interest rate contracts are not included in the determinaton of REIT taxable income. Realized gains and losses on interest rate contracts terminated before their maturity are deferred and amortzed over the remainder of the original term of the contract for REIT taxable income. At December 31, 2023 and December 31, 2022, we had approximately $(247,349) and $(307,316) in tax deductble expense relatng to previously terminated interest rate swap and treasury futures contracts amortzing through the years 2033 and 2032, respectvely. At December 31, 2023, we had $257,341 of net operatng loss carryforwards available for use indefnitely.</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4320" w:type="dxa"/>
            <w:vAlign w:val="bottom"/>
            <w:gridSpan w:val="2"/>
            <w:shd w:val="clear" w:color="auto" w:fill="E6EEFF"/>
          </w:tcPr>
          <w:p>
            <w:pPr>
              <w:jc w:val="center"/>
              <w:ind w:right="120"/>
              <w:spacing w:after="0"/>
              <w:rPr>
                <w:sz w:val="20"/>
                <w:szCs w:val="20"/>
                <w:color w:val="auto"/>
              </w:rPr>
            </w:pPr>
            <w:r>
              <w:rPr>
                <w:rFonts w:ascii="Calibri" w:cs="Calibri" w:eastAsia="Calibri" w:hAnsi="Calibri"/>
                <w:sz w:val="17"/>
                <w:szCs w:val="17"/>
                <w:b w:val="1"/>
                <w:bCs w:val="1"/>
                <w:color w:val="1C4787"/>
                <w:w w:val="98"/>
              </w:rPr>
              <w:t>Net capital losses realized</w:t>
            </w:r>
          </w:p>
        </w:tc>
        <w:tc>
          <w:tcPr>
            <w:tcW w:w="2720" w:type="dxa"/>
            <w:vAlign w:val="bottom"/>
            <w:gridSpan w:val="2"/>
            <w:shd w:val="clear" w:color="auto" w:fill="E6EEFF"/>
          </w:tcPr>
          <w:p>
            <w:pPr>
              <w:ind w:left="1020"/>
              <w:spacing w:after="0"/>
              <w:rPr>
                <w:sz w:val="20"/>
                <w:szCs w:val="20"/>
                <w:color w:val="auto"/>
              </w:rPr>
            </w:pPr>
            <w:r>
              <w:rPr>
                <w:rFonts w:ascii="Calibri" w:cs="Calibri" w:eastAsia="Calibri" w:hAnsi="Calibri"/>
                <w:sz w:val="17"/>
                <w:szCs w:val="17"/>
                <w:b w:val="1"/>
                <w:bCs w:val="1"/>
                <w:color w:val="1C4787"/>
              </w:rPr>
              <w:t>Amount</w:t>
            </w:r>
          </w:p>
        </w:tc>
        <w:tc>
          <w:tcPr>
            <w:tcW w:w="4180" w:type="dxa"/>
            <w:vAlign w:val="bottom"/>
            <w:shd w:val="clear" w:color="auto" w:fill="E6EEFF"/>
          </w:tcPr>
          <w:p>
            <w:pPr>
              <w:jc w:val="center"/>
              <w:spacing w:after="0"/>
              <w:rPr>
                <w:sz w:val="20"/>
                <w:szCs w:val="20"/>
                <w:color w:val="auto"/>
              </w:rPr>
            </w:pPr>
            <w:r>
              <w:rPr>
                <w:rFonts w:ascii="Calibri" w:cs="Calibri" w:eastAsia="Calibri" w:hAnsi="Calibri"/>
                <w:sz w:val="17"/>
                <w:szCs w:val="17"/>
                <w:b w:val="1"/>
                <w:bCs w:val="1"/>
                <w:color w:val="1C4787"/>
                <w:w w:val="99"/>
              </w:rPr>
              <w:t>Available to ofset capital gains through</w:t>
            </w:r>
          </w:p>
        </w:tc>
      </w:tr>
      <w:tr>
        <w:trPr>
          <w:trHeight w:val="205"/>
        </w:trPr>
        <w:tc>
          <w:tcPr>
            <w:tcW w:w="4220" w:type="dxa"/>
            <w:vAlign w:val="bottom"/>
            <w:tcBorders>
              <w:top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8"/>
              </w:rPr>
              <w:t>2019</w:t>
            </w:r>
          </w:p>
        </w:tc>
        <w:tc>
          <w:tcPr>
            <w:tcW w:w="100" w:type="dxa"/>
            <w:vAlign w:val="bottom"/>
          </w:tcPr>
          <w:p>
            <w:pPr>
              <w:spacing w:after="0"/>
              <w:rPr>
                <w:sz w:val="17"/>
                <w:szCs w:val="17"/>
                <w:color w:val="auto"/>
              </w:rPr>
            </w:pPr>
          </w:p>
        </w:tc>
        <w:tc>
          <w:tcPr>
            <w:tcW w:w="2620" w:type="dxa"/>
            <w:vAlign w:val="bottom"/>
            <w:tcBorders>
              <w:top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(13,819)</w:t>
            </w:r>
          </w:p>
        </w:tc>
        <w:tc>
          <w:tcPr>
            <w:tcW w:w="100" w:type="dxa"/>
            <w:vAlign w:val="bottom"/>
          </w:tcPr>
          <w:p>
            <w:pPr>
              <w:spacing w:after="0"/>
              <w:rPr>
                <w:sz w:val="17"/>
                <w:szCs w:val="17"/>
                <w:color w:val="auto"/>
              </w:rPr>
            </w:pPr>
          </w:p>
        </w:tc>
        <w:tc>
          <w:tcPr>
            <w:tcW w:w="4180" w:type="dxa"/>
            <w:vAlign w:val="bottom"/>
            <w:tcBorders>
              <w:top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8"/>
              </w:rPr>
              <w:t>2024</w:t>
            </w:r>
          </w:p>
        </w:tc>
      </w:tr>
      <w:tr>
        <w:trPr>
          <w:trHeight w:val="226"/>
        </w:trPr>
        <w:tc>
          <w:tcPr>
            <w:tcW w:w="4220" w:type="dxa"/>
            <w:vAlign w:val="bottom"/>
            <w:shd w:val="clear" w:color="auto" w:fill="E6EEFF"/>
          </w:tcPr>
          <w:p>
            <w:pPr>
              <w:jc w:val="center"/>
              <w:spacing w:after="0"/>
              <w:rPr>
                <w:sz w:val="20"/>
                <w:szCs w:val="20"/>
                <w:color w:val="auto"/>
              </w:rPr>
            </w:pPr>
            <w:r>
              <w:rPr>
                <w:rFonts w:ascii="Calibri" w:cs="Calibri" w:eastAsia="Calibri" w:hAnsi="Calibri"/>
                <w:sz w:val="17"/>
                <w:szCs w:val="17"/>
                <w:color w:val="auto"/>
                <w:w w:val="98"/>
              </w:rPr>
              <w:t>2021</w:t>
            </w:r>
          </w:p>
        </w:tc>
        <w:tc>
          <w:tcPr>
            <w:tcW w:w="100" w:type="dxa"/>
            <w:vAlign w:val="bottom"/>
            <w:shd w:val="clear" w:color="auto" w:fill="E6EEFF"/>
          </w:tcPr>
          <w:p>
            <w:pPr>
              <w:spacing w:after="0"/>
              <w:rPr>
                <w:sz w:val="19"/>
                <w:szCs w:val="19"/>
                <w:color w:val="auto"/>
              </w:rPr>
            </w:pPr>
          </w:p>
        </w:tc>
        <w:tc>
          <w:tcPr>
            <w:tcW w:w="26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(15,605)</w:t>
            </w:r>
          </w:p>
        </w:tc>
        <w:tc>
          <w:tcPr>
            <w:tcW w:w="100" w:type="dxa"/>
            <w:vAlign w:val="bottom"/>
            <w:shd w:val="clear" w:color="auto" w:fill="E6EEFF"/>
          </w:tcPr>
          <w:p>
            <w:pPr>
              <w:spacing w:after="0"/>
              <w:rPr>
                <w:sz w:val="19"/>
                <w:szCs w:val="19"/>
                <w:color w:val="auto"/>
              </w:rPr>
            </w:pPr>
          </w:p>
        </w:tc>
        <w:tc>
          <w:tcPr>
            <w:tcW w:w="4180" w:type="dxa"/>
            <w:vAlign w:val="bottom"/>
            <w:shd w:val="clear" w:color="auto" w:fill="E6EEFF"/>
          </w:tcPr>
          <w:p>
            <w:pPr>
              <w:jc w:val="center"/>
              <w:spacing w:after="0"/>
              <w:rPr>
                <w:sz w:val="20"/>
                <w:szCs w:val="20"/>
                <w:color w:val="auto"/>
              </w:rPr>
            </w:pPr>
            <w:r>
              <w:rPr>
                <w:rFonts w:ascii="Calibri" w:cs="Calibri" w:eastAsia="Calibri" w:hAnsi="Calibri"/>
                <w:sz w:val="17"/>
                <w:szCs w:val="17"/>
                <w:color w:val="auto"/>
                <w:w w:val="98"/>
              </w:rPr>
              <w:t>2026</w:t>
            </w:r>
          </w:p>
        </w:tc>
      </w:tr>
      <w:tr>
        <w:trPr>
          <w:trHeight w:val="212"/>
        </w:trPr>
        <w:tc>
          <w:tcPr>
            <w:tcW w:w="4220" w:type="dxa"/>
            <w:vAlign w:val="bottom"/>
          </w:tcPr>
          <w:p>
            <w:pPr>
              <w:jc w:val="center"/>
              <w:spacing w:after="0" w:line="205" w:lineRule="exact"/>
              <w:rPr>
                <w:sz w:val="20"/>
                <w:szCs w:val="20"/>
                <w:color w:val="auto"/>
              </w:rPr>
            </w:pPr>
            <w:r>
              <w:rPr>
                <w:rFonts w:ascii="Calibri" w:cs="Calibri" w:eastAsia="Calibri" w:hAnsi="Calibri"/>
                <w:sz w:val="17"/>
                <w:szCs w:val="17"/>
                <w:color w:val="auto"/>
                <w:w w:val="98"/>
              </w:rPr>
              <w:t>2022</w:t>
            </w:r>
          </w:p>
        </w:tc>
        <w:tc>
          <w:tcPr>
            <w:tcW w:w="100" w:type="dxa"/>
            <w:vAlign w:val="bottom"/>
          </w:tcPr>
          <w:p>
            <w:pPr>
              <w:spacing w:after="0"/>
              <w:rPr>
                <w:sz w:val="18"/>
                <w:szCs w:val="18"/>
                <w:color w:val="auto"/>
              </w:rPr>
            </w:pPr>
          </w:p>
        </w:tc>
        <w:tc>
          <w:tcPr>
            <w:tcW w:w="2620" w:type="dxa"/>
            <w:vAlign w:val="bottom"/>
          </w:tcPr>
          <w:p>
            <w:pPr>
              <w:jc w:val="right"/>
              <w:spacing w:after="0" w:line="205" w:lineRule="exact"/>
              <w:rPr>
                <w:sz w:val="20"/>
                <w:szCs w:val="20"/>
                <w:color w:val="auto"/>
              </w:rPr>
            </w:pPr>
            <w:r>
              <w:rPr>
                <w:rFonts w:ascii="Calibri" w:cs="Calibri" w:eastAsia="Calibri" w:hAnsi="Calibri"/>
                <w:sz w:val="17"/>
                <w:szCs w:val="17"/>
                <w:color w:val="auto"/>
              </w:rPr>
              <w:t>(732,478)</w:t>
            </w:r>
          </w:p>
        </w:tc>
        <w:tc>
          <w:tcPr>
            <w:tcW w:w="100" w:type="dxa"/>
            <w:vAlign w:val="bottom"/>
          </w:tcPr>
          <w:p>
            <w:pPr>
              <w:spacing w:after="0"/>
              <w:rPr>
                <w:sz w:val="18"/>
                <w:szCs w:val="18"/>
                <w:color w:val="auto"/>
              </w:rPr>
            </w:pPr>
          </w:p>
        </w:tc>
        <w:tc>
          <w:tcPr>
            <w:tcW w:w="4180" w:type="dxa"/>
            <w:vAlign w:val="bottom"/>
          </w:tcPr>
          <w:p>
            <w:pPr>
              <w:jc w:val="center"/>
              <w:spacing w:after="0" w:line="205" w:lineRule="exact"/>
              <w:rPr>
                <w:sz w:val="20"/>
                <w:szCs w:val="20"/>
                <w:color w:val="auto"/>
              </w:rPr>
            </w:pPr>
            <w:r>
              <w:rPr>
                <w:rFonts w:ascii="Calibri" w:cs="Calibri" w:eastAsia="Calibri" w:hAnsi="Calibri"/>
                <w:sz w:val="17"/>
                <w:szCs w:val="17"/>
                <w:color w:val="auto"/>
                <w:w w:val="98"/>
              </w:rPr>
              <w:t>2027</w:t>
            </w:r>
          </w:p>
        </w:tc>
      </w:tr>
      <w:tr>
        <w:trPr>
          <w:trHeight w:val="226"/>
        </w:trPr>
        <w:tc>
          <w:tcPr>
            <w:tcW w:w="4220" w:type="dxa"/>
            <w:vAlign w:val="bottom"/>
            <w:shd w:val="clear" w:color="auto" w:fill="E6EEFF"/>
          </w:tcPr>
          <w:p>
            <w:pPr>
              <w:jc w:val="center"/>
              <w:spacing w:after="0"/>
              <w:rPr>
                <w:sz w:val="20"/>
                <w:szCs w:val="20"/>
                <w:color w:val="auto"/>
              </w:rPr>
            </w:pPr>
            <w:r>
              <w:rPr>
                <w:rFonts w:ascii="Calibri" w:cs="Calibri" w:eastAsia="Calibri" w:hAnsi="Calibri"/>
                <w:sz w:val="17"/>
                <w:szCs w:val="17"/>
                <w:color w:val="auto"/>
                <w:w w:val="98"/>
              </w:rPr>
              <w:t>2023</w:t>
            </w:r>
          </w:p>
        </w:tc>
        <w:tc>
          <w:tcPr>
            <w:tcW w:w="100" w:type="dxa"/>
            <w:vAlign w:val="bottom"/>
            <w:shd w:val="clear" w:color="auto" w:fill="E6EEFF"/>
          </w:tcPr>
          <w:p>
            <w:pPr>
              <w:spacing w:after="0"/>
              <w:rPr>
                <w:sz w:val="19"/>
                <w:szCs w:val="19"/>
                <w:color w:val="auto"/>
              </w:rPr>
            </w:pPr>
          </w:p>
        </w:tc>
        <w:tc>
          <w:tcPr>
            <w:tcW w:w="262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(496,265)</w:t>
            </w:r>
          </w:p>
        </w:tc>
        <w:tc>
          <w:tcPr>
            <w:tcW w:w="100" w:type="dxa"/>
            <w:vAlign w:val="bottom"/>
            <w:shd w:val="clear" w:color="auto" w:fill="E6EEFF"/>
          </w:tcPr>
          <w:p>
            <w:pPr>
              <w:spacing w:after="0"/>
              <w:rPr>
                <w:sz w:val="19"/>
                <w:szCs w:val="19"/>
                <w:color w:val="auto"/>
              </w:rPr>
            </w:pPr>
          </w:p>
        </w:tc>
        <w:tc>
          <w:tcPr>
            <w:tcW w:w="4180" w:type="dxa"/>
            <w:vAlign w:val="bottom"/>
            <w:shd w:val="clear" w:color="auto" w:fill="E6EEFF"/>
          </w:tcPr>
          <w:p>
            <w:pPr>
              <w:jc w:val="center"/>
              <w:spacing w:after="0"/>
              <w:rPr>
                <w:sz w:val="20"/>
                <w:szCs w:val="20"/>
                <w:color w:val="auto"/>
              </w:rPr>
            </w:pPr>
            <w:r>
              <w:rPr>
                <w:rFonts w:ascii="Calibri" w:cs="Calibri" w:eastAsia="Calibri" w:hAnsi="Calibri"/>
                <w:sz w:val="17"/>
                <w:szCs w:val="17"/>
                <w:color w:val="auto"/>
                <w:w w:val="98"/>
              </w:rPr>
              <w:t>2028</w:t>
            </w:r>
          </w:p>
        </w:tc>
      </w:tr>
    </w:tbl>
    <w:p>
      <w:pPr>
        <w:spacing w:after="0" w:line="237"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Company's subsidiary, ARMOUR TRS, Inc. has made an electon as a taxable REIT subsidiary (“TRS”). As such, the TRS is taxable as a domestc C corporaton and subject to federal, state, and local income taxes based upon its taxable income.</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aggregate tax basis of our assets and liabilites was greater than our total Stockholders’ Equity at December 31, 2023, by approximately $93,462, or approximately $1.92 per common share (based on the 48,799 common shares then outstanding). State and federal tax returns for the years 2019 and later remain open and are subject to possible examinaton.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1163955</wp:posOffset>
            </wp:positionV>
            <wp:extent cx="7164070"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440055</wp:posOffset>
            </wp:positionV>
            <wp:extent cx="458470" cy="5073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08" w:name="page109"/>
    <w:bookmarkEnd w:id="108"/>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spacing w:after="0" w:line="1" w:lineRule="exact"/>
        <w:rPr>
          <w:sz w:val="20"/>
          <w:szCs w:val="20"/>
          <w:color w:val="auto"/>
        </w:rPr>
      </w:pPr>
    </w:p>
    <w:p>
      <w:pPr>
        <w:ind w:left="11000"/>
        <w:spacing w:after="0"/>
        <w:rPr>
          <w:sz w:val="20"/>
          <w:szCs w:val="20"/>
          <w:color w:val="auto"/>
        </w:rPr>
      </w:pPr>
      <w:r>
        <w:rPr>
          <w:rFonts w:ascii="Calibri" w:cs="Calibri" w:eastAsia="Calibri" w:hAnsi="Calibri"/>
          <w:sz w:val="15"/>
          <w:szCs w:val="15"/>
          <w:color w:val="1C4787"/>
        </w:rPr>
        <w:t>107</w:t>
      </w:r>
    </w:p>
    <w:p>
      <w:pPr>
        <w:spacing w:after="0" w:line="200" w:lineRule="exact"/>
        <w:rPr>
          <w:sz w:val="20"/>
          <w:szCs w:val="20"/>
          <w:color w:val="auto"/>
        </w:rPr>
      </w:pPr>
    </w:p>
    <w:p>
      <w:pPr>
        <w:spacing w:after="0" w:line="33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are required and intend to tmely distribute substantally all of our REIT taxable income in order to maintain our REIT status under the Code. Total dividend payments to stockholders for the years ended December 31, 2023, December 31, 2022 and December 31, 2021 were $228,206, $154,406 and $108,103, respectvely.</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estmated REIT taxable income (loss) available for distributon as dividends was $124,717, $(16,914) and $(148,467) for the years ended December 31, 2023, December 31, 2022 and December 31, 2021, respectvely. Our REIT taxable income and dividend requirements to maintain our REIT status are determined on an annual basis. Dividends paid in excess of current tax earnings and profts for the year will generally not be taxable to common stockholders. The porton of the dividends on our common stock which represented non-taxable return of capital was 47.5% in 2023, 100.0% in 2022 and 100.0% in 2021.</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Our management is responsible for determining whether tax positons taken by us are more likely than not to be sustained on their merits. We have no material unrecognized tax benefts or material uncertain tax positons.</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Note 14 - Related Party Transactons</w:t>
      </w:r>
    </w:p>
    <w:p>
      <w:pPr>
        <w:spacing w:after="0" w:line="102"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ACM</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Company is managed by ACM, pursuant to a management agreement. All of our executve ofcers are also employees of ACM. ACM manages our day-to-day operatons, subject to the directon and oversight of the Board. The management agreement runs through December 31, 2029 and is thereafer automatcally renewed for an additonal fve-year term unless terminated under certain circumstances. Either party must provide 180 days prior writen notce of any such terminaton.</w:t>
      </w:r>
    </w:p>
    <w:p>
      <w:pPr>
        <w:spacing w:after="0" w:line="182"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Under the terms of the management agreement, ACM is responsible for costs incident to the performance of its dutes, such as compensaton of its employees and various overhead expenses. ACM is responsible for the following primary roles:</w:t>
      </w:r>
    </w:p>
    <w:p>
      <w:pPr>
        <w:spacing w:after="0" w:line="168" w:lineRule="exact"/>
        <w:rPr>
          <w:sz w:val="20"/>
          <w:szCs w:val="20"/>
          <w:color w:val="auto"/>
        </w:rPr>
      </w:pPr>
    </w:p>
    <w:p>
      <w:pPr>
        <w:ind w:left="620" w:hanging="307"/>
        <w:spacing w:after="0"/>
        <w:tabs>
          <w:tab w:leader="none" w:pos="620" w:val="left"/>
        </w:tabs>
        <w:numPr>
          <w:ilvl w:val="0"/>
          <w:numId w:val="40"/>
        </w:numPr>
        <w:rPr>
          <w:rFonts w:ascii="Calibri" w:cs="Calibri" w:eastAsia="Calibri" w:hAnsi="Calibri"/>
          <w:sz w:val="17"/>
          <w:szCs w:val="17"/>
          <w:color w:val="auto"/>
        </w:rPr>
      </w:pPr>
      <w:r>
        <w:rPr>
          <w:rFonts w:ascii="Calibri" w:cs="Calibri" w:eastAsia="Calibri" w:hAnsi="Calibri"/>
          <w:sz w:val="17"/>
          <w:szCs w:val="17"/>
          <w:color w:val="auto"/>
        </w:rPr>
        <w:t>Advising us with respect to, arranging for and managing the acquisiton, fnancing, management and dispositon of, elements of our investment portolio;</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40"/>
        </w:numPr>
        <w:rPr>
          <w:rFonts w:ascii="Calibri" w:cs="Calibri" w:eastAsia="Calibri" w:hAnsi="Calibri"/>
          <w:sz w:val="17"/>
          <w:szCs w:val="17"/>
          <w:color w:val="auto"/>
        </w:rPr>
      </w:pPr>
      <w:r>
        <w:rPr>
          <w:rFonts w:ascii="Calibri" w:cs="Calibri" w:eastAsia="Calibri" w:hAnsi="Calibri"/>
          <w:sz w:val="17"/>
          <w:szCs w:val="17"/>
          <w:color w:val="auto"/>
        </w:rPr>
        <w:t>Evaluatng the duraton risk and prepayment risk within the investment portolio and arranging borrowing and hedging strategies;</w:t>
      </w:r>
    </w:p>
    <w:p>
      <w:pPr>
        <w:spacing w:after="0" w:line="50" w:lineRule="exact"/>
        <w:rPr>
          <w:rFonts w:ascii="Calibri" w:cs="Calibri" w:eastAsia="Calibri" w:hAnsi="Calibri"/>
          <w:sz w:val="17"/>
          <w:szCs w:val="17"/>
          <w:color w:val="auto"/>
        </w:rPr>
      </w:pPr>
    </w:p>
    <w:p>
      <w:pPr>
        <w:ind w:left="620" w:hanging="307"/>
        <w:spacing w:after="0"/>
        <w:tabs>
          <w:tab w:leader="none" w:pos="620" w:val="left"/>
        </w:tabs>
        <w:numPr>
          <w:ilvl w:val="0"/>
          <w:numId w:val="40"/>
        </w:numPr>
        <w:rPr>
          <w:rFonts w:ascii="Calibri" w:cs="Calibri" w:eastAsia="Calibri" w:hAnsi="Calibri"/>
          <w:sz w:val="17"/>
          <w:szCs w:val="17"/>
          <w:color w:val="auto"/>
        </w:rPr>
      </w:pPr>
      <w:r>
        <w:rPr>
          <w:rFonts w:ascii="Calibri" w:cs="Calibri" w:eastAsia="Calibri" w:hAnsi="Calibri"/>
          <w:sz w:val="17"/>
          <w:szCs w:val="17"/>
          <w:color w:val="auto"/>
        </w:rPr>
        <w:t>Coordinatng capital raising actvites;</w:t>
      </w:r>
    </w:p>
    <w:p>
      <w:pPr>
        <w:spacing w:after="0" w:line="52"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40"/>
        </w:numPr>
        <w:rPr>
          <w:rFonts w:ascii="Calibri" w:cs="Calibri" w:eastAsia="Calibri" w:hAnsi="Calibri"/>
          <w:sz w:val="17"/>
          <w:szCs w:val="17"/>
          <w:color w:val="auto"/>
        </w:rPr>
      </w:pPr>
      <w:r>
        <w:rPr>
          <w:rFonts w:ascii="Calibri" w:cs="Calibri" w:eastAsia="Calibri" w:hAnsi="Calibri"/>
          <w:sz w:val="17"/>
          <w:szCs w:val="17"/>
          <w:color w:val="auto"/>
        </w:rPr>
        <w:t>Advising us on the formulaton and implementaton of operatng strategies and policies, arranging for the acquisiton of assets, monitoring the performance of those assets and providing administratve and managerial services in connecton with our day-to-day operatons; and</w:t>
      </w:r>
    </w:p>
    <w:p>
      <w:pPr>
        <w:spacing w:after="0" w:line="51" w:lineRule="exact"/>
        <w:rPr>
          <w:rFonts w:ascii="Calibri" w:cs="Calibri" w:eastAsia="Calibri" w:hAnsi="Calibri"/>
          <w:sz w:val="17"/>
          <w:szCs w:val="17"/>
          <w:color w:val="auto"/>
        </w:rPr>
      </w:pPr>
    </w:p>
    <w:p>
      <w:pPr>
        <w:ind w:left="620" w:hanging="307"/>
        <w:spacing w:after="0"/>
        <w:tabs>
          <w:tab w:leader="none" w:pos="620" w:val="left"/>
        </w:tabs>
        <w:numPr>
          <w:ilvl w:val="0"/>
          <w:numId w:val="40"/>
        </w:numPr>
        <w:rPr>
          <w:rFonts w:ascii="Calibri" w:cs="Calibri" w:eastAsia="Calibri" w:hAnsi="Calibri"/>
          <w:sz w:val="17"/>
          <w:szCs w:val="17"/>
          <w:color w:val="auto"/>
        </w:rPr>
      </w:pPr>
      <w:r>
        <w:rPr>
          <w:rFonts w:ascii="Calibri" w:cs="Calibri" w:eastAsia="Calibri" w:hAnsi="Calibri"/>
          <w:sz w:val="17"/>
          <w:szCs w:val="17"/>
          <w:color w:val="auto"/>
        </w:rPr>
        <w:t>Providing executve and administratve personnel, ofce space and other appropriate services required in rendering management services to us.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ACM began waiving 40% of its management fee during the second quarter of 2020 and on January 13, 2021, ACM notfed ARMOUR that it intended to adjust the fee waiver to the rate of $2,400 for the frst quarter of 2021 and $800 per month thereafer. On April 20, 2021, ACM notfed ARMOUR that it intended to adjust the fee waiver to the rate of $2,100 for the second quarter of 2021 and $700 per month thereafer. On October 25, 2021, ACM notfed ARMOUR that it intended to adjust the fee waiver from the rate of $700 per month to $650 per month, efectve November 1, 2021, untl further notce. On February 14, 2023, ACM notfed ARMOUR that it intended to adjust the fee waiver to the rate of $1,650 for the frst quarter of 2023 and $550 per month thereafer untl ACM provides further notce to ARMOUR (see Note 8 - Commitments and Contngencies).</w:t>
      </w:r>
    </w:p>
    <w:p>
      <w:pPr>
        <w:spacing w:after="0" w:line="170"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The following table reconciles the fees incurred in accordance with the management agreement for the years ended 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1164590</wp:posOffset>
            </wp:positionV>
            <wp:extent cx="7164070"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440690</wp:posOffset>
            </wp:positionV>
            <wp:extent cx="458470" cy="5073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09" w:name="page110"/>
    <w:bookmarkEnd w:id="109"/>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tbl>
      <w:tblPr>
        <w:tblLayout w:type="fixed"/>
        <w:tblInd w:w="40" w:type="dxa"/>
        <w:tblCellMar>
          <w:top w:w="0" w:type="dxa"/>
          <w:left w:w="0" w:type="dxa"/>
          <w:bottom w:w="0" w:type="dxa"/>
          <w:right w:w="0" w:type="dxa"/>
        </w:tblCellMar>
      </w:tblPr>
      <w:tr>
        <w:trPr>
          <w:trHeight w:val="206"/>
        </w:trPr>
        <w:tc>
          <w:tcPr>
            <w:tcW w:w="6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gridSpan w:val="2"/>
          </w:tcPr>
          <w:p>
            <w:pPr>
              <w:jc w:val="right"/>
              <w:spacing w:after="0" w:line="206" w:lineRule="exact"/>
              <w:rPr>
                <w:sz w:val="20"/>
                <w:szCs w:val="20"/>
                <w:color w:val="auto"/>
              </w:rPr>
            </w:pPr>
            <w:r>
              <w:rPr>
                <w:rFonts w:ascii="Calibri" w:cs="Calibri" w:eastAsia="Calibri" w:hAnsi="Calibri"/>
                <w:sz w:val="17"/>
                <w:szCs w:val="17"/>
                <w:color w:val="1C4787"/>
              </w:rPr>
              <w:t>108</w:t>
            </w:r>
          </w:p>
        </w:tc>
      </w:tr>
      <w:tr>
        <w:trPr>
          <w:trHeight w:val="564"/>
        </w:trPr>
        <w:tc>
          <w:tcPr>
            <w:tcW w:w="6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6620" w:type="dxa"/>
            <w:vAlign w:val="bottom"/>
            <w:shd w:val="clear" w:color="auto" w:fill="E6EEFF"/>
          </w:tcPr>
          <w:p>
            <w:pPr>
              <w:spacing w:after="0"/>
              <w:rPr>
                <w:sz w:val="18"/>
                <w:szCs w:val="18"/>
                <w:color w:val="auto"/>
              </w:rPr>
            </w:pPr>
          </w:p>
        </w:tc>
        <w:tc>
          <w:tcPr>
            <w:tcW w:w="500" w:type="dxa"/>
            <w:vAlign w:val="bottom"/>
            <w:tcBorders>
              <w:bottom w:val="single" w:sz="8" w:color="auto"/>
            </w:tcBorders>
            <w:shd w:val="clear" w:color="auto" w:fill="E6EEFF"/>
          </w:tcPr>
          <w:p>
            <w:pPr>
              <w:spacing w:after="0"/>
              <w:rPr>
                <w:sz w:val="18"/>
                <w:szCs w:val="18"/>
                <w:color w:val="auto"/>
              </w:rPr>
            </w:pPr>
          </w:p>
        </w:tc>
        <w:tc>
          <w:tcPr>
            <w:tcW w:w="940" w:type="dxa"/>
            <w:vAlign w:val="bottom"/>
            <w:tcBorders>
              <w:bottom w:val="single" w:sz="8" w:color="auto"/>
            </w:tcBorders>
            <w:shd w:val="clear" w:color="auto" w:fill="E6EEFF"/>
          </w:tcPr>
          <w:p>
            <w:pPr>
              <w:spacing w:after="0"/>
              <w:rPr>
                <w:sz w:val="18"/>
                <w:szCs w:val="18"/>
                <w:color w:val="auto"/>
              </w:rPr>
            </w:pPr>
          </w:p>
        </w:tc>
        <w:tc>
          <w:tcPr>
            <w:tcW w:w="120" w:type="dxa"/>
            <w:vAlign w:val="bottom"/>
            <w:tcBorders>
              <w:bottom w:val="single" w:sz="8" w:color="auto"/>
            </w:tcBorders>
            <w:shd w:val="clear" w:color="auto" w:fill="E6EEFF"/>
          </w:tcPr>
          <w:p>
            <w:pPr>
              <w:spacing w:after="0"/>
              <w:rPr>
                <w:sz w:val="18"/>
                <w:szCs w:val="18"/>
                <w:color w:val="auto"/>
              </w:rPr>
            </w:pPr>
          </w:p>
        </w:tc>
        <w:tc>
          <w:tcPr>
            <w:tcW w:w="1560" w:type="dxa"/>
            <w:vAlign w:val="bottom"/>
            <w:tcBorders>
              <w:bottom w:val="single" w:sz="8" w:color="auto"/>
            </w:tcBorders>
            <w:gridSpan w:val="3"/>
            <w:shd w:val="clear" w:color="auto" w:fill="E6EEFF"/>
          </w:tcPr>
          <w:p>
            <w:pPr>
              <w:ind w:left="20"/>
              <w:spacing w:after="0" w:line="205" w:lineRule="exact"/>
              <w:rPr>
                <w:sz w:val="20"/>
                <w:szCs w:val="20"/>
                <w:color w:val="auto"/>
              </w:rPr>
            </w:pPr>
            <w:r>
              <w:rPr>
                <w:rFonts w:ascii="Calibri" w:cs="Calibri" w:eastAsia="Calibri" w:hAnsi="Calibri"/>
                <w:sz w:val="17"/>
                <w:szCs w:val="17"/>
                <w:b w:val="1"/>
                <w:bCs w:val="1"/>
                <w:color w:val="1C4787"/>
              </w:rPr>
              <w:t>For the Years Ended</w:t>
            </w:r>
          </w:p>
        </w:tc>
        <w:tc>
          <w:tcPr>
            <w:tcW w:w="500" w:type="dxa"/>
            <w:vAlign w:val="bottom"/>
            <w:tcBorders>
              <w:bottom w:val="single" w:sz="8" w:color="auto"/>
            </w:tcBorders>
            <w:shd w:val="clear" w:color="auto" w:fill="E6EEFF"/>
          </w:tcPr>
          <w:p>
            <w:pPr>
              <w:spacing w:after="0"/>
              <w:rPr>
                <w:sz w:val="18"/>
                <w:szCs w:val="18"/>
                <w:color w:val="auto"/>
              </w:rPr>
            </w:pPr>
          </w:p>
        </w:tc>
        <w:tc>
          <w:tcPr>
            <w:tcW w:w="940" w:type="dxa"/>
            <w:vAlign w:val="bottom"/>
            <w:tcBorders>
              <w:bottom w:val="single" w:sz="8" w:color="auto"/>
            </w:tcBorders>
            <w:shd w:val="clear" w:color="auto" w:fill="E6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6620" w:type="dxa"/>
            <w:vAlign w:val="bottom"/>
          </w:tcPr>
          <w:p>
            <w:pPr>
              <w:spacing w:after="0"/>
              <w:rPr>
                <w:sz w:val="18"/>
                <w:szCs w:val="18"/>
                <w:color w:val="auto"/>
              </w:rPr>
            </w:pPr>
          </w:p>
        </w:tc>
        <w:tc>
          <w:tcPr>
            <w:tcW w:w="1560" w:type="dxa"/>
            <w:vAlign w:val="bottom"/>
            <w:gridSpan w:val="3"/>
          </w:tcPr>
          <w:p>
            <w:pPr>
              <w:ind w:left="4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560" w:type="dxa"/>
            <w:vAlign w:val="bottom"/>
            <w:gridSpan w:val="3"/>
          </w:tcPr>
          <w:p>
            <w:pPr>
              <w:ind w:left="40"/>
              <w:spacing w:after="0" w:line="205" w:lineRule="exact"/>
              <w:rPr>
                <w:sz w:val="20"/>
                <w:szCs w:val="20"/>
                <w:color w:val="auto"/>
              </w:rPr>
            </w:pPr>
            <w:r>
              <w:rPr>
                <w:rFonts w:ascii="Calibri" w:cs="Calibri" w:eastAsia="Calibri" w:hAnsi="Calibri"/>
                <w:sz w:val="17"/>
                <w:szCs w:val="17"/>
                <w:b w:val="1"/>
                <w:bCs w:val="1"/>
                <w:color w:val="1C4787"/>
              </w:rPr>
              <w:t>December 31, 2022</w:t>
            </w:r>
          </w:p>
        </w:tc>
        <w:tc>
          <w:tcPr>
            <w:tcW w:w="1440" w:type="dxa"/>
            <w:vAlign w:val="bottom"/>
            <w:gridSpan w:val="2"/>
          </w:tcPr>
          <w:p>
            <w:pPr>
              <w:ind w:left="40"/>
              <w:spacing w:after="0" w:line="205" w:lineRule="exact"/>
              <w:rPr>
                <w:sz w:val="20"/>
                <w:szCs w:val="20"/>
                <w:color w:val="auto"/>
              </w:rPr>
            </w:pPr>
            <w:r>
              <w:rPr>
                <w:rFonts w:ascii="Calibri" w:cs="Calibri" w:eastAsia="Calibri" w:hAnsi="Calibri"/>
                <w:sz w:val="17"/>
                <w:szCs w:val="17"/>
                <w:b w:val="1"/>
                <w:bCs w:val="1"/>
                <w:color w:val="1C4787"/>
              </w:rPr>
              <w:t>December 31, 2021</w:t>
            </w:r>
          </w:p>
        </w:tc>
        <w:tc>
          <w:tcPr>
            <w:tcW w:w="20" w:type="dxa"/>
            <w:vAlign w:val="bottom"/>
          </w:tcPr>
          <w:p>
            <w:pPr>
              <w:spacing w:after="0"/>
              <w:rPr>
                <w:sz w:val="18"/>
                <w:szCs w:val="18"/>
                <w:color w:val="auto"/>
              </w:rPr>
            </w:pPr>
          </w:p>
        </w:tc>
      </w:tr>
      <w:tr>
        <w:trPr>
          <w:trHeight w:val="219"/>
        </w:trPr>
        <w:tc>
          <w:tcPr>
            <w:tcW w:w="6620" w:type="dxa"/>
            <w:vAlign w:val="bottom"/>
            <w:tcBorders>
              <w:top w:val="single" w:sz="8" w:color="E6EEFF"/>
            </w:tcBorders>
            <w:shd w:val="clear" w:color="auto" w:fill="E6EEFF"/>
          </w:tcPr>
          <w:p>
            <w:pPr>
              <w:ind w:left="20"/>
              <w:spacing w:after="0" w:line="197" w:lineRule="exact"/>
              <w:rPr>
                <w:sz w:val="20"/>
                <w:szCs w:val="20"/>
                <w:color w:val="auto"/>
              </w:rPr>
            </w:pPr>
            <w:r>
              <w:rPr>
                <w:rFonts w:ascii="Calibri" w:cs="Calibri" w:eastAsia="Calibri" w:hAnsi="Calibri"/>
                <w:sz w:val="17"/>
                <w:szCs w:val="17"/>
                <w:color w:val="auto"/>
              </w:rPr>
              <w:t>ARMOUR management fees</w:t>
            </w:r>
          </w:p>
        </w:tc>
        <w:tc>
          <w:tcPr>
            <w:tcW w:w="500" w:type="dxa"/>
            <w:vAlign w:val="bottom"/>
            <w:tcBorders>
              <w:top w:val="single" w:sz="8" w:color="auto"/>
            </w:tcBorders>
            <w:shd w:val="clear" w:color="auto" w:fill="E6EEFF"/>
          </w:tcPr>
          <w:p>
            <w:pPr>
              <w:jc w:val="right"/>
              <w:ind w:right="31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top w:val="single" w:sz="8" w:color="auto"/>
            </w:tcBorders>
            <w:shd w:val="clear" w:color="auto" w:fill="E6EEFF"/>
          </w:tcPr>
          <w:p>
            <w:pPr>
              <w:ind w:left="400"/>
              <w:spacing w:after="0" w:line="205" w:lineRule="exact"/>
              <w:rPr>
                <w:sz w:val="20"/>
                <w:szCs w:val="20"/>
                <w:color w:val="auto"/>
              </w:rPr>
            </w:pPr>
            <w:r>
              <w:rPr>
                <w:rFonts w:ascii="Calibri" w:cs="Calibri" w:eastAsia="Calibri" w:hAnsi="Calibri"/>
                <w:sz w:val="17"/>
                <w:szCs w:val="17"/>
                <w:color w:val="auto"/>
              </w:rPr>
              <w:t>38,121</w:t>
            </w:r>
          </w:p>
        </w:tc>
        <w:tc>
          <w:tcPr>
            <w:tcW w:w="120" w:type="dxa"/>
            <w:vAlign w:val="bottom"/>
            <w:tcBorders>
              <w:top w:val="single" w:sz="8" w:color="E6EEFF"/>
            </w:tcBorders>
            <w:shd w:val="clear" w:color="auto" w:fill="E6EEFF"/>
          </w:tcPr>
          <w:p>
            <w:pPr>
              <w:spacing w:after="0"/>
              <w:rPr>
                <w:sz w:val="19"/>
                <w:szCs w:val="19"/>
                <w:color w:val="auto"/>
              </w:rPr>
            </w:pPr>
          </w:p>
        </w:tc>
        <w:tc>
          <w:tcPr>
            <w:tcW w:w="500" w:type="dxa"/>
            <w:vAlign w:val="bottom"/>
            <w:tcBorders>
              <w:top w:val="single" w:sz="8" w:color="auto"/>
            </w:tcBorders>
            <w:shd w:val="clear" w:color="auto" w:fill="E6EEFF"/>
          </w:tcPr>
          <w:p>
            <w:pPr>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top w:val="single" w:sz="8" w:color="auto"/>
            </w:tcBorders>
            <w:shd w:val="clear" w:color="auto" w:fill="E6EEFF"/>
          </w:tcPr>
          <w:p>
            <w:pPr>
              <w:ind w:left="400"/>
              <w:spacing w:after="0" w:line="205" w:lineRule="exact"/>
              <w:rPr>
                <w:sz w:val="20"/>
                <w:szCs w:val="20"/>
                <w:color w:val="auto"/>
              </w:rPr>
            </w:pPr>
            <w:r>
              <w:rPr>
                <w:rFonts w:ascii="Calibri" w:cs="Calibri" w:eastAsia="Calibri" w:hAnsi="Calibri"/>
                <w:sz w:val="17"/>
                <w:szCs w:val="17"/>
                <w:color w:val="auto"/>
              </w:rPr>
              <w:t>33,714</w:t>
            </w:r>
          </w:p>
        </w:tc>
        <w:tc>
          <w:tcPr>
            <w:tcW w:w="120" w:type="dxa"/>
            <w:vAlign w:val="bottom"/>
            <w:tcBorders>
              <w:top w:val="single" w:sz="8" w:color="E6EEFF"/>
            </w:tcBorders>
            <w:shd w:val="clear" w:color="auto" w:fill="E6EEFF"/>
          </w:tcPr>
          <w:p>
            <w:pPr>
              <w:spacing w:after="0"/>
              <w:rPr>
                <w:sz w:val="19"/>
                <w:szCs w:val="19"/>
                <w:color w:val="auto"/>
              </w:rPr>
            </w:pPr>
          </w:p>
        </w:tc>
        <w:tc>
          <w:tcPr>
            <w:tcW w:w="500" w:type="dxa"/>
            <w:vAlign w:val="bottom"/>
            <w:tcBorders>
              <w:top w:val="single" w:sz="8" w:color="auto"/>
            </w:tcBorders>
            <w:shd w:val="clear" w:color="auto" w:fill="E6EEFF"/>
          </w:tcPr>
          <w:p>
            <w:pPr>
              <w:jc w:val="right"/>
              <w:ind w:right="31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top w:val="single" w:sz="8" w:color="auto"/>
            </w:tcBorders>
            <w:shd w:val="clear" w:color="auto" w:fill="E6EEFF"/>
          </w:tcPr>
          <w:p>
            <w:pPr>
              <w:ind w:left="400"/>
              <w:spacing w:after="0" w:line="205" w:lineRule="exact"/>
              <w:rPr>
                <w:sz w:val="20"/>
                <w:szCs w:val="20"/>
                <w:color w:val="auto"/>
              </w:rPr>
            </w:pPr>
            <w:r>
              <w:rPr>
                <w:rFonts w:ascii="Calibri" w:cs="Calibri" w:eastAsia="Calibri" w:hAnsi="Calibri"/>
                <w:sz w:val="17"/>
                <w:szCs w:val="17"/>
                <w:color w:val="auto"/>
              </w:rPr>
              <w:t>31,063</w:t>
            </w:r>
          </w:p>
        </w:tc>
        <w:tc>
          <w:tcPr>
            <w:tcW w:w="20" w:type="dxa"/>
            <w:vAlign w:val="bottom"/>
          </w:tcPr>
          <w:p>
            <w:pPr>
              <w:spacing w:after="0"/>
              <w:rPr>
                <w:sz w:val="19"/>
                <w:szCs w:val="19"/>
                <w:color w:val="auto"/>
              </w:rPr>
            </w:pPr>
          </w:p>
        </w:tc>
      </w:tr>
      <w:tr>
        <w:trPr>
          <w:trHeight w:val="212"/>
        </w:trPr>
        <w:tc>
          <w:tcPr>
            <w:tcW w:w="6620" w:type="dxa"/>
            <w:vAlign w:val="bottom"/>
            <w:tcBorders>
              <w:bottom w:val="single" w:sz="8" w:color="E6EEFF"/>
            </w:tcBorders>
          </w:tcPr>
          <w:p>
            <w:pPr>
              <w:ind w:left="20"/>
              <w:spacing w:after="0" w:line="205" w:lineRule="exact"/>
              <w:rPr>
                <w:sz w:val="20"/>
                <w:szCs w:val="20"/>
                <w:color w:val="auto"/>
              </w:rPr>
            </w:pPr>
            <w:r>
              <w:rPr>
                <w:rFonts w:ascii="Calibri" w:cs="Calibri" w:eastAsia="Calibri" w:hAnsi="Calibri"/>
                <w:sz w:val="17"/>
                <w:szCs w:val="17"/>
                <w:color w:val="auto"/>
              </w:rPr>
              <w:t>Less management fees waived</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20"/>
              <w:spacing w:after="0" w:line="205" w:lineRule="exact"/>
              <w:rPr>
                <w:sz w:val="20"/>
                <w:szCs w:val="20"/>
                <w:color w:val="auto"/>
              </w:rPr>
            </w:pPr>
            <w:r>
              <w:rPr>
                <w:rFonts w:ascii="Calibri" w:cs="Calibri" w:eastAsia="Calibri" w:hAnsi="Calibri"/>
                <w:sz w:val="17"/>
                <w:szCs w:val="17"/>
                <w:color w:val="auto"/>
              </w:rPr>
              <w:t>(6,600)</w:t>
            </w:r>
          </w:p>
        </w:tc>
        <w:tc>
          <w:tcPr>
            <w:tcW w:w="120" w:type="dxa"/>
            <w:vAlign w:val="bottom"/>
            <w:tcBorders>
              <w:bottom w:val="single" w:sz="8" w:color="E6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20"/>
              <w:spacing w:after="0" w:line="205" w:lineRule="exact"/>
              <w:rPr>
                <w:sz w:val="20"/>
                <w:szCs w:val="20"/>
                <w:color w:val="auto"/>
              </w:rPr>
            </w:pPr>
            <w:r>
              <w:rPr>
                <w:rFonts w:ascii="Calibri" w:cs="Calibri" w:eastAsia="Calibri" w:hAnsi="Calibri"/>
                <w:sz w:val="17"/>
                <w:szCs w:val="17"/>
                <w:color w:val="auto"/>
              </w:rPr>
              <w:t>(7,800)</w:t>
            </w:r>
          </w:p>
        </w:tc>
        <w:tc>
          <w:tcPr>
            <w:tcW w:w="120" w:type="dxa"/>
            <w:vAlign w:val="bottom"/>
            <w:tcBorders>
              <w:bottom w:val="single" w:sz="8" w:color="E6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20"/>
              <w:spacing w:after="0" w:line="205" w:lineRule="exact"/>
              <w:rPr>
                <w:sz w:val="20"/>
                <w:szCs w:val="20"/>
                <w:color w:val="auto"/>
              </w:rPr>
            </w:pPr>
            <w:r>
              <w:rPr>
                <w:rFonts w:ascii="Calibri" w:cs="Calibri" w:eastAsia="Calibri" w:hAnsi="Calibri"/>
                <w:sz w:val="17"/>
                <w:szCs w:val="17"/>
                <w:color w:val="auto"/>
              </w:rPr>
              <w:t>(8,600)</w:t>
            </w:r>
          </w:p>
        </w:tc>
        <w:tc>
          <w:tcPr>
            <w:tcW w:w="20" w:type="dxa"/>
            <w:vAlign w:val="bottom"/>
          </w:tcPr>
          <w:p>
            <w:pPr>
              <w:spacing w:after="0"/>
              <w:rPr>
                <w:sz w:val="18"/>
                <w:szCs w:val="18"/>
                <w:color w:val="auto"/>
              </w:rPr>
            </w:pPr>
          </w:p>
        </w:tc>
      </w:tr>
      <w:tr>
        <w:trPr>
          <w:trHeight w:val="244"/>
        </w:trPr>
        <w:tc>
          <w:tcPr>
            <w:tcW w:w="6620" w:type="dxa"/>
            <w:vAlign w:val="bottom"/>
            <w:tcBorders>
              <w:bottom w:val="single" w:sz="8" w:color="E6EEFF"/>
            </w:tcBorders>
            <w:shd w:val="clear" w:color="auto" w:fill="E6EEFF"/>
          </w:tcPr>
          <w:p>
            <w:pPr>
              <w:ind w:left="20"/>
              <w:spacing w:after="0"/>
              <w:rPr>
                <w:sz w:val="20"/>
                <w:szCs w:val="20"/>
                <w:color w:val="auto"/>
              </w:rPr>
            </w:pPr>
            <w:r>
              <w:rPr>
                <w:rFonts w:ascii="Calibri" w:cs="Calibri" w:eastAsia="Calibri" w:hAnsi="Calibri"/>
                <w:sz w:val="17"/>
                <w:szCs w:val="17"/>
                <w:color w:val="auto"/>
              </w:rPr>
              <w:t>Total management fee expense</w:t>
            </w:r>
          </w:p>
        </w:tc>
        <w:tc>
          <w:tcPr>
            <w:tcW w:w="500" w:type="dxa"/>
            <w:vAlign w:val="bottom"/>
            <w:tcBorders>
              <w:bottom w:val="single" w:sz="8" w:color="auto"/>
            </w:tcBorders>
            <w:shd w:val="clear" w:color="auto" w:fill="E6EEFF"/>
          </w:tcPr>
          <w:p>
            <w:pPr>
              <w:jc w:val="right"/>
              <w:ind w:right="31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shd w:val="clear" w:color="auto" w:fill="E6EEFF"/>
          </w:tcPr>
          <w:p>
            <w:pPr>
              <w:ind w:left="400"/>
              <w:spacing w:after="0" w:line="205" w:lineRule="exact"/>
              <w:rPr>
                <w:sz w:val="20"/>
                <w:szCs w:val="20"/>
                <w:color w:val="auto"/>
              </w:rPr>
            </w:pPr>
            <w:r>
              <w:rPr>
                <w:rFonts w:ascii="Calibri" w:cs="Calibri" w:eastAsia="Calibri" w:hAnsi="Calibri"/>
                <w:sz w:val="17"/>
                <w:szCs w:val="17"/>
                <w:color w:val="auto"/>
              </w:rPr>
              <w:t>31,521</w:t>
            </w:r>
          </w:p>
        </w:tc>
        <w:tc>
          <w:tcPr>
            <w:tcW w:w="120" w:type="dxa"/>
            <w:vAlign w:val="bottom"/>
            <w:tcBorders>
              <w:bottom w:val="single" w:sz="8" w:color="E6EEFF"/>
            </w:tcBorders>
            <w:shd w:val="clear" w:color="auto" w:fill="E6EEFF"/>
          </w:tcPr>
          <w:p>
            <w:pPr>
              <w:spacing w:after="0"/>
              <w:rPr>
                <w:sz w:val="20"/>
                <w:szCs w:val="20"/>
                <w:color w:val="auto"/>
              </w:rPr>
            </w:pPr>
          </w:p>
        </w:tc>
        <w:tc>
          <w:tcPr>
            <w:tcW w:w="500" w:type="dxa"/>
            <w:vAlign w:val="bottom"/>
            <w:tcBorders>
              <w:bottom w:val="single" w:sz="8" w:color="auto"/>
            </w:tcBorders>
            <w:shd w:val="clear" w:color="auto" w:fill="E6EEFF"/>
          </w:tcPr>
          <w:p>
            <w:pPr>
              <w:spacing w:after="0" w:line="205" w:lineRule="exact"/>
              <w:rPr>
                <w:sz w:val="20"/>
                <w:szCs w:val="20"/>
                <w:color w:val="auto"/>
              </w:rPr>
            </w:pPr>
            <w:r>
              <w:rPr>
                <w:rFonts w:ascii="Calibri" w:cs="Calibri" w:eastAsia="Calibri" w:hAnsi="Calibri"/>
                <w:sz w:val="17"/>
                <w:szCs w:val="17"/>
                <w:color w:val="auto"/>
              </w:rPr>
              <w:t>$</w:t>
            </w:r>
          </w:p>
        </w:tc>
        <w:tc>
          <w:tcPr>
            <w:tcW w:w="940" w:type="dxa"/>
            <w:vAlign w:val="bottom"/>
            <w:tcBorders>
              <w:bottom w:val="single" w:sz="8" w:color="auto"/>
            </w:tcBorders>
            <w:shd w:val="clear" w:color="auto" w:fill="E6EEFF"/>
          </w:tcPr>
          <w:p>
            <w:pPr>
              <w:ind w:left="400"/>
              <w:spacing w:after="0" w:line="205" w:lineRule="exact"/>
              <w:rPr>
                <w:sz w:val="20"/>
                <w:szCs w:val="20"/>
                <w:color w:val="auto"/>
              </w:rPr>
            </w:pPr>
            <w:r>
              <w:rPr>
                <w:rFonts w:ascii="Calibri" w:cs="Calibri" w:eastAsia="Calibri" w:hAnsi="Calibri"/>
                <w:sz w:val="17"/>
                <w:szCs w:val="17"/>
                <w:color w:val="auto"/>
              </w:rPr>
              <w:t>25,914</w:t>
            </w:r>
          </w:p>
        </w:tc>
        <w:tc>
          <w:tcPr>
            <w:tcW w:w="120" w:type="dxa"/>
            <w:vAlign w:val="bottom"/>
            <w:tcBorders>
              <w:bottom w:val="single" w:sz="8" w:color="E6EEFF"/>
            </w:tcBorders>
            <w:shd w:val="clear" w:color="auto" w:fill="E6EEFF"/>
          </w:tcPr>
          <w:p>
            <w:pPr>
              <w:spacing w:after="0"/>
              <w:rPr>
                <w:sz w:val="20"/>
                <w:szCs w:val="20"/>
                <w:color w:val="auto"/>
              </w:rPr>
            </w:pPr>
          </w:p>
        </w:tc>
        <w:tc>
          <w:tcPr>
            <w:tcW w:w="500" w:type="dxa"/>
            <w:vAlign w:val="bottom"/>
            <w:tcBorders>
              <w:bottom w:val="single" w:sz="8" w:color="auto"/>
            </w:tcBorders>
            <w:shd w:val="clear" w:color="auto" w:fill="E6EEFF"/>
          </w:tcPr>
          <w:p>
            <w:pPr>
              <w:jc w:val="right"/>
              <w:ind w:right="314"/>
              <w:spacing w:after="0" w:line="205" w:lineRule="exact"/>
              <w:rPr>
                <w:sz w:val="20"/>
                <w:szCs w:val="20"/>
                <w:color w:val="auto"/>
              </w:rPr>
            </w:pPr>
            <w:r>
              <w:rPr>
                <w:rFonts w:ascii="Calibri" w:cs="Calibri" w:eastAsia="Calibri" w:hAnsi="Calibri"/>
                <w:sz w:val="17"/>
                <w:szCs w:val="17"/>
                <w:color w:val="auto"/>
                <w:w w:val="92"/>
              </w:rPr>
              <w:t>$</w:t>
            </w:r>
          </w:p>
        </w:tc>
        <w:tc>
          <w:tcPr>
            <w:tcW w:w="940" w:type="dxa"/>
            <w:vAlign w:val="bottom"/>
            <w:tcBorders>
              <w:bottom w:val="single" w:sz="8" w:color="auto"/>
            </w:tcBorders>
            <w:shd w:val="clear" w:color="auto" w:fill="E6EEFF"/>
          </w:tcPr>
          <w:p>
            <w:pPr>
              <w:ind w:left="400"/>
              <w:spacing w:after="0" w:line="205" w:lineRule="exact"/>
              <w:rPr>
                <w:sz w:val="20"/>
                <w:szCs w:val="20"/>
                <w:color w:val="auto"/>
              </w:rPr>
            </w:pPr>
            <w:r>
              <w:rPr>
                <w:rFonts w:ascii="Calibri" w:cs="Calibri" w:eastAsia="Calibri" w:hAnsi="Calibri"/>
                <w:sz w:val="17"/>
                <w:szCs w:val="17"/>
                <w:color w:val="auto"/>
              </w:rPr>
              <w:t>22,463</w:t>
            </w:r>
          </w:p>
        </w:tc>
        <w:tc>
          <w:tcPr>
            <w:tcW w:w="20" w:type="dxa"/>
            <w:vAlign w:val="bottom"/>
          </w:tcPr>
          <w:p>
            <w:pPr>
              <w:spacing w:after="0"/>
              <w:rPr>
                <w:sz w:val="20"/>
                <w:szCs w:val="20"/>
                <w:color w:val="auto"/>
              </w:rPr>
            </w:pPr>
          </w:p>
        </w:tc>
      </w:tr>
      <w:tr>
        <w:trPr>
          <w:trHeight w:val="20"/>
        </w:trPr>
        <w:tc>
          <w:tcPr>
            <w:tcW w:w="6620" w:type="dxa"/>
            <w:vAlign w:val="bottom"/>
            <w:tcBorders>
              <w:top w:val="single" w:sz="8" w:color="E6EEFF"/>
            </w:tcBorders>
          </w:tcPr>
          <w:p>
            <w:pPr>
              <w:spacing w:after="0" w:line="20" w:lineRule="exact"/>
              <w:rPr>
                <w:sz w:val="1"/>
                <w:szCs w:val="1"/>
                <w:color w:val="auto"/>
              </w:rPr>
            </w:pPr>
          </w:p>
        </w:tc>
        <w:tc>
          <w:tcPr>
            <w:tcW w:w="50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50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c>
          <w:tcPr>
            <w:tcW w:w="120" w:type="dxa"/>
            <w:vAlign w:val="bottom"/>
            <w:tcBorders>
              <w:top w:val="single" w:sz="8" w:color="E6EEFF"/>
            </w:tcBorders>
          </w:tcPr>
          <w:p>
            <w:pPr>
              <w:spacing w:after="0" w:line="20" w:lineRule="exact"/>
              <w:rPr>
                <w:sz w:val="1"/>
                <w:szCs w:val="1"/>
                <w:color w:val="auto"/>
              </w:rPr>
            </w:pPr>
          </w:p>
        </w:tc>
        <w:tc>
          <w:tcPr>
            <w:tcW w:w="500" w:type="dxa"/>
            <w:vAlign w:val="bottom"/>
            <w:tcBorders>
              <w:top w:val="single" w:sz="8" w:color="E6EEFF"/>
              <w:bottom w:val="single" w:sz="8" w:color="auto"/>
            </w:tcBorders>
          </w:tcPr>
          <w:p>
            <w:pPr>
              <w:spacing w:after="0" w:line="20" w:lineRule="exact"/>
              <w:rPr>
                <w:sz w:val="1"/>
                <w:szCs w:val="1"/>
                <w:color w:val="auto"/>
              </w:rPr>
            </w:pPr>
          </w:p>
        </w:tc>
        <w:tc>
          <w:tcPr>
            <w:tcW w:w="940" w:type="dxa"/>
            <w:vAlign w:val="bottom"/>
            <w:tcBorders>
              <w:top w:val="single" w:sz="8" w:color="E6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are required to take actons as may be reasonably required to permit and enable ACM to carry out its dutes and obligatons. We are also responsible for any costs and expenses that ACM incurred solely on our behalf other than the various overhead expenses specifed in the terms of the management agreement. For the years ended December 31, 2023, December 31, 2022 and December 31, 2021 we reimbursed ACM $535, $606 and $189, respectvely for other expenses incurred on our behalf. In 2017, 2020, 2021 and 2023, we elected to grant RSUs to our executve ofcers through ACM that generally vest over 5 years. In 2017, 2020, 2021 and 2023, we elected to grant RSUs to the Board. We recognized stock based compensaton expense of $456, $544 and $781 for the years ended, December 31, 2023, December 31, 2022 and December 31, 2021, respectvely.</w:t>
      </w:r>
    </w:p>
    <w:p>
      <w:pPr>
        <w:spacing w:after="0" w:line="18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BUCKLER</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At December 31, 2023, we held an ownership interest in BUCKLER of 10.8%, which is included in prepaid and other assets in our consolidated balance sheet and is accounted for using the equity method as BUCKLER maintains specifc ownership accounts. Based on our evaluaton of certain protectve rights and the nature of the on demand subordinated loan agreement, we have determined that we do not have the power to direct the actvites that most signifcantly impact BUCKLER's economic performance and the obligaton to absorb losses or the right to receive benefts that could be signifcant to BUCKLER. As a result, we do not have a controlling fnancial interest, and thus, are not BUCKLER's primary benefciary and do not consolidate.</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value of the investment was $382 at December 31, 2023 and $377 at December 31, 2022 refectng our total investment plus our share of BUCKLER’s operatng results, in accordance with the terms of the operatng agreement of BUCKLER that our independent directors negotated. Our exposure to the losses in BUCKLER is generally limited to the value of our investment. The primary purpose of our investment in BUCKLER is to facilitate our access to repurchase fnancing on potentally atractve terms (considering rate, term, size, haircut, relatonship and funding commitment) compared to other suitable repurchase fnancing counterpartes.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operatng agreement with BUCKLER contains certain provisions to beneft and protect the Company, including (1) sharing in any (a) defned profts realized by BUCKLER from the antcipated fnancing spreads resultng from repurchase fnancing facilitated by BUCKLER, and (b) distributons from BUCKLER to its members of net cash receipts, and (2) the realizaton of antcipated savings from reduced clearing, brokerage, trading and administratve fees. In additon, the independent directors of the Company must approve, in their sole discreton, any third-party business engaged by BUCKLER and may cause BUCKLER to wind up and dissolve and promptly return certain subordinated loans we provide to BUCKLER as regulatory capital (as described more fully below) if the independent directors reasonably determine that BUCKLER’s ability to provide atractve securites transactons for the Company is materially adversely afected. For each of the years ended December 31, 2023 and December 31, 2022, we earned $0 from BUCKLER as an allocated share of Financing Gross Proft for a reducton of interest on repurchase agreements charged to the Company. Financing Gross Proft is defned in the operatng agreement, subject to a contractually required reducton in our share of the Financing Gross Proft of $306 per annum, which expired at the end of the frst quarter of 2022.</w:t>
      </w:r>
    </w:p>
    <w:p>
      <w:pPr>
        <w:spacing w:after="0" w:line="18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Efectve March 20, 2023, the Company commited to provide on demand a subordinated loan agreement to BUCKLER in an amount up to $200,000. The commitment extends through March 20, 2026, and is collateralized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10" w:name="page111"/>
    <w:bookmarkEnd w:id="110"/>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00"/>
        <w:spacing w:after="0"/>
        <w:rPr>
          <w:sz w:val="20"/>
          <w:szCs w:val="20"/>
          <w:color w:val="auto"/>
        </w:rPr>
      </w:pPr>
      <w:r>
        <w:rPr>
          <w:rFonts w:ascii="Calibri" w:cs="Calibri" w:eastAsia="Calibri" w:hAnsi="Calibri"/>
          <w:sz w:val="19"/>
          <w:szCs w:val="19"/>
          <w:b w:val="1"/>
          <w:bCs w:val="1"/>
          <w:color w:val="1C4787"/>
        </w:rPr>
        <w:t>FINANCIAL STATEMENT NOTES</w:t>
      </w:r>
    </w:p>
    <w:p>
      <w:pPr>
        <w:spacing w:after="0" w:line="8" w:lineRule="exact"/>
        <w:rPr>
          <w:sz w:val="20"/>
          <w:szCs w:val="20"/>
          <w:color w:val="auto"/>
        </w:rPr>
      </w:pPr>
    </w:p>
    <w:p>
      <w:pPr>
        <w:ind w:left="4180"/>
        <w:spacing w:after="0"/>
        <w:rPr>
          <w:sz w:val="20"/>
          <w:szCs w:val="20"/>
          <w:color w:val="auto"/>
        </w:rPr>
      </w:pPr>
      <w:r>
        <w:rPr>
          <w:rFonts w:ascii="Calibri" w:cs="Calibri" w:eastAsia="Calibri" w:hAnsi="Calibri"/>
          <w:sz w:val="17"/>
          <w:szCs w:val="17"/>
          <w:color w:val="1C4787"/>
        </w:rPr>
        <w:t>(U.S dollar amounts in thousands, except per share)</w:t>
      </w:r>
    </w:p>
    <w:p>
      <w:pPr>
        <w:jc w:val="right"/>
        <w:spacing w:after="0" w:line="238" w:lineRule="auto"/>
        <w:rPr>
          <w:sz w:val="20"/>
          <w:szCs w:val="20"/>
          <w:color w:val="auto"/>
        </w:rPr>
      </w:pPr>
      <w:r>
        <w:rPr>
          <w:rFonts w:ascii="Calibri" w:cs="Calibri" w:eastAsia="Calibri" w:hAnsi="Calibri"/>
          <w:sz w:val="17"/>
          <w:szCs w:val="17"/>
          <w:color w:val="1C4787"/>
        </w:rPr>
        <w:t>109</w:t>
      </w:r>
    </w:p>
    <w:p>
      <w:pPr>
        <w:spacing w:after="0" w:line="200" w:lineRule="exact"/>
        <w:rPr>
          <w:sz w:val="20"/>
          <w:szCs w:val="20"/>
          <w:color w:val="auto"/>
        </w:rPr>
      </w:pPr>
    </w:p>
    <w:p>
      <w:pPr>
        <w:spacing w:after="0" w:line="318"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by mortgage backed and/or U.S. Treasury Securites owned by the Company and pledged to BUCKLER. The commitment is treated by BUCKLER currently as capital for regulatory purposes and BUCKLER may pledge the securites to secure its own borrowings.</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This arrangement replaced the prior $105,000 subordinated loan, which was to mature on May 1, 2025. In March 2023, BUCKLER, at its opton afer obtaining regulatory approval, repaid all of the principal amount of the loan. The loan had a stated interest rate of zero, plus additonal interest payable to the Company in an amount equal to the amount of interest earned by BUCKLER on the investment of the loan proceeds, generally in government securites funds. For the years ended December 31, 2023, December 31, 2022 and December 31, 2021, the Company earned $973, $1,597 and $70 in interest on this loan.</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On February 22, 2021, the Company entered into an uncommited revolving credit facility and security agreement with BUCKLER. Under the terms of the facility, the Company may, in its sole and absolute discreton, provide drawings to BUCKLER of up to $50,000. Interest on drawings is payable monthly at the Federal Reserve Bank of New York SOFR plus 2% per annum. To date, BUCKLER has not used the facility and therefore no interest was payable for the year ended December 31, 2023.</w:t>
      </w:r>
    </w:p>
    <w:p>
      <w:pPr>
        <w:spacing w:after="0" w:line="170" w:lineRule="exact"/>
        <w:rPr>
          <w:sz w:val="20"/>
          <w:szCs w:val="20"/>
          <w:color w:val="auto"/>
        </w:rPr>
      </w:pPr>
    </w:p>
    <w:p>
      <w:pPr>
        <w:jc w:val="both"/>
        <w:ind w:firstLine="619"/>
        <w:spacing w:after="0" w:line="257" w:lineRule="auto"/>
        <w:rPr>
          <w:sz w:val="20"/>
          <w:szCs w:val="20"/>
          <w:color w:val="auto"/>
        </w:rPr>
      </w:pPr>
      <w:r>
        <w:rPr>
          <w:rFonts w:ascii="Calibri" w:cs="Calibri" w:eastAsia="Calibri" w:hAnsi="Calibri"/>
          <w:sz w:val="16"/>
          <w:szCs w:val="16"/>
          <w:color w:val="auto"/>
        </w:rPr>
        <w:t>With BUCKLER as the sales agent, under the 2021 Common stock ATM Sales Agreement, we sold 8,626, 10,117 and 3,243 common shares for proceeds of $246,672, $334,415 and $180,855, net of issuance costs and commissions of approximately $2,358, $3,375 and $1,801 respectvely, during the years ended December 31, 2023 and December 31, 2022 and December 31, 2021. During the year ended December 31, 2023, we sold 3,113 shares under the 2023 Common stock ATM Sales Agreement for proceeds of $77,092, net of issuance costs and commissions of approximately $661 to BUCKLER (see Note 10 - Stockholders' Equity).</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During the year ended December 31, 2023, we repurchased 466 common shares under the current repurchase authorizaton which cost $9,702, including commissions of approximately $82 to BUCKLER.In January 2024, we repurchased 70 shares under this authorizaton for a cost of $1,344 with BUCKLER (see Note 10 - Stockholders' Equity).</w:t>
      </w:r>
    </w:p>
    <w:p>
      <w:pPr>
        <w:spacing w:after="0" w:line="166"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The table below summarizes other transactons with BUCKLER as of and for the years ended December 31, 2023 and December 31, 2022.</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8080" w:type="dxa"/>
            <w:vAlign w:val="bottom"/>
            <w:shd w:val="clear" w:color="auto" w:fill="E6EEFF"/>
          </w:tcPr>
          <w:p>
            <w:pPr>
              <w:spacing w:after="0"/>
              <w:rPr>
                <w:sz w:val="19"/>
                <w:szCs w:val="19"/>
                <w:color w:val="auto"/>
              </w:rPr>
            </w:pPr>
          </w:p>
        </w:tc>
        <w:tc>
          <w:tcPr>
            <w:tcW w:w="120" w:type="dxa"/>
            <w:vAlign w:val="bottom"/>
            <w:shd w:val="clear" w:color="auto" w:fill="E6EEFF"/>
          </w:tcPr>
          <w:p>
            <w:pPr>
              <w:spacing w:after="0"/>
              <w:rPr>
                <w:sz w:val="19"/>
                <w:szCs w:val="19"/>
                <w:color w:val="auto"/>
              </w:rPr>
            </w:pPr>
          </w:p>
        </w:tc>
        <w:tc>
          <w:tcPr>
            <w:tcW w:w="400" w:type="dxa"/>
            <w:vAlign w:val="bottom"/>
            <w:tcBorders>
              <w:bottom w:val="single" w:sz="8" w:color="auto"/>
            </w:tcBorders>
            <w:shd w:val="clear" w:color="auto" w:fill="E6EEFF"/>
          </w:tcPr>
          <w:p>
            <w:pPr>
              <w:spacing w:after="0"/>
              <w:rPr>
                <w:sz w:val="19"/>
                <w:szCs w:val="19"/>
                <w:color w:val="auto"/>
              </w:rPr>
            </w:pPr>
          </w:p>
        </w:tc>
        <w:tc>
          <w:tcPr>
            <w:tcW w:w="1840" w:type="dxa"/>
            <w:vAlign w:val="bottom"/>
            <w:tcBorders>
              <w:bottom w:val="single" w:sz="8" w:color="auto"/>
            </w:tcBorders>
            <w:gridSpan w:val="3"/>
            <w:shd w:val="clear" w:color="auto" w:fill="E6EEFF"/>
          </w:tcPr>
          <w:p>
            <w:pPr>
              <w:jc w:val="right"/>
              <w:spacing w:after="0"/>
              <w:rPr>
                <w:sz w:val="20"/>
                <w:szCs w:val="20"/>
                <w:color w:val="auto"/>
              </w:rPr>
            </w:pPr>
            <w:r>
              <w:rPr>
                <w:rFonts w:ascii="Calibri" w:cs="Calibri" w:eastAsia="Calibri" w:hAnsi="Calibri"/>
                <w:sz w:val="17"/>
                <w:szCs w:val="17"/>
                <w:b w:val="1"/>
                <w:bCs w:val="1"/>
                <w:color w:val="1C4787"/>
              </w:rPr>
              <w:t>For the Years Ended</w:t>
            </w:r>
          </w:p>
        </w:tc>
        <w:tc>
          <w:tcPr>
            <w:tcW w:w="780" w:type="dxa"/>
            <w:vAlign w:val="bottom"/>
            <w:tcBorders>
              <w:bottom w:val="single" w:sz="8" w:color="auto"/>
            </w:tcBorders>
            <w:shd w:val="clear" w:color="auto" w:fill="E6EEFF"/>
          </w:tcPr>
          <w:p>
            <w:pPr>
              <w:spacing w:after="0"/>
              <w:rPr>
                <w:sz w:val="19"/>
                <w:szCs w:val="19"/>
                <w:color w:val="auto"/>
              </w:rPr>
            </w:pPr>
          </w:p>
        </w:tc>
      </w:tr>
      <w:tr>
        <w:trPr>
          <w:trHeight w:val="205"/>
        </w:trPr>
        <w:tc>
          <w:tcPr>
            <w:tcW w:w="8200" w:type="dxa"/>
            <w:vAlign w:val="bottom"/>
            <w:gridSpan w:val="2"/>
          </w:tcPr>
          <w:p>
            <w:pPr>
              <w:ind w:left="20"/>
              <w:spacing w:after="0" w:line="190" w:lineRule="exact"/>
              <w:rPr>
                <w:sz w:val="20"/>
                <w:szCs w:val="20"/>
                <w:color w:val="auto"/>
              </w:rPr>
            </w:pPr>
            <w:r>
              <w:rPr>
                <w:rFonts w:ascii="Calibri" w:cs="Calibri" w:eastAsia="Calibri" w:hAnsi="Calibri"/>
                <w:sz w:val="17"/>
                <w:szCs w:val="17"/>
                <w:b w:val="1"/>
                <w:bCs w:val="1"/>
                <w:color w:val="1C4787"/>
              </w:rPr>
              <w:t>Transactons with BUCKLER</w:t>
            </w:r>
          </w:p>
        </w:tc>
        <w:tc>
          <w:tcPr>
            <w:tcW w:w="1560" w:type="dxa"/>
            <w:vAlign w:val="bottom"/>
            <w:gridSpan w:val="3"/>
          </w:tcPr>
          <w:p>
            <w:pPr>
              <w:ind w:left="60"/>
              <w:spacing w:after="0" w:line="205" w:lineRule="exact"/>
              <w:rPr>
                <w:sz w:val="20"/>
                <w:szCs w:val="20"/>
                <w:color w:val="auto"/>
              </w:rPr>
            </w:pPr>
            <w:r>
              <w:rPr>
                <w:rFonts w:ascii="Calibri" w:cs="Calibri" w:eastAsia="Calibri" w:hAnsi="Calibri"/>
                <w:sz w:val="17"/>
                <w:szCs w:val="17"/>
                <w:b w:val="1"/>
                <w:bCs w:val="1"/>
                <w:color w:val="1C4787"/>
              </w:rPr>
              <w:t>December 31, 2023</w:t>
            </w:r>
          </w:p>
        </w:tc>
        <w:tc>
          <w:tcPr>
            <w:tcW w:w="1460" w:type="dxa"/>
            <w:vAlign w:val="bottom"/>
            <w:gridSpan w:val="2"/>
          </w:tcPr>
          <w:p>
            <w:pPr>
              <w:jc w:val="right"/>
              <w:spacing w:after="0" w:line="205" w:lineRule="exact"/>
              <w:rPr>
                <w:sz w:val="20"/>
                <w:szCs w:val="20"/>
                <w:color w:val="auto"/>
              </w:rPr>
            </w:pPr>
            <w:r>
              <w:rPr>
                <w:rFonts w:ascii="Calibri" w:cs="Calibri" w:eastAsia="Calibri" w:hAnsi="Calibri"/>
                <w:sz w:val="17"/>
                <w:szCs w:val="17"/>
                <w:b w:val="1"/>
                <w:bCs w:val="1"/>
                <w:color w:val="1C4787"/>
              </w:rPr>
              <w:t>December 31, 2022</w:t>
            </w:r>
          </w:p>
        </w:tc>
      </w:tr>
      <w:tr>
        <w:trPr>
          <w:trHeight w:val="219"/>
        </w:trPr>
        <w:tc>
          <w:tcPr>
            <w:tcW w:w="8080" w:type="dxa"/>
            <w:vAlign w:val="bottom"/>
            <w:tcBorders>
              <w:top w:val="single" w:sz="8" w:color="auto"/>
            </w:tcBorders>
            <w:shd w:val="clear" w:color="auto" w:fill="E6EEFF"/>
          </w:tcPr>
          <w:p>
            <w:pPr>
              <w:ind w:left="20"/>
              <w:spacing w:after="0" w:line="219" w:lineRule="exact"/>
              <w:rPr>
                <w:sz w:val="20"/>
                <w:szCs w:val="20"/>
                <w:color w:val="auto"/>
              </w:rPr>
            </w:pPr>
            <w:r>
              <w:rPr>
                <w:rFonts w:ascii="Calibri" w:cs="Calibri" w:eastAsia="Calibri" w:hAnsi="Calibri"/>
                <w:sz w:val="17"/>
                <w:szCs w:val="17"/>
                <w:color w:val="auto"/>
              </w:rPr>
              <w:t xml:space="preserve">Repurchase agreements, net </w:t>
            </w:r>
            <w:r>
              <w:rPr>
                <w:rFonts w:ascii="Calibri" w:cs="Calibri" w:eastAsia="Calibri" w:hAnsi="Calibri"/>
                <w:sz w:val="22"/>
                <w:szCs w:val="22"/>
                <w:color w:val="auto"/>
                <w:vertAlign w:val="superscript"/>
              </w:rPr>
              <w:t>(1)</w:t>
            </w:r>
          </w:p>
        </w:tc>
        <w:tc>
          <w:tcPr>
            <w:tcW w:w="120" w:type="dxa"/>
            <w:vAlign w:val="bottom"/>
            <w:tcBorders>
              <w:top w:val="single" w:sz="8" w:color="E6EEFF"/>
            </w:tcBorders>
            <w:shd w:val="clear" w:color="auto" w:fill="E6EEFF"/>
          </w:tcPr>
          <w:p>
            <w:pPr>
              <w:spacing w:after="0"/>
              <w:rPr>
                <w:sz w:val="19"/>
                <w:szCs w:val="19"/>
                <w:color w:val="auto"/>
              </w:rPr>
            </w:pPr>
          </w:p>
        </w:tc>
        <w:tc>
          <w:tcPr>
            <w:tcW w:w="400" w:type="dxa"/>
            <w:vAlign w:val="bottom"/>
            <w:tcBorders>
              <w:top w:val="single" w:sz="8" w:color="auto"/>
            </w:tcBorders>
            <w:shd w:val="clear" w:color="auto" w:fill="E6EEFF"/>
          </w:tcPr>
          <w:p>
            <w:pPr>
              <w:jc w:val="right"/>
              <w:ind w:right="21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4,667,483</w:t>
            </w:r>
          </w:p>
        </w:tc>
        <w:tc>
          <w:tcPr>
            <w:tcW w:w="100" w:type="dxa"/>
            <w:vAlign w:val="bottom"/>
            <w:tcBorders>
              <w:top w:val="single" w:sz="8" w:color="E6EEFF"/>
            </w:tcBorders>
            <w:shd w:val="clear" w:color="auto" w:fill="E6EEFF"/>
          </w:tcPr>
          <w:p>
            <w:pPr>
              <w:spacing w:after="0"/>
              <w:rPr>
                <w:sz w:val="19"/>
                <w:szCs w:val="19"/>
                <w:color w:val="auto"/>
              </w:rPr>
            </w:pPr>
          </w:p>
        </w:tc>
        <w:tc>
          <w:tcPr>
            <w:tcW w:w="680" w:type="dxa"/>
            <w:vAlign w:val="bottom"/>
            <w:tcBorders>
              <w:top w:val="single" w:sz="8" w:color="auto"/>
            </w:tcBorders>
            <w:shd w:val="clear" w:color="auto" w:fill="E6EEFF"/>
          </w:tcPr>
          <w:p>
            <w:pPr>
              <w:jc w:val="right"/>
              <w:ind w:right="474"/>
              <w:spacing w:after="0" w:line="205" w:lineRule="exact"/>
              <w:rPr>
                <w:sz w:val="20"/>
                <w:szCs w:val="20"/>
                <w:color w:val="auto"/>
              </w:rPr>
            </w:pPr>
            <w:r>
              <w:rPr>
                <w:rFonts w:ascii="Calibri" w:cs="Calibri" w:eastAsia="Calibri" w:hAnsi="Calibri"/>
                <w:sz w:val="17"/>
                <w:szCs w:val="17"/>
                <w:color w:val="auto"/>
              </w:rPr>
              <w:t>$</w:t>
            </w:r>
          </w:p>
        </w:tc>
        <w:tc>
          <w:tcPr>
            <w:tcW w:w="780" w:type="dxa"/>
            <w:vAlign w:val="bottom"/>
            <w:tcBorders>
              <w:top w:val="single" w:sz="8" w:color="auto"/>
            </w:tcBorders>
            <w:shd w:val="clear" w:color="auto" w:fill="E6EEFF"/>
          </w:tcPr>
          <w:p>
            <w:pPr>
              <w:jc w:val="right"/>
              <w:spacing w:after="0" w:line="205" w:lineRule="exact"/>
              <w:rPr>
                <w:sz w:val="20"/>
                <w:szCs w:val="20"/>
                <w:color w:val="auto"/>
              </w:rPr>
            </w:pPr>
            <w:r>
              <w:rPr>
                <w:rFonts w:ascii="Calibri" w:cs="Calibri" w:eastAsia="Calibri" w:hAnsi="Calibri"/>
                <w:sz w:val="17"/>
                <w:szCs w:val="17"/>
                <w:color w:val="auto"/>
              </w:rPr>
              <w:t>3,247,474</w:t>
            </w:r>
          </w:p>
        </w:tc>
      </w:tr>
      <w:tr>
        <w:trPr>
          <w:trHeight w:val="212"/>
        </w:trPr>
        <w:tc>
          <w:tcPr>
            <w:tcW w:w="820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Collateral posted on repurchase agreements</w:t>
            </w:r>
          </w:p>
        </w:tc>
        <w:tc>
          <w:tcPr>
            <w:tcW w:w="40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Pr>
          <w:p>
            <w:pPr>
              <w:jc w:val="right"/>
              <w:spacing w:after="0" w:line="205" w:lineRule="exact"/>
              <w:rPr>
                <w:sz w:val="20"/>
                <w:szCs w:val="20"/>
                <w:color w:val="auto"/>
              </w:rPr>
            </w:pPr>
            <w:r>
              <w:rPr>
                <w:rFonts w:ascii="Calibri" w:cs="Calibri" w:eastAsia="Calibri" w:hAnsi="Calibri"/>
                <w:sz w:val="17"/>
                <w:szCs w:val="17"/>
                <w:color w:val="auto"/>
              </w:rPr>
              <w:t>5,400,138</w:t>
            </w:r>
          </w:p>
        </w:tc>
        <w:tc>
          <w:tcPr>
            <w:tcW w:w="100" w:type="dxa"/>
            <w:vAlign w:val="bottom"/>
          </w:tcPr>
          <w:p>
            <w:pPr>
              <w:spacing w:after="0"/>
              <w:rPr>
                <w:sz w:val="18"/>
                <w:szCs w:val="18"/>
                <w:color w:val="auto"/>
              </w:rPr>
            </w:pPr>
          </w:p>
        </w:tc>
        <w:tc>
          <w:tcPr>
            <w:tcW w:w="680" w:type="dxa"/>
            <w:vAlign w:val="bottom"/>
          </w:tcPr>
          <w:p>
            <w:pPr>
              <w:jc w:val="right"/>
              <w:ind w:right="474"/>
              <w:spacing w:after="0" w:line="205" w:lineRule="exact"/>
              <w:rPr>
                <w:sz w:val="20"/>
                <w:szCs w:val="20"/>
                <w:color w:val="auto"/>
              </w:rPr>
            </w:pPr>
            <w:r>
              <w:rPr>
                <w:rFonts w:ascii="Calibri" w:cs="Calibri" w:eastAsia="Calibri" w:hAnsi="Calibri"/>
                <w:sz w:val="17"/>
                <w:szCs w:val="17"/>
                <w:color w:val="auto"/>
              </w:rPr>
              <w:t>$</w:t>
            </w:r>
          </w:p>
        </w:tc>
        <w:tc>
          <w:tcPr>
            <w:tcW w:w="780" w:type="dxa"/>
            <w:vAlign w:val="bottom"/>
          </w:tcPr>
          <w:p>
            <w:pPr>
              <w:jc w:val="right"/>
              <w:spacing w:after="0" w:line="205" w:lineRule="exact"/>
              <w:rPr>
                <w:sz w:val="20"/>
                <w:szCs w:val="20"/>
                <w:color w:val="auto"/>
              </w:rPr>
            </w:pPr>
            <w:r>
              <w:rPr>
                <w:rFonts w:ascii="Calibri" w:cs="Calibri" w:eastAsia="Calibri" w:hAnsi="Calibri"/>
                <w:sz w:val="17"/>
                <w:szCs w:val="17"/>
                <w:color w:val="auto"/>
              </w:rPr>
              <w:t>3,920,706</w:t>
            </w:r>
          </w:p>
        </w:tc>
      </w:tr>
      <w:tr>
        <w:trPr>
          <w:trHeight w:val="226"/>
        </w:trPr>
        <w:tc>
          <w:tcPr>
            <w:tcW w:w="820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Agency Securites Purchased</w:t>
            </w:r>
          </w:p>
        </w:tc>
        <w:tc>
          <w:tcPr>
            <w:tcW w:w="400" w:type="dxa"/>
            <w:vAlign w:val="bottom"/>
            <w:shd w:val="clear" w:color="auto" w:fill="E6EEFF"/>
          </w:tcPr>
          <w:p>
            <w:pPr>
              <w:jc w:val="right"/>
              <w:ind w:right="214"/>
              <w:spacing w:after="0"/>
              <w:rPr>
                <w:sz w:val="20"/>
                <w:szCs w:val="20"/>
                <w:color w:val="auto"/>
              </w:rPr>
            </w:pPr>
            <w:r>
              <w:rPr>
                <w:rFonts w:ascii="Calibri" w:cs="Calibri" w:eastAsia="Calibri" w:hAnsi="Calibri"/>
                <w:sz w:val="17"/>
                <w:szCs w:val="17"/>
                <w:color w:val="auto"/>
                <w:w w:val="92"/>
              </w:rPr>
              <w:t>$</w:t>
            </w:r>
          </w:p>
        </w:tc>
        <w:tc>
          <w:tcPr>
            <w:tcW w:w="10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240,573</w:t>
            </w:r>
          </w:p>
        </w:tc>
        <w:tc>
          <w:tcPr>
            <w:tcW w:w="100" w:type="dxa"/>
            <w:vAlign w:val="bottom"/>
            <w:shd w:val="clear" w:color="auto" w:fill="E6EEFF"/>
          </w:tcPr>
          <w:p>
            <w:pPr>
              <w:spacing w:after="0"/>
              <w:rPr>
                <w:sz w:val="19"/>
                <w:szCs w:val="19"/>
                <w:color w:val="auto"/>
              </w:rPr>
            </w:pPr>
          </w:p>
        </w:tc>
        <w:tc>
          <w:tcPr>
            <w:tcW w:w="680" w:type="dxa"/>
            <w:vAlign w:val="bottom"/>
            <w:shd w:val="clear" w:color="auto" w:fill="E6EEFF"/>
          </w:tcPr>
          <w:p>
            <w:pPr>
              <w:jc w:val="right"/>
              <w:ind w:right="474"/>
              <w:spacing w:after="0"/>
              <w:rPr>
                <w:sz w:val="20"/>
                <w:szCs w:val="20"/>
                <w:color w:val="auto"/>
              </w:rPr>
            </w:pPr>
            <w:r>
              <w:rPr>
                <w:rFonts w:ascii="Calibri" w:cs="Calibri" w:eastAsia="Calibri" w:hAnsi="Calibri"/>
                <w:sz w:val="17"/>
                <w:szCs w:val="17"/>
                <w:color w:val="auto"/>
              </w:rPr>
              <w:t>$</w:t>
            </w:r>
          </w:p>
        </w:tc>
        <w:tc>
          <w:tcPr>
            <w:tcW w:w="7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203,147</w:t>
            </w:r>
          </w:p>
        </w:tc>
      </w:tr>
      <w:tr>
        <w:trPr>
          <w:trHeight w:val="212"/>
        </w:trPr>
        <w:tc>
          <w:tcPr>
            <w:tcW w:w="8200" w:type="dxa"/>
            <w:vAlign w:val="bottom"/>
            <w:gridSpan w:val="2"/>
          </w:tcPr>
          <w:p>
            <w:pPr>
              <w:ind w:left="20"/>
              <w:spacing w:after="0" w:line="205" w:lineRule="exact"/>
              <w:rPr>
                <w:sz w:val="20"/>
                <w:szCs w:val="20"/>
                <w:color w:val="auto"/>
              </w:rPr>
            </w:pPr>
            <w:r>
              <w:rPr>
                <w:rFonts w:ascii="Calibri" w:cs="Calibri" w:eastAsia="Calibri" w:hAnsi="Calibri"/>
                <w:sz w:val="17"/>
                <w:szCs w:val="17"/>
                <w:color w:val="auto"/>
              </w:rPr>
              <w:t>U.S. Treasury Securites Purchased</w:t>
            </w:r>
          </w:p>
        </w:tc>
        <w:tc>
          <w:tcPr>
            <w:tcW w:w="40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w w:val="92"/>
              </w:rPr>
              <w:t>$</w:t>
            </w:r>
          </w:p>
        </w:tc>
        <w:tc>
          <w:tcPr>
            <w:tcW w:w="1060" w:type="dxa"/>
            <w:vAlign w:val="bottom"/>
          </w:tcPr>
          <w:p>
            <w:pPr>
              <w:jc w:val="right"/>
              <w:spacing w:after="0" w:line="205" w:lineRule="exact"/>
              <w:rPr>
                <w:sz w:val="20"/>
                <w:szCs w:val="20"/>
                <w:color w:val="auto"/>
              </w:rPr>
            </w:pPr>
            <w:r>
              <w:rPr>
                <w:rFonts w:ascii="Calibri" w:cs="Calibri" w:eastAsia="Calibri" w:hAnsi="Calibri"/>
                <w:sz w:val="17"/>
                <w:szCs w:val="17"/>
                <w:color w:val="auto"/>
              </w:rPr>
              <w:t>155,857</w:t>
            </w:r>
          </w:p>
        </w:tc>
        <w:tc>
          <w:tcPr>
            <w:tcW w:w="100" w:type="dxa"/>
            <w:vAlign w:val="bottom"/>
          </w:tcPr>
          <w:p>
            <w:pPr>
              <w:spacing w:after="0"/>
              <w:rPr>
                <w:sz w:val="18"/>
                <w:szCs w:val="18"/>
                <w:color w:val="auto"/>
              </w:rPr>
            </w:pPr>
          </w:p>
        </w:tc>
        <w:tc>
          <w:tcPr>
            <w:tcW w:w="680" w:type="dxa"/>
            <w:vAlign w:val="bottom"/>
          </w:tcPr>
          <w:p>
            <w:pPr>
              <w:jc w:val="right"/>
              <w:ind w:right="474"/>
              <w:spacing w:after="0" w:line="205" w:lineRule="exact"/>
              <w:rPr>
                <w:sz w:val="20"/>
                <w:szCs w:val="20"/>
                <w:color w:val="auto"/>
              </w:rPr>
            </w:pPr>
            <w:r>
              <w:rPr>
                <w:rFonts w:ascii="Calibri" w:cs="Calibri" w:eastAsia="Calibri" w:hAnsi="Calibri"/>
                <w:sz w:val="17"/>
                <w:szCs w:val="17"/>
                <w:color w:val="auto"/>
              </w:rPr>
              <w:t>$</w:t>
            </w:r>
          </w:p>
        </w:tc>
        <w:tc>
          <w:tcPr>
            <w:tcW w:w="780" w:type="dxa"/>
            <w:vAlign w:val="bottom"/>
          </w:tcPr>
          <w:p>
            <w:pPr>
              <w:jc w:val="right"/>
              <w:spacing w:after="0" w:line="205" w:lineRule="exact"/>
              <w:rPr>
                <w:sz w:val="20"/>
                <w:szCs w:val="20"/>
                <w:color w:val="auto"/>
              </w:rPr>
            </w:pPr>
            <w:r>
              <w:rPr>
                <w:rFonts w:ascii="Calibri" w:cs="Calibri" w:eastAsia="Calibri" w:hAnsi="Calibri"/>
                <w:sz w:val="17"/>
                <w:szCs w:val="17"/>
                <w:color w:val="auto"/>
              </w:rPr>
              <w:t>593,162</w:t>
            </w:r>
          </w:p>
        </w:tc>
      </w:tr>
      <w:tr>
        <w:trPr>
          <w:trHeight w:val="226"/>
        </w:trPr>
        <w:tc>
          <w:tcPr>
            <w:tcW w:w="8200" w:type="dxa"/>
            <w:vAlign w:val="bottom"/>
            <w:gridSpan w:val="2"/>
            <w:shd w:val="clear" w:color="auto" w:fill="E6EEFF"/>
          </w:tcPr>
          <w:p>
            <w:pPr>
              <w:ind w:left="20"/>
              <w:spacing w:after="0"/>
              <w:rPr>
                <w:sz w:val="20"/>
                <w:szCs w:val="20"/>
                <w:color w:val="auto"/>
              </w:rPr>
            </w:pPr>
            <w:r>
              <w:rPr>
                <w:rFonts w:ascii="Calibri" w:cs="Calibri" w:eastAsia="Calibri" w:hAnsi="Calibri"/>
                <w:sz w:val="17"/>
                <w:szCs w:val="17"/>
                <w:color w:val="auto"/>
              </w:rPr>
              <w:t>U.S. Treasury Securites Sold</w:t>
            </w:r>
          </w:p>
        </w:tc>
        <w:tc>
          <w:tcPr>
            <w:tcW w:w="400" w:type="dxa"/>
            <w:vAlign w:val="bottom"/>
            <w:shd w:val="clear" w:color="auto" w:fill="E6EEFF"/>
          </w:tcPr>
          <w:p>
            <w:pPr>
              <w:jc w:val="right"/>
              <w:ind w:right="214"/>
              <w:spacing w:after="0"/>
              <w:rPr>
                <w:sz w:val="20"/>
                <w:szCs w:val="20"/>
                <w:color w:val="auto"/>
              </w:rPr>
            </w:pPr>
            <w:r>
              <w:rPr>
                <w:rFonts w:ascii="Calibri" w:cs="Calibri" w:eastAsia="Calibri" w:hAnsi="Calibri"/>
                <w:sz w:val="17"/>
                <w:szCs w:val="17"/>
                <w:color w:val="auto"/>
                <w:w w:val="92"/>
              </w:rPr>
              <w:t>$</w:t>
            </w:r>
          </w:p>
        </w:tc>
        <w:tc>
          <w:tcPr>
            <w:tcW w:w="106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154,875</w:t>
            </w:r>
          </w:p>
        </w:tc>
        <w:tc>
          <w:tcPr>
            <w:tcW w:w="100" w:type="dxa"/>
            <w:vAlign w:val="bottom"/>
            <w:shd w:val="clear" w:color="auto" w:fill="E6EEFF"/>
          </w:tcPr>
          <w:p>
            <w:pPr>
              <w:spacing w:after="0"/>
              <w:rPr>
                <w:sz w:val="19"/>
                <w:szCs w:val="19"/>
                <w:color w:val="auto"/>
              </w:rPr>
            </w:pPr>
          </w:p>
        </w:tc>
        <w:tc>
          <w:tcPr>
            <w:tcW w:w="680" w:type="dxa"/>
            <w:vAlign w:val="bottom"/>
            <w:shd w:val="clear" w:color="auto" w:fill="E6EEFF"/>
          </w:tcPr>
          <w:p>
            <w:pPr>
              <w:jc w:val="right"/>
              <w:ind w:right="474"/>
              <w:spacing w:after="0"/>
              <w:rPr>
                <w:sz w:val="20"/>
                <w:szCs w:val="20"/>
                <w:color w:val="auto"/>
              </w:rPr>
            </w:pPr>
            <w:r>
              <w:rPr>
                <w:rFonts w:ascii="Calibri" w:cs="Calibri" w:eastAsia="Calibri" w:hAnsi="Calibri"/>
                <w:sz w:val="17"/>
                <w:szCs w:val="17"/>
                <w:color w:val="auto"/>
              </w:rPr>
              <w:t>$</w:t>
            </w:r>
          </w:p>
        </w:tc>
        <w:tc>
          <w:tcPr>
            <w:tcW w:w="780" w:type="dxa"/>
            <w:vAlign w:val="bottom"/>
            <w:shd w:val="clear" w:color="auto" w:fill="E6EEFF"/>
          </w:tcPr>
          <w:p>
            <w:pPr>
              <w:jc w:val="right"/>
              <w:spacing w:after="0"/>
              <w:rPr>
                <w:sz w:val="20"/>
                <w:szCs w:val="20"/>
                <w:color w:val="auto"/>
              </w:rPr>
            </w:pPr>
            <w:r>
              <w:rPr>
                <w:rFonts w:ascii="Calibri" w:cs="Calibri" w:eastAsia="Calibri" w:hAnsi="Calibri"/>
                <w:sz w:val="17"/>
                <w:szCs w:val="17"/>
                <w:color w:val="auto"/>
              </w:rPr>
              <w:t>814,265</w:t>
            </w:r>
          </w:p>
        </w:tc>
      </w:tr>
    </w:tbl>
    <w:p>
      <w:pPr>
        <w:spacing w:after="0" w:line="237" w:lineRule="exact"/>
        <w:rPr>
          <w:sz w:val="20"/>
          <w:szCs w:val="20"/>
          <w:color w:val="auto"/>
        </w:rPr>
      </w:pPr>
    </w:p>
    <w:p>
      <w:pPr>
        <w:ind w:left="320" w:hanging="317"/>
        <w:spacing w:after="0" w:line="237" w:lineRule="auto"/>
        <w:tabs>
          <w:tab w:leader="none" w:pos="313" w:val="left"/>
        </w:tabs>
        <w:numPr>
          <w:ilvl w:val="0"/>
          <w:numId w:val="41"/>
        </w:numPr>
        <w:rPr>
          <w:rFonts w:ascii="Calibri" w:cs="Calibri" w:eastAsia="Calibri" w:hAnsi="Calibri"/>
          <w:sz w:val="17"/>
          <w:szCs w:val="17"/>
          <w:color w:val="auto"/>
        </w:rPr>
      </w:pPr>
      <w:r>
        <w:rPr>
          <w:rFonts w:ascii="Calibri" w:cs="Calibri" w:eastAsia="Calibri" w:hAnsi="Calibri"/>
          <w:sz w:val="17"/>
          <w:szCs w:val="17"/>
          <w:color w:val="auto"/>
        </w:rPr>
        <w:t xml:space="preserve">Interest on repurchase agreements, net was $245,846, $59,807 and $3,504, for the years ended December 31, 2023, December 31, 2022 and December 31, 2021, respectvely. See also, </w:t>
      </w:r>
      <w:r>
        <w:rPr>
          <w:rFonts w:ascii="Calibri" w:cs="Calibri" w:eastAsia="Calibri" w:hAnsi="Calibri"/>
          <w:sz w:val="17"/>
          <w:szCs w:val="17"/>
          <w:i w:val="1"/>
          <w:iCs w:val="1"/>
          <w:color w:val="auto"/>
        </w:rPr>
        <w:t>Note 6 - Repurchase Agreements, net</w:t>
      </w:r>
      <w:r>
        <w:rPr>
          <w:rFonts w:ascii="Calibri" w:cs="Calibri" w:eastAsia="Calibri" w:hAnsi="Calibri"/>
          <w:sz w:val="17"/>
          <w:szCs w:val="17"/>
          <w:color w:val="auto"/>
        </w:rPr>
        <w:t>, for transactons with BUCKLER.</w:t>
      </w:r>
    </w:p>
    <w:p>
      <w:pPr>
        <w:spacing w:after="0" w:line="18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Note 15 - Subsequent Events</w:t>
      </w:r>
    </w:p>
    <w:p>
      <w:pPr>
        <w:spacing w:after="0" w:line="102"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Except as disclosed above, no subsequent events were identfed through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1368425</wp:posOffset>
            </wp:positionV>
            <wp:extent cx="7164070"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644525</wp:posOffset>
            </wp:positionV>
            <wp:extent cx="458470" cy="5073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11" w:name="page112"/>
    <w:bookmarkEnd w:id="111"/>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right"/>
        <w:spacing w:after="0" w:line="233" w:lineRule="auto"/>
        <w:rPr>
          <w:sz w:val="20"/>
          <w:szCs w:val="20"/>
          <w:color w:val="auto"/>
        </w:rPr>
      </w:pPr>
      <w:r>
        <w:rPr>
          <w:rFonts w:ascii="Calibri" w:cs="Calibri" w:eastAsia="Calibri" w:hAnsi="Calibri"/>
          <w:sz w:val="17"/>
          <w:szCs w:val="17"/>
          <w:color w:val="1C4787"/>
        </w:rPr>
        <w:t>110</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1C4787"/>
        </w:rPr>
        <w:t>Item 9. Changes in and Disagreements with Accountants on Accountng and Financial Disclosure</w:t>
      </w:r>
    </w:p>
    <w:p>
      <w:pPr>
        <w:spacing w:after="0" w:line="240" w:lineRule="exact"/>
        <w:rPr>
          <w:sz w:val="20"/>
          <w:szCs w:val="20"/>
          <w:color w:val="auto"/>
        </w:rPr>
      </w:pPr>
    </w:p>
    <w:p>
      <w:pPr>
        <w:ind w:left="5720"/>
        <w:spacing w:after="0"/>
        <w:rPr>
          <w:sz w:val="20"/>
          <w:szCs w:val="20"/>
          <w:color w:val="auto"/>
        </w:rPr>
      </w:pPr>
      <w:r>
        <w:rPr>
          <w:rFonts w:ascii="Calibri" w:cs="Calibri" w:eastAsia="Calibri" w:hAnsi="Calibri"/>
          <w:sz w:val="17"/>
          <w:szCs w:val="17"/>
          <w:color w:val="auto"/>
        </w:rPr>
        <w:t>None.</w:t>
      </w:r>
    </w:p>
    <w:p>
      <w:pPr>
        <w:spacing w:after="0" w:line="391"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1C4787"/>
        </w:rPr>
        <w:t>Item 9A. Controls and Procedures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Evaluaton of Disclosure Controls and Procedures</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maintain disclosure controls and procedures (as defned in Rules 13a-15(e) and 15d-15(e) under the Exchange Act) that are designed to ensure that informaton required to be disclosed in our reports fled or submited under the Exchange Act, is recorded, processed, summarized and reported within the tme periods specifed in the SEC’s rules and forms, and to ensure that informaton required to be disclosed in our reports fled or furnished under the Exchange Act, is accumulated and communicated to our management, including our CEO and CFO, as appropriate, to allow tmely decisions regarding required disclosures.</w:t>
      </w:r>
    </w:p>
    <w:p>
      <w:pPr>
        <w:spacing w:after="0" w:line="18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Internal Control Over Financial Reportng</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Our CEO and CFO partcipated in an evaluaton by our management of the efectveness of our disclosure controls and procedures as of the end of our fscal year that ended on December 31, 2023. Based on their partcipaton in that evaluaton, our CEO and CFO concluded that our disclosure controls and procedures were not efectve as of December 31, 2023 due to the material weaknesses identfed below.</w:t>
      </w:r>
    </w:p>
    <w:p>
      <w:pPr>
        <w:spacing w:after="0" w:line="166"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1C4787"/>
        </w:rPr>
        <w:t>Management Report On Internal Control Over Financial Reportng</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Management is responsible for establishing and maintaining adequate internal control over fnancial reportng for the Company. Internal control over fnancial reportng is defned in Rules 13a-15(f) and 15d-15(f) under the Exchange Act as a process designed by, or under the supervision of, our principal executve and principal fnancial ofcers and efected by our Board, management and other personnel to provide reasonable assurance regarding the reliability of fnancial reportng and the preparaton of fnancial statements for external purposes in accordance with GAAP and includes those policies and procedures that:</w:t>
      </w:r>
    </w:p>
    <w:p>
      <w:pPr>
        <w:spacing w:after="0" w:line="167" w:lineRule="exact"/>
        <w:rPr>
          <w:sz w:val="20"/>
          <w:szCs w:val="20"/>
          <w:color w:val="auto"/>
        </w:rPr>
      </w:pPr>
    </w:p>
    <w:p>
      <w:pPr>
        <w:ind w:left="620" w:hanging="307"/>
        <w:spacing w:after="0"/>
        <w:tabs>
          <w:tab w:leader="none" w:pos="620" w:val="left"/>
        </w:tabs>
        <w:numPr>
          <w:ilvl w:val="0"/>
          <w:numId w:val="42"/>
        </w:numPr>
        <w:rPr>
          <w:rFonts w:ascii="Calibri" w:cs="Calibri" w:eastAsia="Calibri" w:hAnsi="Calibri"/>
          <w:sz w:val="17"/>
          <w:szCs w:val="17"/>
          <w:color w:val="auto"/>
        </w:rPr>
      </w:pPr>
      <w:r>
        <w:rPr>
          <w:rFonts w:ascii="Calibri" w:cs="Calibri" w:eastAsia="Calibri" w:hAnsi="Calibri"/>
          <w:sz w:val="17"/>
          <w:szCs w:val="17"/>
          <w:color w:val="auto"/>
        </w:rPr>
        <w:t>pertain to the maintenance of records that in reasonable detail accurately and fairly refect the transactons and dispositons of our assets;</w:t>
      </w:r>
    </w:p>
    <w:p>
      <w:pPr>
        <w:spacing w:after="0" w:line="52"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42"/>
        </w:numPr>
        <w:rPr>
          <w:rFonts w:ascii="Calibri" w:cs="Calibri" w:eastAsia="Calibri" w:hAnsi="Calibri"/>
          <w:sz w:val="17"/>
          <w:szCs w:val="17"/>
          <w:color w:val="auto"/>
        </w:rPr>
      </w:pPr>
      <w:r>
        <w:rPr>
          <w:rFonts w:ascii="Calibri" w:cs="Calibri" w:eastAsia="Calibri" w:hAnsi="Calibri"/>
          <w:sz w:val="17"/>
          <w:szCs w:val="17"/>
          <w:color w:val="auto"/>
        </w:rPr>
        <w:t>provide reasonable assurance that transactons are recorded as necessary to permit preparaton of fnancial statements in accordance with GAAP and that our receipts and expenditures are being made only in accordance with authorizatons of our management and directors; and</w:t>
      </w:r>
    </w:p>
    <w:p>
      <w:pPr>
        <w:spacing w:after="0" w:line="54" w:lineRule="exact"/>
        <w:rPr>
          <w:rFonts w:ascii="Calibri" w:cs="Calibri" w:eastAsia="Calibri" w:hAnsi="Calibri"/>
          <w:sz w:val="17"/>
          <w:szCs w:val="17"/>
          <w:color w:val="auto"/>
        </w:rPr>
      </w:pPr>
    </w:p>
    <w:p>
      <w:pPr>
        <w:ind w:left="620" w:hanging="307"/>
        <w:spacing w:after="0" w:line="237" w:lineRule="auto"/>
        <w:tabs>
          <w:tab w:leader="none" w:pos="613" w:val="left"/>
        </w:tabs>
        <w:numPr>
          <w:ilvl w:val="0"/>
          <w:numId w:val="42"/>
        </w:numPr>
        <w:rPr>
          <w:rFonts w:ascii="Calibri" w:cs="Calibri" w:eastAsia="Calibri" w:hAnsi="Calibri"/>
          <w:sz w:val="17"/>
          <w:szCs w:val="17"/>
          <w:color w:val="auto"/>
        </w:rPr>
      </w:pPr>
      <w:r>
        <w:rPr>
          <w:rFonts w:ascii="Calibri" w:cs="Calibri" w:eastAsia="Calibri" w:hAnsi="Calibri"/>
          <w:sz w:val="17"/>
          <w:szCs w:val="17"/>
          <w:color w:val="auto"/>
        </w:rPr>
        <w:t>provide reasonable assurance regarding preventon or tmely detecton of unauthorized acquisiton, use or dispositon of our assets that could have a material efect on the fnancial statements.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Because of its inherent limitatons, internal control over fnancial reportng may not prevent or detect misstatements. As a result, even systems determined to be efectve can provide only reasonable assurance regarding the preparaton and presentaton of fnancial statements. Moreover, projectons of any evaluaton of efectveness to future periods are subject to the risks that controls may become inadequate because of changes in conditons or that the degree of compliance with the policies or procedures may deteriorate.</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Management assessed the efectveness of the Company’s internal control over fnancial reportng as of December 31, 2023. Management used criteria set forth by the Commitee of Sponsoring Organizatons of the Treadway Commission (“COSO”) in Internal Control-Integrated Framework (2013) when making this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1155700</wp:posOffset>
            </wp:positionV>
            <wp:extent cx="7164070" cy="419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431800</wp:posOffset>
            </wp:positionV>
            <wp:extent cx="458470" cy="5073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12" w:name="page113"/>
    <w:bookmarkEnd w:id="112"/>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right"/>
        <w:spacing w:after="0" w:line="233" w:lineRule="auto"/>
        <w:rPr>
          <w:sz w:val="20"/>
          <w:szCs w:val="20"/>
          <w:color w:val="auto"/>
        </w:rPr>
      </w:pPr>
      <w:r>
        <w:rPr>
          <w:rFonts w:ascii="Calibri" w:cs="Calibri" w:eastAsia="Calibri" w:hAnsi="Calibri"/>
          <w:sz w:val="17"/>
          <w:szCs w:val="17"/>
          <w:color w:val="1C4787"/>
        </w:rPr>
        <w:t>111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Based on management’s assessment, management concluded that, as of December 31, 2023, the Company’s internal control over fnancial reportng was not efectve due to the material weaknesses identfed and described below. The Company’s independent registered public accountng frm, Deloite &amp; Touche LLP, has issued its atestaton report on the Company’s internal control over fnancial reportng. This report appears on page 75 of this Annual Report on Form 10-K.</w:t>
      </w:r>
    </w:p>
    <w:p>
      <w:pPr>
        <w:spacing w:after="0" w:line="179"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Based on our evaluaton, we have concluded that we have material weaknesses in each of the following areas:</w:t>
      </w:r>
    </w:p>
    <w:p>
      <w:pPr>
        <w:spacing w:after="0" w:line="166"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Control Environment</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did not maintain an efectve control environment based on the criteria established in the COSO framework which resulted in defciencies in principles associated with the control environment. Specifcally, these control defciencies consttute material weaknesses, either individually or in the aggregate, relatng to: (i) our commitment to integrity and ethical values; (ii) our Board demonstratng independence from management and exercising oversight of the development and performance of internal control; (iii) establishment, with Board oversight, of structures, reportng lines, and appropriate authorites and responsibilites in the pursuit of objectves; and (iv) demonstraton of a commitment to atract, develop, and retain competent individuals in alignment with objectves.</w:t>
      </w:r>
    </w:p>
    <w:p>
      <w:pPr>
        <w:spacing w:after="0" w:line="167"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Risk Assessment</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did not maintain efectve risk assessment based on the criteria established in the COSO framework which resulted in defciencies in principles associated with risk assessment. Specifcally, this control defciency consttutes a material weakness, relatng to: considering the potental for fraud in assessing risks to the achievement of objectves.</w:t>
      </w:r>
    </w:p>
    <w:p>
      <w:pPr>
        <w:spacing w:after="0" w:line="179"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Informaton and Communicaton</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We did not generate and provide quality informaton and communicaton based on the criteria established in the COSO framework, which resulted in defciencies in the principles associated with the informaton and communicaton component. Specifcally, these control defciencies consttute material weaknesses, either individually or in the aggregate, relatng to: (i) internal communicaton of informaton, including objectves and responsibilites for internal control, necessary to support the functoning of internal control and (ii) communicatng with external partes regarding maters afectng the functoning of internal control.</w:t>
      </w:r>
    </w:p>
    <w:p>
      <w:pPr>
        <w:spacing w:after="0" w:line="167"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The following was a contributng factor to the material weaknesses in the control environment, risk assessment and informaton and communicaton:</w:t>
      </w:r>
    </w:p>
    <w:p>
      <w:pPr>
        <w:spacing w:after="0" w:line="16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Certain members of senior management and the Board did not maintain an appropriate tone at the top. Specifcally, certain members of senior management and the Board engaged in inappropriate conduct during the course of the investgaton of issues raised internally at the Company in late January 2024 that did not comport with the Company’s culture of compliance and Code of Business Conduct and Ethics, Whistleblower Policy and the Board’s Corporate Governance Guidelines. The tone set by these individuals was insufcient to create the proper environment for efectve internal control over fnancial reportng, to ensure compliance with the Company’s policies, and to further the Company’s commitment to integrity and ethical values.</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Afer giving full consideraton to these material weaknesses, and the additonal analyses and other procedures that we performed to ensure that our consolidated fnancial statements included in this Annual Report on Form 10-K were prepared in accordance with GAAP, our management has concluded that our consolidated fnancial statements present fairly, in all material respects, our fnancial positon, results of operatons and cash fows for the periods disclosed in conformity with GAAP. However, these control defciencies could have resulted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1156335</wp:posOffset>
            </wp:positionV>
            <wp:extent cx="7164070"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13" w:name="page114"/>
    <w:bookmarkEnd w:id="113"/>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right"/>
        <w:spacing w:after="0" w:line="233" w:lineRule="auto"/>
        <w:rPr>
          <w:sz w:val="20"/>
          <w:szCs w:val="20"/>
          <w:color w:val="auto"/>
        </w:rPr>
      </w:pPr>
      <w:r>
        <w:rPr>
          <w:rFonts w:ascii="Calibri" w:cs="Calibri" w:eastAsia="Calibri" w:hAnsi="Calibri"/>
          <w:sz w:val="17"/>
          <w:szCs w:val="17"/>
          <w:color w:val="1C4787"/>
        </w:rPr>
        <w:t>112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alibri" w:cs="Calibri" w:eastAsia="Calibri" w:hAnsi="Calibri"/>
          <w:sz w:val="17"/>
          <w:szCs w:val="17"/>
          <w:color w:val="auto"/>
        </w:rPr>
        <w:t>material misstatements to the annual consolidated fnancial statements that would not have been prevented or detected on a tmely basis.</w:t>
      </w:r>
    </w:p>
    <w:p>
      <w:pPr>
        <w:spacing w:after="0" w:line="17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Changes in Internal Control Over Financial Reportng</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Except for the changes described above, there has been no change in the Company’s internal control over fnancial reportng during the fourth quarter ended December 31, 2023 that has materially afected or is reasonably likely to materially afect its internal control over fnancial reportng as defned in Rules 13a-15(f) and 15d-15(f) under the Exchange Act.</w:t>
      </w:r>
    </w:p>
    <w:p>
      <w:pPr>
        <w:spacing w:after="0" w:line="1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Remediaton Plan and Status</w:t>
      </w:r>
    </w:p>
    <w:p>
      <w:pPr>
        <w:spacing w:after="0" w:line="105" w:lineRule="exact"/>
        <w:rPr>
          <w:sz w:val="20"/>
          <w:szCs w:val="20"/>
          <w:color w:val="auto"/>
        </w:rPr>
      </w:pPr>
    </w:p>
    <w:p>
      <w:pPr>
        <w:jc w:val="both"/>
        <w:ind w:firstLine="619"/>
        <w:spacing w:after="0" w:line="256" w:lineRule="auto"/>
        <w:rPr>
          <w:sz w:val="20"/>
          <w:szCs w:val="20"/>
          <w:color w:val="auto"/>
        </w:rPr>
      </w:pPr>
      <w:r>
        <w:rPr>
          <w:rFonts w:ascii="Calibri" w:cs="Calibri" w:eastAsia="Calibri" w:hAnsi="Calibri"/>
          <w:sz w:val="16"/>
          <w:szCs w:val="16"/>
          <w:color w:val="auto"/>
        </w:rPr>
        <w:t>With oversight and input from the Board, management has begun designing and implementng changes in processes and controls to remediate the material weaknesses and to enhance our internal control over fnancial reportng as noted below. Management and the Board, including the independent members of the Board, have begun to and are contnuing to work to remediate the material weaknesses identfed herein. While the Company expects to take other remedial actons, including tone at the top training, as described in more detail below, to date, the Company has streamlined the Company’s senior management structure such that the Company now has a single CEO and Vice Chair following the retrement of Jefrey Zimmer, who will serve as an ex-ofcio, non-votng special advisor to the Board.</w:t>
      </w:r>
    </w:p>
    <w:p>
      <w:pPr>
        <w:spacing w:after="0" w:line="155"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In additon, the Company plans to take the following actons to enhance its internal control over fnancial reportng and its corporate culture:</w:t>
      </w:r>
    </w:p>
    <w:p>
      <w:pPr>
        <w:spacing w:after="0" w:line="182" w:lineRule="exact"/>
        <w:rPr>
          <w:sz w:val="20"/>
          <w:szCs w:val="20"/>
          <w:color w:val="auto"/>
        </w:rPr>
      </w:pPr>
    </w:p>
    <w:p>
      <w:pPr>
        <w:jc w:val="both"/>
        <w:ind w:left="620" w:hanging="307"/>
        <w:spacing w:after="0" w:line="238" w:lineRule="auto"/>
        <w:tabs>
          <w:tab w:leader="none" w:pos="613" w:val="left"/>
        </w:tabs>
        <w:numPr>
          <w:ilvl w:val="0"/>
          <w:numId w:val="43"/>
        </w:numPr>
        <w:rPr>
          <w:rFonts w:ascii="Calibri" w:cs="Calibri" w:eastAsia="Calibri" w:hAnsi="Calibri"/>
          <w:sz w:val="17"/>
          <w:szCs w:val="17"/>
          <w:color w:val="auto"/>
        </w:rPr>
      </w:pPr>
      <w:r>
        <w:rPr>
          <w:rFonts w:ascii="Calibri" w:cs="Calibri" w:eastAsia="Calibri" w:hAnsi="Calibri"/>
          <w:sz w:val="17"/>
          <w:szCs w:val="17"/>
          <w:color w:val="auto"/>
        </w:rPr>
        <w:t>Cause ACM to instruct certain employees of ACM that their behavior during the investgaton that contributed to the determinaton of the material weaknesses is not acceptable and will count against a two-strike policy, enter adverse writen entries to such individuals’ human resources fles and provide counseling to such individuals regarding how to comport themselves in the future;</w:t>
      </w:r>
    </w:p>
    <w:p>
      <w:pPr>
        <w:spacing w:after="0" w:line="53" w:lineRule="exact"/>
        <w:rPr>
          <w:rFonts w:ascii="Calibri" w:cs="Calibri" w:eastAsia="Calibri" w:hAnsi="Calibri"/>
          <w:sz w:val="17"/>
          <w:szCs w:val="17"/>
          <w:color w:val="auto"/>
        </w:rPr>
      </w:pPr>
    </w:p>
    <w:p>
      <w:pPr>
        <w:ind w:left="620" w:hanging="307"/>
        <w:spacing w:after="0" w:line="237" w:lineRule="auto"/>
        <w:tabs>
          <w:tab w:leader="none" w:pos="608" w:val="left"/>
        </w:tabs>
        <w:numPr>
          <w:ilvl w:val="0"/>
          <w:numId w:val="43"/>
        </w:numPr>
        <w:rPr>
          <w:rFonts w:ascii="Calibri" w:cs="Calibri" w:eastAsia="Calibri" w:hAnsi="Calibri"/>
          <w:sz w:val="17"/>
          <w:szCs w:val="17"/>
          <w:color w:val="auto"/>
        </w:rPr>
      </w:pPr>
      <w:r>
        <w:rPr>
          <w:rFonts w:ascii="Calibri" w:cs="Calibri" w:eastAsia="Calibri" w:hAnsi="Calibri"/>
          <w:sz w:val="17"/>
          <w:szCs w:val="17"/>
          <w:color w:val="auto"/>
        </w:rPr>
        <w:t>Revise the Company’s Whistleblower Policy to provide for an independent third-party whistleblower hotline, where complaints can be raised anonymously, without atributon (in additon to the existng avenue of anonymous reportng to the Company’s outside legal counsel);</w:t>
      </w:r>
    </w:p>
    <w:p>
      <w:pPr>
        <w:spacing w:after="0" w:line="54" w:lineRule="exact"/>
        <w:rPr>
          <w:rFonts w:ascii="Calibri" w:cs="Calibri" w:eastAsia="Calibri" w:hAnsi="Calibri"/>
          <w:sz w:val="17"/>
          <w:szCs w:val="17"/>
          <w:color w:val="auto"/>
        </w:rPr>
      </w:pPr>
    </w:p>
    <w:p>
      <w:pPr>
        <w:jc w:val="both"/>
        <w:ind w:left="620" w:hanging="307"/>
        <w:spacing w:after="0" w:line="238" w:lineRule="auto"/>
        <w:tabs>
          <w:tab w:leader="none" w:pos="617" w:val="left"/>
        </w:tabs>
        <w:numPr>
          <w:ilvl w:val="0"/>
          <w:numId w:val="43"/>
        </w:numPr>
        <w:rPr>
          <w:rFonts w:ascii="Calibri" w:cs="Calibri" w:eastAsia="Calibri" w:hAnsi="Calibri"/>
          <w:sz w:val="17"/>
          <w:szCs w:val="17"/>
          <w:color w:val="auto"/>
        </w:rPr>
      </w:pPr>
      <w:r>
        <w:rPr>
          <w:rFonts w:ascii="Calibri" w:cs="Calibri" w:eastAsia="Calibri" w:hAnsi="Calibri"/>
          <w:sz w:val="17"/>
          <w:szCs w:val="17"/>
          <w:color w:val="auto"/>
        </w:rPr>
        <w:t>Add a tone-at-the-top assessment to the internal audit functon at the Company, as an area for regular examinaton and assessment, including certfcatons from senior management to confrm that each senior manager is aware of “tone-at-the-top” and that such individual has not witnessed any incidents of concern, or, if such an incident has occurred, that it has been dealt with appropriately;</w:t>
      </w:r>
    </w:p>
    <w:p>
      <w:pPr>
        <w:spacing w:after="0" w:line="53" w:lineRule="exact"/>
        <w:rPr>
          <w:rFonts w:ascii="Calibri" w:cs="Calibri" w:eastAsia="Calibri" w:hAnsi="Calibri"/>
          <w:sz w:val="17"/>
          <w:szCs w:val="17"/>
          <w:color w:val="auto"/>
        </w:rPr>
      </w:pPr>
    </w:p>
    <w:p>
      <w:pPr>
        <w:ind w:left="620" w:hanging="307"/>
        <w:spacing w:after="0" w:line="237" w:lineRule="auto"/>
        <w:tabs>
          <w:tab w:leader="none" w:pos="608" w:val="left"/>
        </w:tabs>
        <w:numPr>
          <w:ilvl w:val="0"/>
          <w:numId w:val="43"/>
        </w:numPr>
        <w:rPr>
          <w:rFonts w:ascii="Calibri" w:cs="Calibri" w:eastAsia="Calibri" w:hAnsi="Calibri"/>
          <w:sz w:val="17"/>
          <w:szCs w:val="17"/>
          <w:color w:val="auto"/>
        </w:rPr>
      </w:pPr>
      <w:r>
        <w:rPr>
          <w:rFonts w:ascii="Calibri" w:cs="Calibri" w:eastAsia="Calibri" w:hAnsi="Calibri"/>
          <w:sz w:val="17"/>
          <w:szCs w:val="17"/>
          <w:color w:val="auto"/>
        </w:rPr>
        <w:t>Provide, and cause ACM to provide, regular (at least annual) training conducted by an independent, third-party consultant to all management level personnel regarding “tone-at-the-top,” and best practces to ensure a positve tone at the top, with Board members joining such sessions annually;</w:t>
      </w:r>
    </w:p>
    <w:p>
      <w:pPr>
        <w:spacing w:after="0" w:line="54" w:lineRule="exact"/>
        <w:rPr>
          <w:rFonts w:ascii="Calibri" w:cs="Calibri" w:eastAsia="Calibri" w:hAnsi="Calibri"/>
          <w:sz w:val="17"/>
          <w:szCs w:val="17"/>
          <w:color w:val="auto"/>
        </w:rPr>
      </w:pPr>
    </w:p>
    <w:p>
      <w:pPr>
        <w:ind w:left="620" w:hanging="307"/>
        <w:spacing w:after="0" w:line="237" w:lineRule="auto"/>
        <w:tabs>
          <w:tab w:leader="none" w:pos="617" w:val="left"/>
        </w:tabs>
        <w:numPr>
          <w:ilvl w:val="0"/>
          <w:numId w:val="43"/>
        </w:numPr>
        <w:rPr>
          <w:rFonts w:ascii="Calibri" w:cs="Calibri" w:eastAsia="Calibri" w:hAnsi="Calibri"/>
          <w:sz w:val="17"/>
          <w:szCs w:val="17"/>
          <w:color w:val="auto"/>
        </w:rPr>
      </w:pPr>
      <w:r>
        <w:rPr>
          <w:rFonts w:ascii="Calibri" w:cs="Calibri" w:eastAsia="Calibri" w:hAnsi="Calibri"/>
          <w:sz w:val="17"/>
          <w:szCs w:val="17"/>
          <w:color w:val="auto"/>
        </w:rPr>
        <w:t>Host town hall meetngs on a regular basis, where all Company and ACM personnel will be provided an opportunity to partcipate in an open discussion and contribute to determining agenda topics for future meetngs.</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Management believes the foregoing eforts will efectvely remediate the material weaknesses described above. However, as the Company contnues to evaluate and work to improve its internal control over fnancial reportng, management may determine to take additonal measures to improve controls or determine to modify the remediaton plan described above. The Company is working to remediate the material weaknesses identfed above as efciently and efectvely as possible. At this tme, the Company cannot provide an estmate of the tming or costs expected to be incurred in connecton with implementng this remediaton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1156335</wp:posOffset>
            </wp:positionV>
            <wp:extent cx="7164070"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14" w:name="page115"/>
    <w:bookmarkEnd w:id="114"/>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right"/>
        <w:spacing w:after="0" w:line="233" w:lineRule="auto"/>
        <w:rPr>
          <w:sz w:val="20"/>
          <w:szCs w:val="20"/>
          <w:color w:val="auto"/>
        </w:rPr>
      </w:pPr>
      <w:r>
        <w:rPr>
          <w:rFonts w:ascii="Calibri" w:cs="Calibri" w:eastAsia="Calibri" w:hAnsi="Calibri"/>
          <w:sz w:val="17"/>
          <w:szCs w:val="17"/>
          <w:color w:val="1C4787"/>
        </w:rPr>
        <w:t>113</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As of the fling of this Form 10-K, the material weaknesses described above have not been remediated in full. The material weaknesses described above cannot be considered remediated untl the applicable controls have operated for a sufcient period of tme and management has concluded, through testng, that these controls are designed and operatng efectvely. Accordingly, management will contnue to monitor and evaluate the efectveness of our internal control over fnancial reportng in the actvites afected by the material weaknesses described above.</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1C4787"/>
        </w:rPr>
        <w:t>Item 9B. Other Informaton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Completon of Special Commitee’s Internal Investgaton</w:t>
      </w:r>
    </w:p>
    <w:p>
      <w:pPr>
        <w:spacing w:after="0" w:line="105" w:lineRule="exact"/>
        <w:rPr>
          <w:sz w:val="20"/>
          <w:szCs w:val="20"/>
          <w:color w:val="auto"/>
        </w:rPr>
      </w:pPr>
    </w:p>
    <w:p>
      <w:pPr>
        <w:jc w:val="both"/>
        <w:ind w:firstLine="619"/>
        <w:spacing w:after="0" w:line="255" w:lineRule="auto"/>
        <w:rPr>
          <w:sz w:val="20"/>
          <w:szCs w:val="20"/>
          <w:color w:val="auto"/>
        </w:rPr>
      </w:pPr>
      <w:r>
        <w:rPr>
          <w:rFonts w:ascii="Calibri" w:cs="Calibri" w:eastAsia="Calibri" w:hAnsi="Calibri"/>
          <w:sz w:val="16"/>
          <w:szCs w:val="16"/>
          <w:color w:val="auto"/>
        </w:rPr>
        <w:t>As previously disclosed in the Company’s Form 12b-25 fled on March 1, 2024, the independent members of the Board of Directors of the Company formed a special commitee (the “Special Commitee”) comprised of certain of the independent directors to conduct an internal investgaton of issues raised internally at the Company in late January 2024. The issues generally related, among other things, to (a) the appropriateness of reportng Distributable Earnings and Net Interest Margin (“NIM”), which are non-GAAP fnancial measures, in earnings releases and the Company’s public flings with the SEC and the methods of calculatng such measures; (b) the Company’s consideratons with respect to reviewing and evaluatng its external manager, ARMOUR Capital Management LP (“ACM”) and (c) certain of the internal control over fnancial reportng and disclosure controls and procedures of the Company (the “Complaints”). The Special Commitee, which promptly began its work in early February 2024, engaged outside counsel and an independent accountng frm (collectvely, the "Advisors") to assist in the process.</w:t>
      </w:r>
    </w:p>
    <w:p>
      <w:pPr>
        <w:spacing w:after="0" w:line="15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Special Commitee has concluded its internal investgaton. The Special Commitee’s fndings, which are summarized below, did not result in any changes to the Company’s previously announced preliminary unaudited results for the fourth quarter of 2023 or fnancial conditon as of December 31, 2023, the preliminary unaudited results set forth in Atachment A to its 12b-25 fling, or the veracity of its previously issued fnancial statements.</w:t>
      </w:r>
    </w:p>
    <w:p>
      <w:pPr>
        <w:spacing w:after="0" w:line="166"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The Special Commitee found that:</w:t>
      </w:r>
    </w:p>
    <w:p>
      <w:pPr>
        <w:spacing w:after="0" w:line="105" w:lineRule="exact"/>
        <w:rPr>
          <w:sz w:val="20"/>
          <w:szCs w:val="20"/>
          <w:color w:val="auto"/>
        </w:rPr>
      </w:pPr>
    </w:p>
    <w:p>
      <w:pPr>
        <w:jc w:val="both"/>
        <w:ind w:left="620" w:hanging="307"/>
        <w:spacing w:after="0" w:line="238" w:lineRule="auto"/>
        <w:tabs>
          <w:tab w:leader="none" w:pos="605" w:val="left"/>
        </w:tabs>
        <w:numPr>
          <w:ilvl w:val="0"/>
          <w:numId w:val="44"/>
        </w:numPr>
        <w:rPr>
          <w:rFonts w:ascii="Calibri" w:cs="Calibri" w:eastAsia="Calibri" w:hAnsi="Calibri"/>
          <w:sz w:val="17"/>
          <w:szCs w:val="17"/>
          <w:color w:val="auto"/>
        </w:rPr>
      </w:pPr>
      <w:r>
        <w:rPr>
          <w:rFonts w:ascii="Calibri" w:cs="Calibri" w:eastAsia="Calibri" w:hAnsi="Calibri"/>
          <w:sz w:val="17"/>
          <w:szCs w:val="17"/>
          <w:color w:val="auto"/>
        </w:rPr>
        <w:t>The Company’s use and disclosure of Distributable Earnings and NIM, and the methods of calculatng such measures, are appropriate. The Company nevertheless determined that because the Company's computaton of NIM contains a non-GAAP fnancial measure, any reportng of NIM in this Annual Report on Form 10-K and in future press releases and SEC flings should include enhanced disclosures in accordance with applicable SEC guidance. See Item 7, Management's Discussion and Analysis of Financial Conditon and Results of Operatons for a revised presentaton of certain informaton related to net interest income, including NIM.</w:t>
      </w:r>
    </w:p>
    <w:p>
      <w:pPr>
        <w:spacing w:after="0" w:line="53" w:lineRule="exact"/>
        <w:rPr>
          <w:rFonts w:ascii="Calibri" w:cs="Calibri" w:eastAsia="Calibri" w:hAnsi="Calibri"/>
          <w:sz w:val="17"/>
          <w:szCs w:val="17"/>
          <w:color w:val="auto"/>
        </w:rPr>
      </w:pPr>
    </w:p>
    <w:p>
      <w:pPr>
        <w:jc w:val="both"/>
        <w:ind w:left="620" w:hanging="307"/>
        <w:spacing w:after="0" w:line="238" w:lineRule="auto"/>
        <w:tabs>
          <w:tab w:leader="none" w:pos="605" w:val="left"/>
        </w:tabs>
        <w:numPr>
          <w:ilvl w:val="0"/>
          <w:numId w:val="44"/>
        </w:numPr>
        <w:rPr>
          <w:rFonts w:ascii="Calibri" w:cs="Calibri" w:eastAsia="Calibri" w:hAnsi="Calibri"/>
          <w:sz w:val="17"/>
          <w:szCs w:val="17"/>
          <w:color w:val="auto"/>
        </w:rPr>
      </w:pPr>
      <w:r>
        <w:rPr>
          <w:rFonts w:ascii="Calibri" w:cs="Calibri" w:eastAsia="Calibri" w:hAnsi="Calibri"/>
          <w:sz w:val="17"/>
          <w:szCs w:val="17"/>
          <w:color w:val="auto"/>
        </w:rPr>
        <w:t>The Company’s Board of Directors, Compensaton Commitee and Audit Commitee followed an appropriate process in reviewing and evaluatng the management agreement between ARMOUR and ACM, and the management fees paid to ACM. Regarding these maters, the independent directors were found to have complied with their fduciary dutes.</w:t>
      </w:r>
    </w:p>
    <w:p>
      <w:pPr>
        <w:spacing w:after="0" w:line="53" w:lineRule="exact"/>
        <w:rPr>
          <w:rFonts w:ascii="Calibri" w:cs="Calibri" w:eastAsia="Calibri" w:hAnsi="Calibri"/>
          <w:sz w:val="17"/>
          <w:szCs w:val="17"/>
          <w:color w:val="auto"/>
        </w:rPr>
      </w:pPr>
    </w:p>
    <w:p>
      <w:pPr>
        <w:jc w:val="both"/>
        <w:ind w:left="620" w:hanging="307"/>
        <w:spacing w:after="0" w:line="238" w:lineRule="auto"/>
        <w:tabs>
          <w:tab w:leader="none" w:pos="605" w:val="left"/>
        </w:tabs>
        <w:numPr>
          <w:ilvl w:val="0"/>
          <w:numId w:val="44"/>
        </w:numPr>
        <w:rPr>
          <w:rFonts w:ascii="Calibri" w:cs="Calibri" w:eastAsia="Calibri" w:hAnsi="Calibri"/>
          <w:sz w:val="17"/>
          <w:szCs w:val="17"/>
          <w:color w:val="auto"/>
        </w:rPr>
      </w:pPr>
      <w:r>
        <w:rPr>
          <w:rFonts w:ascii="Calibri" w:cs="Calibri" w:eastAsia="Calibri" w:hAnsi="Calibri"/>
          <w:sz w:val="17"/>
          <w:szCs w:val="17"/>
          <w:color w:val="auto"/>
        </w:rPr>
        <w:t>Internal issues that were raised concerning certain of the Company’s internal control over fnancial reportng and disclosure controls and procedures, which related to controls around Distributable Earnings and NIM disclosures; potental conficts of interest involving the Co-CEOs and certain directors who are afliated with ACM; and Board, and Audit Commitee, Compensaton Commitee and Nominatng and Corporate Governance Commitee oversight of such potental conficts and certain investment actvites of ACM undertaken on behalf of the Company, were not substantated by the Special Commitee’s review of the Company’s applicable policies, procedures, and practces.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1164590</wp:posOffset>
            </wp:positionV>
            <wp:extent cx="7164070" cy="419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440690</wp:posOffset>
            </wp:positionV>
            <wp:extent cx="458470" cy="5073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15" w:name="page116"/>
    <w:bookmarkEnd w:id="115"/>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right"/>
        <w:spacing w:after="0" w:line="233" w:lineRule="auto"/>
        <w:rPr>
          <w:sz w:val="20"/>
          <w:szCs w:val="20"/>
          <w:color w:val="auto"/>
        </w:rPr>
      </w:pPr>
      <w:r>
        <w:rPr>
          <w:rFonts w:ascii="Calibri" w:cs="Calibri" w:eastAsia="Calibri" w:hAnsi="Calibri"/>
          <w:sz w:val="17"/>
          <w:szCs w:val="17"/>
          <w:color w:val="1C4787"/>
        </w:rPr>
        <w:t>114</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As part of the Special Commitee’s investgaton, it also reviewed allegatons concerning the Company’s “tone at the top.” The Special Commitee found that certain members of senior management and the Board engaged in inappropriate conduct during the course of the Special Commitee’s and its Advisors’ internal investgaton that did not comport with the Company’s culture of compliance and Code of Business Conduct and Ethics, Whistleblower Policy and the Board’s Corporate Governance Guidelines. The tone set by these individuals was insufcient to create the proper environment for efectve internal control over fnancial reportng, to ensure compliance with the Company’s policies, and to further the Company’s commitment to integrity and ethical values.</w:t>
      </w:r>
    </w:p>
    <w:p>
      <w:pPr>
        <w:spacing w:after="0" w:line="183"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With oversight and input from the Board, management has begun designing and implementng changes in processes and controls to remediate the “tone at the top” issues described above, which the Company has determined amount to material weaknesses in internal control over fnancial reportng. Management and the Board, including the independent members of the Board, are commited to working to remediate these material weaknesses. While the Company expects to take other remedial actons, including regular training on “tone at the top,” to date, the Company has streamlined the Company’s senior management structure such that the Company now has a single CEO and Vice Chair.</w:t>
      </w:r>
    </w:p>
    <w:p>
      <w:pPr>
        <w:spacing w:after="0" w:line="167"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In additon, the Company plans to take certain other actons to enhance its internal control over fnancial reportng and its corporate culture.</w:t>
      </w:r>
    </w:p>
    <w:p>
      <w:pPr>
        <w:spacing w:after="0" w:line="169"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For more informaton about the material weaknesses in internal control over fnancial reportng and the Company’s remedial actons, please see Part II, Item 9A. Controls and Procedures, of this Form 10-K, which disclosure is incorporated herein by reference.</w:t>
      </w:r>
    </w:p>
    <w:p>
      <w:pPr>
        <w:spacing w:after="0" w:line="181"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Chief Financial Ofcer Transiton</w:t>
      </w:r>
    </w:p>
    <w:p>
      <w:pPr>
        <w:spacing w:after="0" w:line="105"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On March 11, 2024, the Company appointed Gordon Harper, the Company’s Vice President of Finance and Controller, age 57, as Chief Financial Ofcer and Secretary to succeed James Mountain, who was removed as Chief Financial Ofcer and Secretary for reasons unrelated to the Special Commitee’s investgaton or its fndings, efectve on March 11, 2024. Mr. Harper will remain Controller of the Company and replace Mr. Mountain as the Company’s Principal Financial Ofcer.</w:t>
      </w:r>
    </w:p>
    <w:p>
      <w:pPr>
        <w:spacing w:after="0" w:line="169"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A brief biography of Mr. Harper is provided in the Company’s defnitve proxy statement for its 2023 annual meetng of stockholders, fled with the SEC on March 23, 2023 under the secton ttled, “ARMOUR’s Executve Ofcers,” which disclosure is incorporated by reference herein.</w:t>
      </w:r>
    </w:p>
    <w:p>
      <w:pPr>
        <w:spacing w:after="0" w:line="17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There are no arrangements or understandings between Mr. Harper and any other person pursuant to which Mr. Harper became Chief Financial Ofcer and Secretary of the Company, and Mr. Harper has no family relatonships required to be disclosed pursuant to Item 401(d) of Regulaton S-K. Mr. Harper has not engaged in any related party transactons with ARMOUR that are reportable under Item 404(a) of Regulaton S-K.</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Mr. Harper has not entered into, no material amendment has been made to, and no grant or award has been made to, Mr. Harper under any material plan, contract or arrangement of the Company in connecton with his becoming Chief Financial Ofcer and Secretary. Mr. Harper will contnue to partcipate in, and receive equity compensaton awards under, the Company’s Third Amended and Restated 2009 Stock Incentve Plan, as he has done in his immediately preceding roles with the Company.</w:t>
      </w:r>
    </w:p>
    <w:p>
      <w:pPr>
        <w:spacing w:after="0" w:line="167" w:lineRule="exact"/>
        <w:rPr>
          <w:sz w:val="20"/>
          <w:szCs w:val="20"/>
          <w:color w:val="auto"/>
        </w:rPr>
      </w:pPr>
    </w:p>
    <w:p>
      <w:pPr>
        <w:ind w:left="620"/>
        <w:spacing w:after="0"/>
        <w:rPr>
          <w:sz w:val="20"/>
          <w:szCs w:val="20"/>
          <w:color w:val="auto"/>
        </w:rPr>
      </w:pPr>
      <w:r>
        <w:rPr>
          <w:rFonts w:ascii="Calibri" w:cs="Calibri" w:eastAsia="Calibri" w:hAnsi="Calibri"/>
          <w:sz w:val="17"/>
          <w:szCs w:val="17"/>
          <w:i w:val="1"/>
          <w:iCs w:val="1"/>
          <w:u w:val="single" w:color="auto"/>
          <w:color w:val="1C4787"/>
        </w:rPr>
        <w:t>Retrement of Co-CEO</w:t>
      </w:r>
    </w:p>
    <w:p>
      <w:pPr>
        <w:spacing w:after="0" w:line="105"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Efectve March 15, 2024, Jefrey Zimmer retred from his positons of Co-Chief Executve Ofcer, President, Vice Chair and director of the Company, which positons he held since November 2009. Going forward, he will serve as an ex-ofcio, non-votng special advisor to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1156970</wp:posOffset>
            </wp:positionV>
            <wp:extent cx="7164070" cy="41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432435</wp:posOffset>
            </wp:positionV>
            <wp:extent cx="458470" cy="5073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16" w:name="page117"/>
    <w:bookmarkEnd w:id="116"/>
    <w:p>
      <w:pPr>
        <w:ind w:left="3280"/>
        <w:spacing w:after="0"/>
        <w:rPr>
          <w:sz w:val="20"/>
          <w:szCs w:val="20"/>
          <w:color w:val="auto"/>
        </w:rPr>
      </w:pPr>
      <w:r>
        <w:rPr>
          <w:rFonts w:ascii="Calibri" w:cs="Calibri" w:eastAsia="Calibri" w:hAnsi="Calibri"/>
          <w:sz w:val="19"/>
          <w:szCs w:val="19"/>
          <w:b w:val="1"/>
          <w:bCs w:val="1"/>
          <w:color w:val="1C4787"/>
        </w:rPr>
        <w:t>ARMOUR Residental REIT, Inc.</w:t>
      </w:r>
    </w:p>
    <w:p>
      <w:pPr>
        <w:jc w:val="right"/>
        <w:spacing w:after="0" w:line="233" w:lineRule="auto"/>
        <w:rPr>
          <w:sz w:val="20"/>
          <w:szCs w:val="20"/>
          <w:color w:val="auto"/>
        </w:rPr>
      </w:pPr>
      <w:r>
        <w:rPr>
          <w:rFonts w:ascii="Calibri" w:cs="Calibri" w:eastAsia="Calibri" w:hAnsi="Calibri"/>
          <w:sz w:val="17"/>
          <w:szCs w:val="17"/>
          <w:color w:val="1C4787"/>
        </w:rPr>
        <w:t>115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60"/>
        <w:spacing w:after="0"/>
        <w:rPr>
          <w:sz w:val="20"/>
          <w:szCs w:val="20"/>
          <w:color w:val="auto"/>
        </w:rPr>
      </w:pPr>
      <w:r>
        <w:rPr>
          <w:rFonts w:ascii="Calibri" w:cs="Calibri" w:eastAsia="Calibri" w:hAnsi="Calibri"/>
          <w:sz w:val="19"/>
          <w:szCs w:val="19"/>
          <w:b w:val="1"/>
          <w:bCs w:val="1"/>
          <w:color w:val="1C4787"/>
        </w:rPr>
        <w:t>Item 9C. Disclosure Regarding Foreign Jurisdictons that Prevent Inspectons.</w:t>
      </w:r>
    </w:p>
    <w:p>
      <w:pPr>
        <w:spacing w:after="0" w:line="382" w:lineRule="exact"/>
        <w:rPr>
          <w:sz w:val="20"/>
          <w:szCs w:val="20"/>
          <w:color w:val="auto"/>
        </w:rPr>
      </w:pPr>
    </w:p>
    <w:p>
      <w:pPr>
        <w:ind w:left="4300"/>
        <w:spacing w:after="0"/>
        <w:rPr>
          <w:sz w:val="20"/>
          <w:szCs w:val="20"/>
          <w:color w:val="auto"/>
        </w:rPr>
      </w:pPr>
      <w:r>
        <w:rPr>
          <w:rFonts w:ascii="Calibri" w:cs="Calibri" w:eastAsia="Calibri" w:hAnsi="Calibri"/>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1163955</wp:posOffset>
            </wp:positionV>
            <wp:extent cx="7164070"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5970905</wp:posOffset>
            </wp:positionH>
            <wp:positionV relativeFrom="paragraph">
              <wp:posOffset>440055</wp:posOffset>
            </wp:positionV>
            <wp:extent cx="458470" cy="5073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0120"/>
          </w:cols>
          <w:pgMar w:left="1440" w:top="920" w:right="339" w:bottom="1440" w:gutter="0" w:footer="0" w:header="0"/>
        </w:sectPr>
      </w:pPr>
    </w:p>
    <w:bookmarkStart w:id="117" w:name="page118"/>
    <w:bookmarkEnd w:id="117"/>
    <w:p>
      <w:pPr>
        <w:jc w:val="center"/>
        <w:spacing w:after="0"/>
        <w:rPr>
          <w:sz w:val="20"/>
          <w:szCs w:val="20"/>
          <w:color w:val="auto"/>
        </w:rPr>
      </w:pPr>
      <w:r>
        <w:rPr>
          <w:rFonts w:ascii="Calibri" w:cs="Calibri" w:eastAsia="Calibri" w:hAnsi="Calibri"/>
          <w:sz w:val="19"/>
          <w:szCs w:val="19"/>
          <w:b w:val="1"/>
          <w:bCs w:val="1"/>
          <w:color w:val="1C4787"/>
        </w:rPr>
        <w:t>PART III</w:t>
      </w:r>
    </w:p>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116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1C4787"/>
        </w:rPr>
        <w:t>Item 10. Directors, Executve Ofcers and Corporate Governance</w:t>
      </w:r>
    </w:p>
    <w:p>
      <w:pPr>
        <w:spacing w:after="0" w:line="200" w:lineRule="exact"/>
        <w:rPr>
          <w:sz w:val="20"/>
          <w:szCs w:val="20"/>
          <w:color w:val="auto"/>
        </w:rPr>
      </w:pPr>
    </w:p>
    <w:p>
      <w:pPr>
        <w:spacing w:after="0" w:line="21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informaton required by Item 10 of this Annual Report on Form 10-K will be contained in and is hereby incorporated by reference to, the proxy statement for our 2024 annual meetng of stockholders, which will be fled with the SEC pursuant to Regulaton 14A within 120 days afer the end of the fscal year covered by this report.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1C4787"/>
        </w:rPr>
        <w:t>Item 11. Executve Compensaton</w:t>
      </w:r>
    </w:p>
    <w:p>
      <w:pPr>
        <w:spacing w:after="0" w:line="200" w:lineRule="exact"/>
        <w:rPr>
          <w:sz w:val="20"/>
          <w:szCs w:val="20"/>
          <w:color w:val="auto"/>
        </w:rPr>
      </w:pPr>
    </w:p>
    <w:p>
      <w:pPr>
        <w:spacing w:after="0" w:line="21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informaton required by Item 11 of this Annual Report on Form 10-K will be contained in and is hereby incorporated by reference to, the proxy statement for our 2024 annual meetng of stockholders, which will be fled with the SEC pursuant to Regulaton 14A within 120 days afer the end of the fscal year covered by this report.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1C4787"/>
        </w:rPr>
        <w:t>Item 12. Security Ownership of Certain Benefcial Owners and Management and Related Stockholder Maters</w:t>
      </w:r>
    </w:p>
    <w:p>
      <w:pPr>
        <w:spacing w:after="0" w:line="200" w:lineRule="exact"/>
        <w:rPr>
          <w:sz w:val="20"/>
          <w:szCs w:val="20"/>
          <w:color w:val="auto"/>
        </w:rPr>
      </w:pPr>
    </w:p>
    <w:p>
      <w:pPr>
        <w:spacing w:after="0" w:line="21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informaton required by Item 12 of this Annual Report on Form 10-K will be contained in and is hereby incorporated by reference to, the proxy statement for our 2024 annual meetng of stockholders, which will be fled with the SEC pursuant to Regulaton 14A within 120 days afer the end of the fscal year covered by this report.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1C4787"/>
        </w:rPr>
        <w:t>Item 13. Certain Relatonships and Related Transactons, and Director Independence</w:t>
      </w:r>
    </w:p>
    <w:p>
      <w:pPr>
        <w:spacing w:after="0" w:line="200" w:lineRule="exact"/>
        <w:rPr>
          <w:sz w:val="20"/>
          <w:szCs w:val="20"/>
          <w:color w:val="auto"/>
        </w:rPr>
      </w:pPr>
    </w:p>
    <w:p>
      <w:pPr>
        <w:spacing w:after="0" w:line="210"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informaton required by Item 13 of this Annual Report on Form 10-K will be contained in and is hereby incorporated by reference to, the proxy statement for our 2024 annual meetng of stockholders, which will be fled with the SEC pursuant to Regulaton 14A within 120 days afer the end of the fscal year covered by this report.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1C4787"/>
        </w:rPr>
        <w:t>Item 14. Principal Accountng Fees and Services</w:t>
      </w:r>
    </w:p>
    <w:p>
      <w:pPr>
        <w:spacing w:after="0" w:line="384"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The informaton required by Item 14 of this Annual Report on Form 10-K will be contained in and is hereby incorporated by reference to, the proxy statement for our 2024 annual meetng of stockholders, which will be fled with the SEC pursuant to Regulaton 14A within 120 days afer the end of the fscal year covered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1671320</wp:posOffset>
            </wp:positionV>
            <wp:extent cx="7164070" cy="419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947420</wp:posOffset>
            </wp:positionV>
            <wp:extent cx="458470" cy="5073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18" w:name="page119"/>
    <w:bookmarkEnd w:id="118"/>
    <w:p>
      <w:pPr>
        <w:jc w:val="center"/>
        <w:spacing w:after="0"/>
        <w:rPr>
          <w:sz w:val="20"/>
          <w:szCs w:val="20"/>
          <w:color w:val="auto"/>
        </w:rPr>
      </w:pPr>
      <w:r>
        <w:rPr>
          <w:rFonts w:ascii="Calibri" w:cs="Calibri" w:eastAsia="Calibri" w:hAnsi="Calibri"/>
          <w:sz w:val="19"/>
          <w:szCs w:val="19"/>
          <w:b w:val="1"/>
          <w:bCs w:val="1"/>
          <w:color w:val="1C4787"/>
        </w:rPr>
        <w:t>GLOSSARY OF TERMS</w:t>
      </w:r>
    </w:p>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320" w:type="dxa"/>
            <w:vAlign w:val="bottom"/>
            <w:gridSpan w:val="2"/>
            <w:shd w:val="clear" w:color="auto" w:fill="E6ECFF"/>
          </w:tcPr>
          <w:p>
            <w:pPr>
              <w:ind w:left="20"/>
              <w:spacing w:after="0"/>
              <w:rPr>
                <w:sz w:val="20"/>
                <w:szCs w:val="20"/>
                <w:color w:val="auto"/>
              </w:rPr>
            </w:pPr>
            <w:r>
              <w:rPr>
                <w:rFonts w:ascii="Calibri" w:cs="Calibri" w:eastAsia="Calibri" w:hAnsi="Calibri"/>
                <w:sz w:val="17"/>
                <w:szCs w:val="17"/>
                <w:b w:val="1"/>
                <w:bCs w:val="1"/>
                <w:color w:val="1C4787"/>
              </w:rPr>
              <w:t>Term</w:t>
            </w:r>
          </w:p>
        </w:tc>
        <w:tc>
          <w:tcPr>
            <w:tcW w:w="8920" w:type="dxa"/>
            <w:vAlign w:val="bottom"/>
            <w:shd w:val="clear" w:color="auto" w:fill="E6ECFF"/>
          </w:tcPr>
          <w:p>
            <w:pPr>
              <w:ind w:left="20"/>
              <w:spacing w:after="0"/>
              <w:rPr>
                <w:sz w:val="20"/>
                <w:szCs w:val="20"/>
                <w:color w:val="auto"/>
              </w:rPr>
            </w:pPr>
            <w:r>
              <w:rPr>
                <w:rFonts w:ascii="Calibri" w:cs="Calibri" w:eastAsia="Calibri" w:hAnsi="Calibri"/>
                <w:sz w:val="17"/>
                <w:szCs w:val="17"/>
                <w:b w:val="1"/>
                <w:bCs w:val="1"/>
                <w:color w:val="1C4787"/>
              </w:rPr>
              <w:t>Defniton</w:t>
            </w:r>
          </w:p>
        </w:tc>
      </w:tr>
      <w:tr>
        <w:trPr>
          <w:trHeight w:val="97"/>
        </w:trPr>
        <w:tc>
          <w:tcPr>
            <w:tcW w:w="2200" w:type="dxa"/>
            <w:vAlign w:val="bottom"/>
            <w:tcBorders>
              <w:bottom w:val="single" w:sz="8" w:color="auto"/>
            </w:tcBorders>
            <w:shd w:val="clear" w:color="auto" w:fill="E6ECFF"/>
          </w:tcPr>
          <w:p>
            <w:pPr>
              <w:spacing w:after="0"/>
              <w:rPr>
                <w:sz w:val="8"/>
                <w:szCs w:val="8"/>
                <w:color w:val="auto"/>
              </w:rPr>
            </w:pPr>
          </w:p>
        </w:tc>
        <w:tc>
          <w:tcPr>
            <w:tcW w:w="120" w:type="dxa"/>
            <w:vAlign w:val="bottom"/>
            <w:shd w:val="clear" w:color="auto" w:fill="E6ECFF"/>
          </w:tcPr>
          <w:p>
            <w:pPr>
              <w:spacing w:after="0"/>
              <w:rPr>
                <w:sz w:val="8"/>
                <w:szCs w:val="8"/>
                <w:color w:val="auto"/>
              </w:rPr>
            </w:pPr>
          </w:p>
        </w:tc>
        <w:tc>
          <w:tcPr>
            <w:tcW w:w="8920" w:type="dxa"/>
            <w:vAlign w:val="bottom"/>
            <w:tcBorders>
              <w:bottom w:val="single" w:sz="8" w:color="auto"/>
            </w:tcBorders>
            <w:shd w:val="clear" w:color="auto" w:fill="E6ECFF"/>
          </w:tcPr>
          <w:p>
            <w:pPr>
              <w:spacing w:after="0"/>
              <w:rPr>
                <w:sz w:val="8"/>
                <w:szCs w:val="8"/>
                <w:color w:val="auto"/>
              </w:rPr>
            </w:pPr>
          </w:p>
        </w:tc>
      </w:tr>
      <w:tr>
        <w:trPr>
          <w:trHeight w:val="198"/>
        </w:trPr>
        <w:tc>
          <w:tcPr>
            <w:tcW w:w="2200" w:type="dxa"/>
            <w:vAlign w:val="bottom"/>
          </w:tcPr>
          <w:p>
            <w:pPr>
              <w:ind w:left="20"/>
              <w:spacing w:after="0" w:line="198" w:lineRule="exact"/>
              <w:rPr>
                <w:sz w:val="20"/>
                <w:szCs w:val="20"/>
                <w:color w:val="auto"/>
              </w:rPr>
            </w:pPr>
            <w:r>
              <w:rPr>
                <w:rFonts w:ascii="Calibri" w:cs="Calibri" w:eastAsia="Calibri" w:hAnsi="Calibri"/>
                <w:sz w:val="17"/>
                <w:szCs w:val="17"/>
                <w:b w:val="1"/>
                <w:bCs w:val="1"/>
                <w:color w:val="1C4787"/>
              </w:rPr>
              <w:t>Agency CMBS</w:t>
            </w:r>
          </w:p>
        </w:tc>
        <w:tc>
          <w:tcPr>
            <w:tcW w:w="120" w:type="dxa"/>
            <w:vAlign w:val="bottom"/>
          </w:tcPr>
          <w:p>
            <w:pPr>
              <w:spacing w:after="0"/>
              <w:rPr>
                <w:sz w:val="17"/>
                <w:szCs w:val="17"/>
                <w:color w:val="auto"/>
              </w:rPr>
            </w:pPr>
          </w:p>
        </w:tc>
        <w:tc>
          <w:tcPr>
            <w:tcW w:w="8920" w:type="dxa"/>
            <w:vAlign w:val="bottom"/>
          </w:tcPr>
          <w:p>
            <w:pPr>
              <w:ind w:left="20"/>
              <w:spacing w:after="0" w:line="198" w:lineRule="exact"/>
              <w:rPr>
                <w:sz w:val="20"/>
                <w:szCs w:val="20"/>
                <w:color w:val="auto"/>
              </w:rPr>
            </w:pPr>
            <w:r>
              <w:rPr>
                <w:rFonts w:ascii="Calibri" w:cs="Calibri" w:eastAsia="Calibri" w:hAnsi="Calibri"/>
                <w:sz w:val="17"/>
                <w:szCs w:val="17"/>
                <w:color w:val="auto"/>
              </w:rPr>
              <w:t>Commercial mortgage backed securites.</w:t>
            </w:r>
          </w:p>
        </w:tc>
      </w:tr>
      <w:tr>
        <w:trPr>
          <w:trHeight w:val="117"/>
        </w:trPr>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920" w:type="dxa"/>
            <w:vAlign w:val="bottom"/>
          </w:tcPr>
          <w:p>
            <w:pPr>
              <w:spacing w:after="0"/>
              <w:rPr>
                <w:sz w:val="10"/>
                <w:szCs w:val="10"/>
                <w:color w:val="auto"/>
              </w:rPr>
            </w:pPr>
          </w:p>
        </w:tc>
      </w:tr>
      <w:tr>
        <w:trPr>
          <w:trHeight w:val="159"/>
        </w:trPr>
        <w:tc>
          <w:tcPr>
            <w:tcW w:w="2320" w:type="dxa"/>
            <w:vAlign w:val="bottom"/>
            <w:gridSpan w:val="2"/>
            <w:shd w:val="clear" w:color="auto" w:fill="E6ECFF"/>
          </w:tcPr>
          <w:p>
            <w:pPr>
              <w:ind w:left="20"/>
              <w:spacing w:after="0" w:line="160" w:lineRule="exact"/>
              <w:rPr>
                <w:sz w:val="20"/>
                <w:szCs w:val="20"/>
                <w:color w:val="auto"/>
              </w:rPr>
            </w:pPr>
            <w:r>
              <w:rPr>
                <w:rFonts w:ascii="Calibri" w:cs="Calibri" w:eastAsia="Calibri" w:hAnsi="Calibri"/>
                <w:sz w:val="17"/>
                <w:szCs w:val="17"/>
                <w:b w:val="1"/>
                <w:bCs w:val="1"/>
                <w:color w:val="1C4787"/>
              </w:rPr>
              <w:t>Agency Securites</w:t>
            </w:r>
          </w:p>
        </w:tc>
        <w:tc>
          <w:tcPr>
            <w:tcW w:w="8920" w:type="dxa"/>
            <w:vAlign w:val="bottom"/>
            <w:shd w:val="clear" w:color="auto" w:fill="E6ECFF"/>
          </w:tcPr>
          <w:p>
            <w:pPr>
              <w:ind w:left="20"/>
              <w:spacing w:after="0" w:line="160" w:lineRule="exact"/>
              <w:rPr>
                <w:sz w:val="20"/>
                <w:szCs w:val="20"/>
                <w:color w:val="auto"/>
              </w:rPr>
            </w:pPr>
            <w:r>
              <w:rPr>
                <w:rFonts w:ascii="Calibri" w:cs="Calibri" w:eastAsia="Calibri" w:hAnsi="Calibri"/>
                <w:sz w:val="17"/>
                <w:szCs w:val="17"/>
                <w:color w:val="auto"/>
              </w:rPr>
              <w:t>Securites issued or guaranteed by Fannie Mae, Freddie Mac and Ginnie Mae; interests in or obligatons backed by pools of fxed</w:t>
            </w:r>
          </w:p>
        </w:tc>
      </w:tr>
      <w:tr>
        <w:trPr>
          <w:trHeight w:val="205"/>
        </w:trPr>
        <w:tc>
          <w:tcPr>
            <w:tcW w:w="2200" w:type="dxa"/>
            <w:vAlign w:val="bottom"/>
            <w:shd w:val="clear" w:color="auto" w:fill="E6ECFF"/>
          </w:tcPr>
          <w:p>
            <w:pPr>
              <w:spacing w:after="0"/>
              <w:rPr>
                <w:sz w:val="17"/>
                <w:szCs w:val="17"/>
                <w:color w:val="auto"/>
              </w:rPr>
            </w:pPr>
          </w:p>
        </w:tc>
        <w:tc>
          <w:tcPr>
            <w:tcW w:w="120" w:type="dxa"/>
            <w:vAlign w:val="bottom"/>
            <w:shd w:val="clear" w:color="auto" w:fill="E6ECFF"/>
          </w:tcPr>
          <w:p>
            <w:pPr>
              <w:spacing w:after="0"/>
              <w:rPr>
                <w:sz w:val="17"/>
                <w:szCs w:val="17"/>
                <w:color w:val="auto"/>
              </w:rPr>
            </w:pPr>
          </w:p>
        </w:tc>
        <w:tc>
          <w:tcPr>
            <w:tcW w:w="892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rate, hybrid adjustable rate and adjustable rate mortgage loans.</w:t>
            </w:r>
          </w:p>
        </w:tc>
      </w:tr>
      <w:tr>
        <w:trPr>
          <w:trHeight w:val="138"/>
        </w:trPr>
        <w:tc>
          <w:tcPr>
            <w:tcW w:w="2200" w:type="dxa"/>
            <w:vAlign w:val="bottom"/>
            <w:shd w:val="clear" w:color="auto" w:fill="E6ECFF"/>
          </w:tcPr>
          <w:p>
            <w:pPr>
              <w:spacing w:after="0"/>
              <w:rPr>
                <w:sz w:val="12"/>
                <w:szCs w:val="12"/>
                <w:color w:val="auto"/>
              </w:rPr>
            </w:pPr>
          </w:p>
        </w:tc>
        <w:tc>
          <w:tcPr>
            <w:tcW w:w="120" w:type="dxa"/>
            <w:vAlign w:val="bottom"/>
            <w:shd w:val="clear" w:color="auto" w:fill="E6ECFF"/>
          </w:tcPr>
          <w:p>
            <w:pPr>
              <w:spacing w:after="0"/>
              <w:rPr>
                <w:sz w:val="12"/>
                <w:szCs w:val="12"/>
                <w:color w:val="auto"/>
              </w:rPr>
            </w:pPr>
          </w:p>
        </w:tc>
        <w:tc>
          <w:tcPr>
            <w:tcW w:w="8920" w:type="dxa"/>
            <w:vAlign w:val="bottom"/>
            <w:shd w:val="clear" w:color="auto" w:fill="E6ECFF"/>
          </w:tcPr>
          <w:p>
            <w:pPr>
              <w:spacing w:after="0"/>
              <w:rPr>
                <w:sz w:val="12"/>
                <w:szCs w:val="12"/>
                <w:color w:val="auto"/>
              </w:rPr>
            </w:pPr>
          </w:p>
        </w:tc>
      </w:tr>
      <w:tr>
        <w:trPr>
          <w:trHeight w:val="159"/>
        </w:trPr>
        <w:tc>
          <w:tcPr>
            <w:tcW w:w="2320" w:type="dxa"/>
            <w:vAlign w:val="bottom"/>
            <w:gridSpan w:val="2"/>
          </w:tcPr>
          <w:p>
            <w:pPr>
              <w:ind w:left="20"/>
              <w:spacing w:after="0" w:line="160" w:lineRule="exact"/>
              <w:rPr>
                <w:sz w:val="20"/>
                <w:szCs w:val="20"/>
                <w:color w:val="auto"/>
              </w:rPr>
            </w:pPr>
            <w:r>
              <w:rPr>
                <w:rFonts w:ascii="Calibri" w:cs="Calibri" w:eastAsia="Calibri" w:hAnsi="Calibri"/>
                <w:sz w:val="17"/>
                <w:szCs w:val="17"/>
                <w:b w:val="1"/>
                <w:bCs w:val="1"/>
                <w:color w:val="1C4787"/>
              </w:rPr>
              <w:t>AVM</w:t>
            </w:r>
          </w:p>
        </w:tc>
        <w:tc>
          <w:tcPr>
            <w:tcW w:w="8920" w:type="dxa"/>
            <w:vAlign w:val="bottom"/>
          </w:tcPr>
          <w:p>
            <w:pPr>
              <w:ind w:left="20"/>
              <w:spacing w:after="0" w:line="160" w:lineRule="exact"/>
              <w:rPr>
                <w:sz w:val="20"/>
                <w:szCs w:val="20"/>
                <w:color w:val="auto"/>
              </w:rPr>
            </w:pPr>
            <w:r>
              <w:rPr>
                <w:rFonts w:ascii="Calibri" w:cs="Calibri" w:eastAsia="Calibri" w:hAnsi="Calibri"/>
                <w:sz w:val="17"/>
                <w:szCs w:val="17"/>
                <w:color w:val="auto"/>
              </w:rPr>
              <w:t>AVM LP is a securites broker dealer, which we contract with for administering clearing and setlement services for our securites</w:t>
            </w:r>
          </w:p>
        </w:tc>
      </w:tr>
      <w:tr>
        <w:trPr>
          <w:trHeight w:val="205"/>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tcPr>
          <w:p>
            <w:pPr>
              <w:ind w:left="20"/>
              <w:spacing w:after="0" w:line="205" w:lineRule="exact"/>
              <w:rPr>
                <w:sz w:val="20"/>
                <w:szCs w:val="20"/>
                <w:color w:val="auto"/>
              </w:rPr>
            </w:pPr>
            <w:r>
              <w:rPr>
                <w:rFonts w:ascii="Calibri" w:cs="Calibri" w:eastAsia="Calibri" w:hAnsi="Calibri"/>
                <w:sz w:val="17"/>
                <w:szCs w:val="17"/>
                <w:color w:val="auto"/>
              </w:rPr>
              <w:t>and derivatve transactons, as well as assistance with fnancing transacton services such as repurchase fnancing.</w:t>
            </w:r>
          </w:p>
        </w:tc>
      </w:tr>
      <w:tr>
        <w:trPr>
          <w:trHeight w:val="138"/>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920" w:type="dxa"/>
            <w:vAlign w:val="bottom"/>
          </w:tcPr>
          <w:p>
            <w:pPr>
              <w:spacing w:after="0"/>
              <w:rPr>
                <w:sz w:val="12"/>
                <w:szCs w:val="12"/>
                <w:color w:val="auto"/>
              </w:rPr>
            </w:pPr>
          </w:p>
        </w:tc>
      </w:tr>
      <w:tr>
        <w:trPr>
          <w:trHeight w:val="159"/>
        </w:trPr>
        <w:tc>
          <w:tcPr>
            <w:tcW w:w="2320" w:type="dxa"/>
            <w:vAlign w:val="bottom"/>
            <w:gridSpan w:val="2"/>
            <w:shd w:val="clear" w:color="auto" w:fill="E6ECFF"/>
          </w:tcPr>
          <w:p>
            <w:pPr>
              <w:ind w:left="20"/>
              <w:spacing w:after="0" w:line="160" w:lineRule="exact"/>
              <w:rPr>
                <w:sz w:val="20"/>
                <w:szCs w:val="20"/>
                <w:color w:val="auto"/>
              </w:rPr>
            </w:pPr>
            <w:r>
              <w:rPr>
                <w:rFonts w:ascii="Calibri" w:cs="Calibri" w:eastAsia="Calibri" w:hAnsi="Calibri"/>
                <w:sz w:val="17"/>
                <w:szCs w:val="17"/>
                <w:b w:val="1"/>
                <w:bCs w:val="1"/>
                <w:color w:val="1C4787"/>
              </w:rPr>
              <w:t>Basis swap contracts</w:t>
            </w:r>
          </w:p>
        </w:tc>
        <w:tc>
          <w:tcPr>
            <w:tcW w:w="8920" w:type="dxa"/>
            <w:vAlign w:val="bottom"/>
            <w:shd w:val="clear" w:color="auto" w:fill="E6ECFF"/>
          </w:tcPr>
          <w:p>
            <w:pPr>
              <w:ind w:left="20"/>
              <w:spacing w:after="0" w:line="160" w:lineRule="exact"/>
              <w:rPr>
                <w:sz w:val="20"/>
                <w:szCs w:val="20"/>
                <w:color w:val="auto"/>
              </w:rPr>
            </w:pPr>
            <w:r>
              <w:rPr>
                <w:rFonts w:ascii="Calibri" w:cs="Calibri" w:eastAsia="Calibri" w:hAnsi="Calibri"/>
                <w:sz w:val="17"/>
                <w:szCs w:val="17"/>
                <w:color w:val="auto"/>
              </w:rPr>
              <w:t>Derivatve contracts that allow us to exchange one foatng interest rate basis for another, for example, Federal Funds Rate and</w:t>
            </w:r>
          </w:p>
        </w:tc>
      </w:tr>
      <w:tr>
        <w:trPr>
          <w:trHeight w:val="205"/>
        </w:trPr>
        <w:tc>
          <w:tcPr>
            <w:tcW w:w="2200" w:type="dxa"/>
            <w:vAlign w:val="bottom"/>
            <w:shd w:val="clear" w:color="auto" w:fill="E6ECFF"/>
          </w:tcPr>
          <w:p>
            <w:pPr>
              <w:spacing w:after="0"/>
              <w:rPr>
                <w:sz w:val="17"/>
                <w:szCs w:val="17"/>
                <w:color w:val="auto"/>
              </w:rPr>
            </w:pPr>
          </w:p>
        </w:tc>
        <w:tc>
          <w:tcPr>
            <w:tcW w:w="120" w:type="dxa"/>
            <w:vAlign w:val="bottom"/>
            <w:shd w:val="clear" w:color="auto" w:fill="E6ECFF"/>
          </w:tcPr>
          <w:p>
            <w:pPr>
              <w:spacing w:after="0"/>
              <w:rPr>
                <w:sz w:val="17"/>
                <w:szCs w:val="17"/>
                <w:color w:val="auto"/>
              </w:rPr>
            </w:pPr>
          </w:p>
        </w:tc>
        <w:tc>
          <w:tcPr>
            <w:tcW w:w="892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SOFR, thereby allowing us to diversify our foatng rate basis exposures.</w:t>
            </w:r>
          </w:p>
        </w:tc>
      </w:tr>
      <w:tr>
        <w:trPr>
          <w:trHeight w:val="138"/>
        </w:trPr>
        <w:tc>
          <w:tcPr>
            <w:tcW w:w="2200" w:type="dxa"/>
            <w:vAlign w:val="bottom"/>
            <w:shd w:val="clear" w:color="auto" w:fill="E6ECFF"/>
          </w:tcPr>
          <w:p>
            <w:pPr>
              <w:spacing w:after="0"/>
              <w:rPr>
                <w:sz w:val="12"/>
                <w:szCs w:val="12"/>
                <w:color w:val="auto"/>
              </w:rPr>
            </w:pPr>
          </w:p>
        </w:tc>
        <w:tc>
          <w:tcPr>
            <w:tcW w:w="120" w:type="dxa"/>
            <w:vAlign w:val="bottom"/>
            <w:shd w:val="clear" w:color="auto" w:fill="E6ECFF"/>
          </w:tcPr>
          <w:p>
            <w:pPr>
              <w:spacing w:after="0"/>
              <w:rPr>
                <w:sz w:val="12"/>
                <w:szCs w:val="12"/>
                <w:color w:val="auto"/>
              </w:rPr>
            </w:pPr>
          </w:p>
        </w:tc>
        <w:tc>
          <w:tcPr>
            <w:tcW w:w="8920" w:type="dxa"/>
            <w:vAlign w:val="bottom"/>
            <w:shd w:val="clear" w:color="auto" w:fill="E6ECFF"/>
          </w:tcPr>
          <w:p>
            <w:pPr>
              <w:spacing w:after="0"/>
              <w:rPr>
                <w:sz w:val="12"/>
                <w:szCs w:val="12"/>
                <w:color w:val="auto"/>
              </w:rPr>
            </w:pPr>
          </w:p>
        </w:tc>
      </w:tr>
      <w:tr>
        <w:trPr>
          <w:trHeight w:val="205"/>
        </w:trPr>
        <w:tc>
          <w:tcPr>
            <w:tcW w:w="2320" w:type="dxa"/>
            <w:vAlign w:val="bottom"/>
            <w:gridSpan w:val="2"/>
          </w:tcPr>
          <w:p>
            <w:pPr>
              <w:ind w:left="20"/>
              <w:spacing w:after="0" w:line="205" w:lineRule="exact"/>
              <w:rPr>
                <w:sz w:val="20"/>
                <w:szCs w:val="20"/>
                <w:color w:val="auto"/>
              </w:rPr>
            </w:pPr>
            <w:r>
              <w:rPr>
                <w:rFonts w:ascii="Calibri" w:cs="Calibri" w:eastAsia="Calibri" w:hAnsi="Calibri"/>
                <w:sz w:val="17"/>
                <w:szCs w:val="17"/>
                <w:b w:val="1"/>
                <w:bCs w:val="1"/>
                <w:color w:val="1C4787"/>
              </w:rPr>
              <w:t>Board</w:t>
            </w:r>
          </w:p>
        </w:tc>
        <w:tc>
          <w:tcPr>
            <w:tcW w:w="8920" w:type="dxa"/>
            <w:vAlign w:val="bottom"/>
          </w:tcPr>
          <w:p>
            <w:pPr>
              <w:ind w:left="20"/>
              <w:spacing w:after="0" w:line="205" w:lineRule="exact"/>
              <w:rPr>
                <w:sz w:val="20"/>
                <w:szCs w:val="20"/>
                <w:color w:val="auto"/>
              </w:rPr>
            </w:pPr>
            <w:r>
              <w:rPr>
                <w:rFonts w:ascii="Calibri" w:cs="Calibri" w:eastAsia="Calibri" w:hAnsi="Calibri"/>
                <w:sz w:val="17"/>
                <w:szCs w:val="17"/>
                <w:color w:val="auto"/>
              </w:rPr>
              <w:t>ARMOUR’s Board of Directors.</w:t>
            </w:r>
          </w:p>
        </w:tc>
      </w:tr>
      <w:tr>
        <w:trPr>
          <w:trHeight w:val="117"/>
        </w:trPr>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920" w:type="dxa"/>
            <w:vAlign w:val="bottom"/>
          </w:tcPr>
          <w:p>
            <w:pPr>
              <w:spacing w:after="0"/>
              <w:rPr>
                <w:sz w:val="10"/>
                <w:szCs w:val="10"/>
                <w:color w:val="auto"/>
              </w:rPr>
            </w:pPr>
          </w:p>
        </w:tc>
      </w:tr>
      <w:tr>
        <w:trPr>
          <w:trHeight w:val="159"/>
        </w:trPr>
        <w:tc>
          <w:tcPr>
            <w:tcW w:w="2320" w:type="dxa"/>
            <w:vAlign w:val="bottom"/>
            <w:gridSpan w:val="2"/>
            <w:shd w:val="clear" w:color="auto" w:fill="E6ECFF"/>
          </w:tcPr>
          <w:p>
            <w:pPr>
              <w:ind w:left="20"/>
              <w:spacing w:after="0" w:line="160" w:lineRule="exact"/>
              <w:rPr>
                <w:sz w:val="20"/>
                <w:szCs w:val="20"/>
                <w:color w:val="auto"/>
              </w:rPr>
            </w:pPr>
            <w:r>
              <w:rPr>
                <w:rFonts w:ascii="Calibri" w:cs="Calibri" w:eastAsia="Calibri" w:hAnsi="Calibri"/>
                <w:sz w:val="17"/>
                <w:szCs w:val="17"/>
                <w:b w:val="1"/>
                <w:bCs w:val="1"/>
                <w:color w:val="1C4787"/>
              </w:rPr>
              <w:t>BUCKLER</w:t>
            </w:r>
          </w:p>
        </w:tc>
        <w:tc>
          <w:tcPr>
            <w:tcW w:w="8920" w:type="dxa"/>
            <w:vAlign w:val="bottom"/>
            <w:shd w:val="clear" w:color="auto" w:fill="E6ECFF"/>
          </w:tcPr>
          <w:p>
            <w:pPr>
              <w:ind w:left="20"/>
              <w:spacing w:after="0" w:line="160" w:lineRule="exact"/>
              <w:rPr>
                <w:sz w:val="20"/>
                <w:szCs w:val="20"/>
                <w:color w:val="auto"/>
              </w:rPr>
            </w:pPr>
            <w:r>
              <w:rPr>
                <w:rFonts w:ascii="Calibri" w:cs="Calibri" w:eastAsia="Calibri" w:hAnsi="Calibri"/>
                <w:sz w:val="17"/>
                <w:szCs w:val="17"/>
                <w:color w:val="auto"/>
                <w:w w:val="99"/>
              </w:rPr>
              <w:t>A Delaware limited liability company, and a FINRA-regulated broker-dealer. The primary purpose of our investment in BUCKLER is</w:t>
            </w:r>
          </w:p>
        </w:tc>
      </w:tr>
      <w:tr>
        <w:trPr>
          <w:trHeight w:val="168"/>
        </w:trPr>
        <w:tc>
          <w:tcPr>
            <w:tcW w:w="2200" w:type="dxa"/>
            <w:vAlign w:val="bottom"/>
            <w:shd w:val="clear" w:color="auto" w:fill="E6ECFF"/>
          </w:tcPr>
          <w:p>
            <w:pPr>
              <w:spacing w:after="0"/>
              <w:rPr>
                <w:sz w:val="14"/>
                <w:szCs w:val="14"/>
                <w:color w:val="auto"/>
              </w:rPr>
            </w:pPr>
          </w:p>
        </w:tc>
        <w:tc>
          <w:tcPr>
            <w:tcW w:w="120" w:type="dxa"/>
            <w:vAlign w:val="bottom"/>
            <w:shd w:val="clear" w:color="auto" w:fill="E6ECFF"/>
          </w:tcPr>
          <w:p>
            <w:pPr>
              <w:spacing w:after="0"/>
              <w:rPr>
                <w:sz w:val="14"/>
                <w:szCs w:val="14"/>
                <w:color w:val="auto"/>
              </w:rPr>
            </w:pPr>
          </w:p>
        </w:tc>
        <w:tc>
          <w:tcPr>
            <w:tcW w:w="8920" w:type="dxa"/>
            <w:vAlign w:val="bottom"/>
            <w:shd w:val="clear" w:color="auto" w:fill="E6ECFF"/>
          </w:tcPr>
          <w:p>
            <w:pPr>
              <w:ind w:left="20"/>
              <w:spacing w:after="0" w:line="167" w:lineRule="exact"/>
              <w:rPr>
                <w:sz w:val="20"/>
                <w:szCs w:val="20"/>
                <w:color w:val="auto"/>
              </w:rPr>
            </w:pPr>
            <w:r>
              <w:rPr>
                <w:rFonts w:ascii="Calibri" w:cs="Calibri" w:eastAsia="Calibri" w:hAnsi="Calibri"/>
                <w:sz w:val="17"/>
                <w:szCs w:val="17"/>
                <w:color w:val="auto"/>
              </w:rPr>
              <w:t>to facilitate our access to repurchase fnancing, on potentally more atractve terms (considering rate, term, size, haircut,</w:t>
            </w:r>
          </w:p>
        </w:tc>
      </w:tr>
      <w:tr>
        <w:trPr>
          <w:trHeight w:val="205"/>
        </w:trPr>
        <w:tc>
          <w:tcPr>
            <w:tcW w:w="2200" w:type="dxa"/>
            <w:vAlign w:val="bottom"/>
            <w:shd w:val="clear" w:color="auto" w:fill="E6ECFF"/>
          </w:tcPr>
          <w:p>
            <w:pPr>
              <w:spacing w:after="0"/>
              <w:rPr>
                <w:sz w:val="17"/>
                <w:szCs w:val="17"/>
                <w:color w:val="auto"/>
              </w:rPr>
            </w:pPr>
          </w:p>
        </w:tc>
        <w:tc>
          <w:tcPr>
            <w:tcW w:w="120" w:type="dxa"/>
            <w:vAlign w:val="bottom"/>
            <w:shd w:val="clear" w:color="auto" w:fill="E6ECFF"/>
          </w:tcPr>
          <w:p>
            <w:pPr>
              <w:spacing w:after="0"/>
              <w:rPr>
                <w:sz w:val="17"/>
                <w:szCs w:val="17"/>
                <w:color w:val="auto"/>
              </w:rPr>
            </w:pPr>
          </w:p>
        </w:tc>
        <w:tc>
          <w:tcPr>
            <w:tcW w:w="892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relatonship and funding commitment) compared to other suitable repurchase fnancing counterpartes.</w:t>
            </w:r>
          </w:p>
        </w:tc>
      </w:tr>
      <w:tr>
        <w:trPr>
          <w:trHeight w:val="138"/>
        </w:trPr>
        <w:tc>
          <w:tcPr>
            <w:tcW w:w="2200" w:type="dxa"/>
            <w:vAlign w:val="bottom"/>
            <w:shd w:val="clear" w:color="auto" w:fill="E6ECFF"/>
          </w:tcPr>
          <w:p>
            <w:pPr>
              <w:spacing w:after="0"/>
              <w:rPr>
                <w:sz w:val="12"/>
                <w:szCs w:val="12"/>
                <w:color w:val="auto"/>
              </w:rPr>
            </w:pPr>
          </w:p>
        </w:tc>
        <w:tc>
          <w:tcPr>
            <w:tcW w:w="120" w:type="dxa"/>
            <w:vAlign w:val="bottom"/>
            <w:shd w:val="clear" w:color="auto" w:fill="E6ECFF"/>
          </w:tcPr>
          <w:p>
            <w:pPr>
              <w:spacing w:after="0"/>
              <w:rPr>
                <w:sz w:val="12"/>
                <w:szCs w:val="12"/>
                <w:color w:val="auto"/>
              </w:rPr>
            </w:pPr>
          </w:p>
        </w:tc>
        <w:tc>
          <w:tcPr>
            <w:tcW w:w="8920" w:type="dxa"/>
            <w:vAlign w:val="bottom"/>
            <w:shd w:val="clear" w:color="auto" w:fill="E6ECFF"/>
          </w:tcPr>
          <w:p>
            <w:pPr>
              <w:spacing w:after="0"/>
              <w:rPr>
                <w:sz w:val="12"/>
                <w:szCs w:val="12"/>
                <w:color w:val="auto"/>
              </w:rPr>
            </w:pPr>
          </w:p>
        </w:tc>
      </w:tr>
      <w:tr>
        <w:trPr>
          <w:trHeight w:val="205"/>
        </w:trPr>
        <w:tc>
          <w:tcPr>
            <w:tcW w:w="2320" w:type="dxa"/>
            <w:vAlign w:val="bottom"/>
            <w:gridSpan w:val="2"/>
          </w:tcPr>
          <w:p>
            <w:pPr>
              <w:ind w:left="20"/>
              <w:spacing w:after="0" w:line="205" w:lineRule="exact"/>
              <w:rPr>
                <w:sz w:val="20"/>
                <w:szCs w:val="20"/>
                <w:color w:val="auto"/>
              </w:rPr>
            </w:pPr>
            <w:r>
              <w:rPr>
                <w:rFonts w:ascii="Calibri" w:cs="Calibri" w:eastAsia="Calibri" w:hAnsi="Calibri"/>
                <w:sz w:val="17"/>
                <w:szCs w:val="17"/>
                <w:b w:val="1"/>
                <w:bCs w:val="1"/>
                <w:color w:val="1C4787"/>
              </w:rPr>
              <w:t>CFO</w:t>
            </w:r>
          </w:p>
        </w:tc>
        <w:tc>
          <w:tcPr>
            <w:tcW w:w="8920" w:type="dxa"/>
            <w:vAlign w:val="bottom"/>
          </w:tcPr>
          <w:p>
            <w:pPr>
              <w:ind w:left="20"/>
              <w:spacing w:after="0" w:line="205" w:lineRule="exact"/>
              <w:rPr>
                <w:sz w:val="20"/>
                <w:szCs w:val="20"/>
                <w:color w:val="auto"/>
              </w:rPr>
            </w:pPr>
            <w:r>
              <w:rPr>
                <w:rFonts w:ascii="Calibri" w:cs="Calibri" w:eastAsia="Calibri" w:hAnsi="Calibri"/>
                <w:sz w:val="17"/>
                <w:szCs w:val="17"/>
                <w:color w:val="auto"/>
              </w:rPr>
              <w:t>Chief Financial Ofcer of ARMOUR, Gordon Harper</w:t>
            </w:r>
          </w:p>
        </w:tc>
      </w:tr>
      <w:tr>
        <w:trPr>
          <w:trHeight w:val="117"/>
        </w:trPr>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920" w:type="dxa"/>
            <w:vAlign w:val="bottom"/>
          </w:tcPr>
          <w:p>
            <w:pPr>
              <w:spacing w:after="0"/>
              <w:rPr>
                <w:sz w:val="10"/>
                <w:szCs w:val="10"/>
                <w:color w:val="auto"/>
              </w:rPr>
            </w:pPr>
          </w:p>
        </w:tc>
      </w:tr>
      <w:tr>
        <w:trPr>
          <w:trHeight w:val="205"/>
        </w:trPr>
        <w:tc>
          <w:tcPr>
            <w:tcW w:w="2320" w:type="dxa"/>
            <w:vAlign w:val="bottom"/>
            <w:gridSpan w:val="2"/>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CFTC</w:t>
            </w:r>
          </w:p>
        </w:tc>
        <w:tc>
          <w:tcPr>
            <w:tcW w:w="892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U.S. Commodity Futures Trading Commission.</w:t>
            </w:r>
          </w:p>
        </w:tc>
      </w:tr>
      <w:tr>
        <w:trPr>
          <w:trHeight w:val="117"/>
        </w:trPr>
        <w:tc>
          <w:tcPr>
            <w:tcW w:w="2200" w:type="dxa"/>
            <w:vAlign w:val="bottom"/>
            <w:shd w:val="clear" w:color="auto" w:fill="E6ECFF"/>
          </w:tcPr>
          <w:p>
            <w:pPr>
              <w:spacing w:after="0"/>
              <w:rPr>
                <w:sz w:val="10"/>
                <w:szCs w:val="10"/>
                <w:color w:val="auto"/>
              </w:rPr>
            </w:pPr>
          </w:p>
        </w:tc>
        <w:tc>
          <w:tcPr>
            <w:tcW w:w="120" w:type="dxa"/>
            <w:vAlign w:val="bottom"/>
            <w:shd w:val="clear" w:color="auto" w:fill="E6ECFF"/>
          </w:tcPr>
          <w:p>
            <w:pPr>
              <w:spacing w:after="0"/>
              <w:rPr>
                <w:sz w:val="10"/>
                <w:szCs w:val="10"/>
                <w:color w:val="auto"/>
              </w:rPr>
            </w:pPr>
          </w:p>
        </w:tc>
        <w:tc>
          <w:tcPr>
            <w:tcW w:w="8920" w:type="dxa"/>
            <w:vAlign w:val="bottom"/>
            <w:shd w:val="clear" w:color="auto" w:fill="E6ECFF"/>
          </w:tcPr>
          <w:p>
            <w:pPr>
              <w:spacing w:after="0"/>
              <w:rPr>
                <w:sz w:val="10"/>
                <w:szCs w:val="10"/>
                <w:color w:val="auto"/>
              </w:rPr>
            </w:pPr>
          </w:p>
        </w:tc>
      </w:tr>
      <w:tr>
        <w:trPr>
          <w:trHeight w:val="212"/>
        </w:trPr>
        <w:tc>
          <w:tcPr>
            <w:tcW w:w="2320" w:type="dxa"/>
            <w:vAlign w:val="bottom"/>
            <w:gridSpan w:val="2"/>
          </w:tcPr>
          <w:p>
            <w:pPr>
              <w:ind w:left="20"/>
              <w:spacing w:after="0" w:line="205" w:lineRule="exact"/>
              <w:rPr>
                <w:sz w:val="20"/>
                <w:szCs w:val="20"/>
                <w:color w:val="auto"/>
              </w:rPr>
            </w:pPr>
            <w:r>
              <w:rPr>
                <w:rFonts w:ascii="Calibri" w:cs="Calibri" w:eastAsia="Calibri" w:hAnsi="Calibri"/>
                <w:sz w:val="17"/>
                <w:szCs w:val="17"/>
                <w:b w:val="1"/>
                <w:bCs w:val="1"/>
                <w:color w:val="1C4787"/>
              </w:rPr>
              <w:t>CME</w:t>
            </w:r>
          </w:p>
        </w:tc>
        <w:tc>
          <w:tcPr>
            <w:tcW w:w="8920" w:type="dxa"/>
            <w:vAlign w:val="bottom"/>
          </w:tcPr>
          <w:p>
            <w:pPr>
              <w:ind w:left="20"/>
              <w:spacing w:after="0" w:line="205" w:lineRule="exact"/>
              <w:rPr>
                <w:sz w:val="20"/>
                <w:szCs w:val="20"/>
                <w:color w:val="auto"/>
              </w:rPr>
            </w:pPr>
            <w:r>
              <w:rPr>
                <w:rFonts w:ascii="Calibri" w:cs="Calibri" w:eastAsia="Calibri" w:hAnsi="Calibri"/>
                <w:sz w:val="17"/>
                <w:szCs w:val="17"/>
                <w:color w:val="auto"/>
              </w:rPr>
              <w:t>Chicago Mercantle Exchange.</w:t>
            </w:r>
          </w:p>
        </w:tc>
      </w:tr>
      <w:tr>
        <w:trPr>
          <w:trHeight w:val="212"/>
        </w:trPr>
        <w:tc>
          <w:tcPr>
            <w:tcW w:w="2320" w:type="dxa"/>
            <w:vAlign w:val="bottom"/>
            <w:gridSpan w:val="2"/>
            <w:shd w:val="clear" w:color="auto" w:fill="E6ECFF"/>
          </w:tcPr>
          <w:p>
            <w:pPr>
              <w:ind w:left="20"/>
              <w:spacing w:after="0"/>
              <w:rPr>
                <w:sz w:val="20"/>
                <w:szCs w:val="20"/>
                <w:color w:val="auto"/>
              </w:rPr>
            </w:pPr>
            <w:r>
              <w:rPr>
                <w:rFonts w:ascii="Calibri" w:cs="Calibri" w:eastAsia="Calibri" w:hAnsi="Calibri"/>
                <w:sz w:val="17"/>
                <w:szCs w:val="17"/>
                <w:b w:val="1"/>
                <w:bCs w:val="1"/>
                <w:color w:val="1C4787"/>
              </w:rPr>
              <w:t>CEO</w:t>
            </w:r>
          </w:p>
        </w:tc>
        <w:tc>
          <w:tcPr>
            <w:tcW w:w="892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Chief Executve Ofcer of ARMOUR, Scot Ulm.</w:t>
            </w:r>
          </w:p>
        </w:tc>
      </w:tr>
      <w:tr>
        <w:trPr>
          <w:trHeight w:val="117"/>
        </w:trPr>
        <w:tc>
          <w:tcPr>
            <w:tcW w:w="2200" w:type="dxa"/>
            <w:vAlign w:val="bottom"/>
            <w:shd w:val="clear" w:color="auto" w:fill="E6ECFF"/>
          </w:tcPr>
          <w:p>
            <w:pPr>
              <w:spacing w:after="0"/>
              <w:rPr>
                <w:sz w:val="10"/>
                <w:szCs w:val="10"/>
                <w:color w:val="auto"/>
              </w:rPr>
            </w:pPr>
          </w:p>
        </w:tc>
        <w:tc>
          <w:tcPr>
            <w:tcW w:w="120" w:type="dxa"/>
            <w:vAlign w:val="bottom"/>
            <w:shd w:val="clear" w:color="auto" w:fill="E6ECFF"/>
          </w:tcPr>
          <w:p>
            <w:pPr>
              <w:spacing w:after="0"/>
              <w:rPr>
                <w:sz w:val="10"/>
                <w:szCs w:val="10"/>
                <w:color w:val="auto"/>
              </w:rPr>
            </w:pPr>
          </w:p>
        </w:tc>
        <w:tc>
          <w:tcPr>
            <w:tcW w:w="8920" w:type="dxa"/>
            <w:vAlign w:val="bottom"/>
            <w:shd w:val="clear" w:color="auto" w:fill="E6ECFF"/>
          </w:tcPr>
          <w:p>
            <w:pPr>
              <w:spacing w:after="0"/>
              <w:rPr>
                <w:sz w:val="10"/>
                <w:szCs w:val="10"/>
                <w:color w:val="auto"/>
              </w:rPr>
            </w:pPr>
          </w:p>
        </w:tc>
      </w:tr>
      <w:tr>
        <w:trPr>
          <w:trHeight w:val="205"/>
        </w:trPr>
        <w:tc>
          <w:tcPr>
            <w:tcW w:w="2320" w:type="dxa"/>
            <w:vAlign w:val="bottom"/>
            <w:gridSpan w:val="2"/>
          </w:tcPr>
          <w:p>
            <w:pPr>
              <w:ind w:left="20"/>
              <w:spacing w:after="0" w:line="205" w:lineRule="exact"/>
              <w:rPr>
                <w:sz w:val="20"/>
                <w:szCs w:val="20"/>
                <w:color w:val="auto"/>
              </w:rPr>
            </w:pPr>
            <w:r>
              <w:rPr>
                <w:rFonts w:ascii="Calibri" w:cs="Calibri" w:eastAsia="Calibri" w:hAnsi="Calibri"/>
                <w:sz w:val="17"/>
                <w:szCs w:val="17"/>
                <w:b w:val="1"/>
                <w:bCs w:val="1"/>
                <w:color w:val="1C4787"/>
              </w:rPr>
              <w:t>Code</w:t>
            </w:r>
          </w:p>
        </w:tc>
        <w:tc>
          <w:tcPr>
            <w:tcW w:w="8920" w:type="dxa"/>
            <w:vAlign w:val="bottom"/>
          </w:tcPr>
          <w:p>
            <w:pPr>
              <w:ind w:left="20"/>
              <w:spacing w:after="0" w:line="205" w:lineRule="exact"/>
              <w:rPr>
                <w:sz w:val="20"/>
                <w:szCs w:val="20"/>
                <w:color w:val="auto"/>
              </w:rPr>
            </w:pPr>
            <w:r>
              <w:rPr>
                <w:rFonts w:ascii="Calibri" w:cs="Calibri" w:eastAsia="Calibri" w:hAnsi="Calibri"/>
                <w:sz w:val="17"/>
                <w:szCs w:val="17"/>
                <w:color w:val="auto"/>
              </w:rPr>
              <w:t>The Internal Revenue Code of 1986.</w:t>
            </w:r>
          </w:p>
        </w:tc>
      </w:tr>
      <w:tr>
        <w:trPr>
          <w:trHeight w:val="117"/>
        </w:trPr>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920" w:type="dxa"/>
            <w:vAlign w:val="bottom"/>
          </w:tcPr>
          <w:p>
            <w:pPr>
              <w:spacing w:after="0"/>
              <w:rPr>
                <w:sz w:val="10"/>
                <w:szCs w:val="10"/>
                <w:color w:val="auto"/>
              </w:rPr>
            </w:pPr>
          </w:p>
        </w:tc>
      </w:tr>
      <w:tr>
        <w:trPr>
          <w:trHeight w:val="159"/>
        </w:trPr>
        <w:tc>
          <w:tcPr>
            <w:tcW w:w="2320" w:type="dxa"/>
            <w:vAlign w:val="bottom"/>
            <w:gridSpan w:val="2"/>
            <w:shd w:val="clear" w:color="auto" w:fill="E6ECFF"/>
          </w:tcPr>
          <w:p>
            <w:pPr>
              <w:ind w:left="20"/>
              <w:spacing w:after="0" w:line="160" w:lineRule="exact"/>
              <w:rPr>
                <w:sz w:val="20"/>
                <w:szCs w:val="20"/>
                <w:color w:val="auto"/>
              </w:rPr>
            </w:pPr>
            <w:r>
              <w:rPr>
                <w:rFonts w:ascii="Calibri" w:cs="Calibri" w:eastAsia="Calibri" w:hAnsi="Calibri"/>
                <w:sz w:val="17"/>
                <w:szCs w:val="17"/>
                <w:b w:val="1"/>
                <w:bCs w:val="1"/>
                <w:color w:val="1C4787"/>
              </w:rPr>
              <w:t>Common Stock Repurchase</w:t>
            </w:r>
          </w:p>
        </w:tc>
        <w:tc>
          <w:tcPr>
            <w:tcW w:w="8920" w:type="dxa"/>
            <w:vAlign w:val="bottom"/>
            <w:shd w:val="clear" w:color="auto" w:fill="E6ECFF"/>
          </w:tcPr>
          <w:p>
            <w:pPr>
              <w:ind w:left="20"/>
              <w:spacing w:after="0" w:line="160" w:lineRule="exact"/>
              <w:rPr>
                <w:sz w:val="20"/>
                <w:szCs w:val="20"/>
                <w:color w:val="auto"/>
              </w:rPr>
            </w:pPr>
            <w:r>
              <w:rPr>
                <w:rFonts w:ascii="Calibri" w:cs="Calibri" w:eastAsia="Calibri" w:hAnsi="Calibri"/>
                <w:sz w:val="17"/>
                <w:szCs w:val="17"/>
                <w:color w:val="auto"/>
              </w:rPr>
              <w:t>ARMOUR's common stock repurchase program originally authorized by our Board on December 17, 2012, as amended from tme</w:t>
            </w:r>
          </w:p>
        </w:tc>
      </w:tr>
      <w:tr>
        <w:trPr>
          <w:trHeight w:val="205"/>
        </w:trPr>
        <w:tc>
          <w:tcPr>
            <w:tcW w:w="2320" w:type="dxa"/>
            <w:vAlign w:val="bottom"/>
            <w:gridSpan w:val="2"/>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Program</w:t>
            </w:r>
          </w:p>
        </w:tc>
        <w:tc>
          <w:tcPr>
            <w:tcW w:w="892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to tme.</w:t>
            </w:r>
          </w:p>
        </w:tc>
      </w:tr>
      <w:tr>
        <w:trPr>
          <w:trHeight w:val="138"/>
        </w:trPr>
        <w:tc>
          <w:tcPr>
            <w:tcW w:w="2200" w:type="dxa"/>
            <w:vAlign w:val="bottom"/>
            <w:shd w:val="clear" w:color="auto" w:fill="E6ECFF"/>
          </w:tcPr>
          <w:p>
            <w:pPr>
              <w:spacing w:after="0"/>
              <w:rPr>
                <w:sz w:val="12"/>
                <w:szCs w:val="12"/>
                <w:color w:val="auto"/>
              </w:rPr>
            </w:pPr>
          </w:p>
        </w:tc>
        <w:tc>
          <w:tcPr>
            <w:tcW w:w="120" w:type="dxa"/>
            <w:vAlign w:val="bottom"/>
            <w:shd w:val="clear" w:color="auto" w:fill="E6ECFF"/>
          </w:tcPr>
          <w:p>
            <w:pPr>
              <w:spacing w:after="0"/>
              <w:rPr>
                <w:sz w:val="12"/>
                <w:szCs w:val="12"/>
                <w:color w:val="auto"/>
              </w:rPr>
            </w:pPr>
          </w:p>
        </w:tc>
        <w:tc>
          <w:tcPr>
            <w:tcW w:w="8920" w:type="dxa"/>
            <w:vAlign w:val="bottom"/>
            <w:shd w:val="clear" w:color="auto" w:fill="E6ECFF"/>
          </w:tcPr>
          <w:p>
            <w:pPr>
              <w:spacing w:after="0"/>
              <w:rPr>
                <w:sz w:val="12"/>
                <w:szCs w:val="12"/>
                <w:color w:val="auto"/>
              </w:rPr>
            </w:pPr>
          </w:p>
        </w:tc>
      </w:tr>
      <w:tr>
        <w:trPr>
          <w:trHeight w:val="205"/>
        </w:trPr>
        <w:tc>
          <w:tcPr>
            <w:tcW w:w="2320" w:type="dxa"/>
            <w:vAlign w:val="bottom"/>
            <w:gridSpan w:val="2"/>
          </w:tcPr>
          <w:p>
            <w:pPr>
              <w:ind w:left="20"/>
              <w:spacing w:after="0" w:line="205" w:lineRule="exact"/>
              <w:rPr>
                <w:sz w:val="20"/>
                <w:szCs w:val="20"/>
                <w:color w:val="auto"/>
              </w:rPr>
            </w:pPr>
            <w:r>
              <w:rPr>
                <w:rFonts w:ascii="Calibri" w:cs="Calibri" w:eastAsia="Calibri" w:hAnsi="Calibri"/>
                <w:sz w:val="17"/>
                <w:szCs w:val="17"/>
                <w:b w:val="1"/>
                <w:bCs w:val="1"/>
                <w:color w:val="1C4787"/>
              </w:rPr>
              <w:t>CPOs</w:t>
            </w:r>
          </w:p>
        </w:tc>
        <w:tc>
          <w:tcPr>
            <w:tcW w:w="8920" w:type="dxa"/>
            <w:vAlign w:val="bottom"/>
          </w:tcPr>
          <w:p>
            <w:pPr>
              <w:ind w:left="20"/>
              <w:spacing w:after="0" w:line="205" w:lineRule="exact"/>
              <w:rPr>
                <w:sz w:val="20"/>
                <w:szCs w:val="20"/>
                <w:color w:val="auto"/>
              </w:rPr>
            </w:pPr>
            <w:r>
              <w:rPr>
                <w:rFonts w:ascii="Calibri" w:cs="Calibri" w:eastAsia="Calibri" w:hAnsi="Calibri"/>
                <w:sz w:val="17"/>
                <w:szCs w:val="17"/>
                <w:color w:val="auto"/>
              </w:rPr>
              <w:t>Commodity pool operators.</w:t>
            </w:r>
          </w:p>
        </w:tc>
      </w:tr>
      <w:tr>
        <w:trPr>
          <w:trHeight w:val="117"/>
        </w:trPr>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920" w:type="dxa"/>
            <w:vAlign w:val="bottom"/>
          </w:tcPr>
          <w:p>
            <w:pPr>
              <w:spacing w:after="0"/>
              <w:rPr>
                <w:sz w:val="10"/>
                <w:szCs w:val="10"/>
                <w:color w:val="auto"/>
              </w:rPr>
            </w:pPr>
          </w:p>
        </w:tc>
      </w:tr>
      <w:tr>
        <w:trPr>
          <w:trHeight w:val="205"/>
        </w:trPr>
        <w:tc>
          <w:tcPr>
            <w:tcW w:w="2320" w:type="dxa"/>
            <w:vAlign w:val="bottom"/>
            <w:gridSpan w:val="2"/>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CMOs</w:t>
            </w:r>
          </w:p>
        </w:tc>
        <w:tc>
          <w:tcPr>
            <w:tcW w:w="892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Collateralized mortgage obligatons.</w:t>
            </w:r>
          </w:p>
        </w:tc>
      </w:tr>
      <w:tr>
        <w:trPr>
          <w:trHeight w:val="117"/>
        </w:trPr>
        <w:tc>
          <w:tcPr>
            <w:tcW w:w="2200" w:type="dxa"/>
            <w:vAlign w:val="bottom"/>
            <w:shd w:val="clear" w:color="auto" w:fill="E6ECFF"/>
          </w:tcPr>
          <w:p>
            <w:pPr>
              <w:spacing w:after="0"/>
              <w:rPr>
                <w:sz w:val="10"/>
                <w:szCs w:val="10"/>
                <w:color w:val="auto"/>
              </w:rPr>
            </w:pPr>
          </w:p>
        </w:tc>
        <w:tc>
          <w:tcPr>
            <w:tcW w:w="120" w:type="dxa"/>
            <w:vAlign w:val="bottom"/>
            <w:shd w:val="clear" w:color="auto" w:fill="E6ECFF"/>
          </w:tcPr>
          <w:p>
            <w:pPr>
              <w:spacing w:after="0"/>
              <w:rPr>
                <w:sz w:val="10"/>
                <w:szCs w:val="10"/>
                <w:color w:val="auto"/>
              </w:rPr>
            </w:pPr>
          </w:p>
        </w:tc>
        <w:tc>
          <w:tcPr>
            <w:tcW w:w="8920" w:type="dxa"/>
            <w:vAlign w:val="bottom"/>
            <w:shd w:val="clear" w:color="auto" w:fill="E6ECFF"/>
          </w:tcPr>
          <w:p>
            <w:pPr>
              <w:spacing w:after="0"/>
              <w:rPr>
                <w:sz w:val="10"/>
                <w:szCs w:val="10"/>
                <w:color w:val="auto"/>
              </w:rPr>
            </w:pPr>
          </w:p>
        </w:tc>
      </w:tr>
      <w:tr>
        <w:trPr>
          <w:trHeight w:val="212"/>
        </w:trPr>
        <w:tc>
          <w:tcPr>
            <w:tcW w:w="2320" w:type="dxa"/>
            <w:vAlign w:val="bottom"/>
            <w:gridSpan w:val="2"/>
          </w:tcPr>
          <w:p>
            <w:pPr>
              <w:ind w:left="20"/>
              <w:spacing w:after="0" w:line="205" w:lineRule="exact"/>
              <w:rPr>
                <w:sz w:val="20"/>
                <w:szCs w:val="20"/>
                <w:color w:val="auto"/>
              </w:rPr>
            </w:pPr>
            <w:r>
              <w:rPr>
                <w:rFonts w:ascii="Calibri" w:cs="Calibri" w:eastAsia="Calibri" w:hAnsi="Calibri"/>
                <w:sz w:val="17"/>
                <w:szCs w:val="17"/>
                <w:b w:val="1"/>
                <w:bCs w:val="1"/>
                <w:color w:val="1C4787"/>
              </w:rPr>
              <w:t>COVID-19</w:t>
            </w:r>
          </w:p>
        </w:tc>
        <w:tc>
          <w:tcPr>
            <w:tcW w:w="8920" w:type="dxa"/>
            <w:vAlign w:val="bottom"/>
          </w:tcPr>
          <w:p>
            <w:pPr>
              <w:ind w:left="20"/>
              <w:spacing w:after="0" w:line="205" w:lineRule="exact"/>
              <w:rPr>
                <w:sz w:val="20"/>
                <w:szCs w:val="20"/>
                <w:color w:val="auto"/>
              </w:rPr>
            </w:pPr>
            <w:r>
              <w:rPr>
                <w:rFonts w:ascii="Calibri" w:cs="Calibri" w:eastAsia="Calibri" w:hAnsi="Calibri"/>
                <w:sz w:val="17"/>
                <w:szCs w:val="17"/>
                <w:color w:val="auto"/>
              </w:rPr>
              <w:t>The Coronavirus pandemic.</w:t>
            </w:r>
          </w:p>
        </w:tc>
      </w:tr>
      <w:tr>
        <w:trPr>
          <w:trHeight w:val="212"/>
        </w:trPr>
        <w:tc>
          <w:tcPr>
            <w:tcW w:w="2320" w:type="dxa"/>
            <w:vAlign w:val="bottom"/>
            <w:gridSpan w:val="2"/>
            <w:shd w:val="clear" w:color="auto" w:fill="E6ECFF"/>
          </w:tcPr>
          <w:p>
            <w:pPr>
              <w:ind w:left="20"/>
              <w:spacing w:after="0"/>
              <w:rPr>
                <w:sz w:val="20"/>
                <w:szCs w:val="20"/>
                <w:color w:val="auto"/>
              </w:rPr>
            </w:pPr>
            <w:r>
              <w:rPr>
                <w:rFonts w:ascii="Calibri" w:cs="Calibri" w:eastAsia="Calibri" w:hAnsi="Calibri"/>
                <w:sz w:val="17"/>
                <w:szCs w:val="17"/>
                <w:b w:val="1"/>
                <w:bCs w:val="1"/>
                <w:color w:val="1C4787"/>
              </w:rPr>
              <w:t>CPR</w:t>
            </w:r>
          </w:p>
        </w:tc>
        <w:tc>
          <w:tcPr>
            <w:tcW w:w="8920" w:type="dxa"/>
            <w:vAlign w:val="bottom"/>
            <w:shd w:val="clear" w:color="auto" w:fill="E6ECFF"/>
          </w:tcPr>
          <w:p>
            <w:pPr>
              <w:ind w:left="20"/>
              <w:spacing w:after="0"/>
              <w:rPr>
                <w:sz w:val="20"/>
                <w:szCs w:val="20"/>
                <w:color w:val="auto"/>
              </w:rPr>
            </w:pPr>
            <w:r>
              <w:rPr>
                <w:rFonts w:ascii="Calibri" w:cs="Calibri" w:eastAsia="Calibri" w:hAnsi="Calibri"/>
                <w:sz w:val="17"/>
                <w:szCs w:val="17"/>
                <w:color w:val="auto"/>
              </w:rPr>
              <w:t>Constant prepayment rate.</w:t>
            </w:r>
          </w:p>
        </w:tc>
      </w:tr>
      <w:tr>
        <w:trPr>
          <w:trHeight w:val="117"/>
        </w:trPr>
        <w:tc>
          <w:tcPr>
            <w:tcW w:w="2200" w:type="dxa"/>
            <w:vAlign w:val="bottom"/>
            <w:shd w:val="clear" w:color="auto" w:fill="E6ECFF"/>
          </w:tcPr>
          <w:p>
            <w:pPr>
              <w:spacing w:after="0"/>
              <w:rPr>
                <w:sz w:val="10"/>
                <w:szCs w:val="10"/>
                <w:color w:val="auto"/>
              </w:rPr>
            </w:pPr>
          </w:p>
        </w:tc>
        <w:tc>
          <w:tcPr>
            <w:tcW w:w="120" w:type="dxa"/>
            <w:vAlign w:val="bottom"/>
            <w:shd w:val="clear" w:color="auto" w:fill="E6ECFF"/>
          </w:tcPr>
          <w:p>
            <w:pPr>
              <w:spacing w:after="0"/>
              <w:rPr>
                <w:sz w:val="10"/>
                <w:szCs w:val="10"/>
                <w:color w:val="auto"/>
              </w:rPr>
            </w:pPr>
          </w:p>
        </w:tc>
        <w:tc>
          <w:tcPr>
            <w:tcW w:w="8920" w:type="dxa"/>
            <w:vAlign w:val="bottom"/>
            <w:shd w:val="clear" w:color="auto" w:fill="E6ECFF"/>
          </w:tcPr>
          <w:p>
            <w:pPr>
              <w:spacing w:after="0"/>
              <w:rPr>
                <w:sz w:val="10"/>
                <w:szCs w:val="10"/>
                <w:color w:val="auto"/>
              </w:rPr>
            </w:pPr>
          </w:p>
        </w:tc>
      </w:tr>
      <w:tr>
        <w:trPr>
          <w:trHeight w:val="159"/>
        </w:trPr>
        <w:tc>
          <w:tcPr>
            <w:tcW w:w="2320" w:type="dxa"/>
            <w:vAlign w:val="bottom"/>
            <w:gridSpan w:val="2"/>
          </w:tcPr>
          <w:p>
            <w:pPr>
              <w:ind w:left="20"/>
              <w:spacing w:after="0" w:line="160" w:lineRule="exact"/>
              <w:rPr>
                <w:sz w:val="20"/>
                <w:szCs w:val="20"/>
                <w:color w:val="auto"/>
              </w:rPr>
            </w:pPr>
            <w:r>
              <w:rPr>
                <w:rFonts w:ascii="Calibri" w:cs="Calibri" w:eastAsia="Calibri" w:hAnsi="Calibri"/>
                <w:sz w:val="17"/>
                <w:szCs w:val="17"/>
                <w:b w:val="1"/>
                <w:bCs w:val="1"/>
                <w:color w:val="1C4787"/>
              </w:rPr>
              <w:t>Distributable Earnings</w:t>
            </w:r>
          </w:p>
        </w:tc>
        <w:tc>
          <w:tcPr>
            <w:tcW w:w="8920" w:type="dxa"/>
            <w:vAlign w:val="bottom"/>
          </w:tcPr>
          <w:p>
            <w:pPr>
              <w:ind w:left="20"/>
              <w:spacing w:after="0" w:line="160" w:lineRule="exact"/>
              <w:rPr>
                <w:sz w:val="20"/>
                <w:szCs w:val="20"/>
                <w:color w:val="auto"/>
              </w:rPr>
            </w:pPr>
            <w:r>
              <w:rPr>
                <w:rFonts w:ascii="Calibri" w:cs="Calibri" w:eastAsia="Calibri" w:hAnsi="Calibri"/>
                <w:sz w:val="17"/>
                <w:szCs w:val="17"/>
                <w:color w:val="auto"/>
                <w:w w:val="98"/>
              </w:rPr>
              <w:t>Distributable Earnings, including TBA Drop Income, is a non-GAAP measure. Net interest income plus TBA Drop Income is adjusted</w:t>
            </w:r>
          </w:p>
        </w:tc>
      </w:tr>
      <w:tr>
        <w:trPr>
          <w:trHeight w:val="168"/>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920" w:type="dxa"/>
            <w:vAlign w:val="bottom"/>
          </w:tcPr>
          <w:p>
            <w:pPr>
              <w:ind w:left="20"/>
              <w:spacing w:after="0" w:line="167" w:lineRule="exact"/>
              <w:rPr>
                <w:sz w:val="20"/>
                <w:szCs w:val="20"/>
                <w:color w:val="auto"/>
              </w:rPr>
            </w:pPr>
            <w:r>
              <w:rPr>
                <w:rFonts w:ascii="Calibri" w:cs="Calibri" w:eastAsia="Calibri" w:hAnsi="Calibri"/>
                <w:sz w:val="17"/>
                <w:szCs w:val="17"/>
                <w:color w:val="auto"/>
              </w:rPr>
              <w:t>for the net coupon efect of interest rate swaps minus net operatng expenses. Distributable Earnings difers from GAAP total</w:t>
            </w:r>
          </w:p>
        </w:tc>
      </w:tr>
      <w:tr>
        <w:trPr>
          <w:trHeight w:val="180"/>
        </w:trPr>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920" w:type="dxa"/>
            <w:vAlign w:val="bottom"/>
          </w:tcPr>
          <w:p>
            <w:pPr>
              <w:ind w:left="20"/>
              <w:spacing w:after="0" w:line="180" w:lineRule="exact"/>
              <w:rPr>
                <w:sz w:val="20"/>
                <w:szCs w:val="20"/>
                <w:color w:val="auto"/>
              </w:rPr>
            </w:pPr>
            <w:r>
              <w:rPr>
                <w:rFonts w:ascii="Calibri" w:cs="Calibri" w:eastAsia="Calibri" w:hAnsi="Calibri"/>
                <w:sz w:val="17"/>
                <w:szCs w:val="17"/>
                <w:color w:val="auto"/>
              </w:rPr>
              <w:t>comprehensive loss, which includes realized gains and losses and market value adjustments. Distributable Earnings should be</w:t>
            </w:r>
          </w:p>
        </w:tc>
      </w:tr>
      <w:tr>
        <w:trPr>
          <w:trHeight w:val="168"/>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920" w:type="dxa"/>
            <w:vAlign w:val="bottom"/>
          </w:tcPr>
          <w:p>
            <w:pPr>
              <w:ind w:left="20"/>
              <w:spacing w:after="0" w:line="167" w:lineRule="exact"/>
              <w:rPr>
                <w:sz w:val="20"/>
                <w:szCs w:val="20"/>
                <w:color w:val="auto"/>
              </w:rPr>
            </w:pPr>
            <w:r>
              <w:rPr>
                <w:rFonts w:ascii="Calibri" w:cs="Calibri" w:eastAsia="Calibri" w:hAnsi="Calibri"/>
                <w:sz w:val="17"/>
                <w:szCs w:val="17"/>
                <w:color w:val="auto"/>
                <w:w w:val="99"/>
              </w:rPr>
              <w:t>considered as supplementary to, and not as a substtute for, the Company’s net interest income and total comprehensive income</w:t>
            </w:r>
          </w:p>
        </w:tc>
      </w:tr>
      <w:tr>
        <w:trPr>
          <w:trHeight w:val="205"/>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tcPr>
          <w:p>
            <w:pPr>
              <w:ind w:left="20"/>
              <w:spacing w:after="0" w:line="205" w:lineRule="exact"/>
              <w:rPr>
                <w:sz w:val="20"/>
                <w:szCs w:val="20"/>
                <w:color w:val="auto"/>
              </w:rPr>
            </w:pPr>
            <w:r>
              <w:rPr>
                <w:rFonts w:ascii="Calibri" w:cs="Calibri" w:eastAsia="Calibri" w:hAnsi="Calibri"/>
                <w:sz w:val="17"/>
                <w:szCs w:val="17"/>
                <w:color w:val="auto"/>
              </w:rPr>
              <w:t>(loss) computed in accordance with GAAP as a measure of the Company’s fnancial performance.</w:t>
            </w:r>
          </w:p>
        </w:tc>
      </w:tr>
      <w:tr>
        <w:trPr>
          <w:trHeight w:val="35"/>
        </w:trPr>
        <w:tc>
          <w:tcPr>
            <w:tcW w:w="2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920" w:type="dxa"/>
            <w:vAlign w:val="bottom"/>
          </w:tcPr>
          <w:p>
            <w:pPr>
              <w:spacing w:after="0"/>
              <w:rPr>
                <w:sz w:val="3"/>
                <w:szCs w:val="3"/>
                <w:color w:val="auto"/>
              </w:rPr>
            </w:pPr>
          </w:p>
        </w:tc>
      </w:tr>
      <w:tr>
        <w:trPr>
          <w:trHeight w:val="205"/>
        </w:trPr>
        <w:tc>
          <w:tcPr>
            <w:tcW w:w="2320" w:type="dxa"/>
            <w:vAlign w:val="bottom"/>
            <w:gridSpan w:val="2"/>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Dodd-Frank Act</w:t>
            </w:r>
          </w:p>
        </w:tc>
        <w:tc>
          <w:tcPr>
            <w:tcW w:w="892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The Dodd-Frank Wall Street Reform and Consumer Protecton Act.</w:t>
            </w:r>
          </w:p>
        </w:tc>
      </w:tr>
      <w:tr>
        <w:trPr>
          <w:trHeight w:val="117"/>
        </w:trPr>
        <w:tc>
          <w:tcPr>
            <w:tcW w:w="2200" w:type="dxa"/>
            <w:vAlign w:val="bottom"/>
            <w:shd w:val="clear" w:color="auto" w:fill="E6ECFF"/>
          </w:tcPr>
          <w:p>
            <w:pPr>
              <w:spacing w:after="0"/>
              <w:rPr>
                <w:sz w:val="10"/>
                <w:szCs w:val="10"/>
                <w:color w:val="auto"/>
              </w:rPr>
            </w:pPr>
          </w:p>
        </w:tc>
        <w:tc>
          <w:tcPr>
            <w:tcW w:w="120" w:type="dxa"/>
            <w:vAlign w:val="bottom"/>
            <w:shd w:val="clear" w:color="auto" w:fill="E6ECFF"/>
          </w:tcPr>
          <w:p>
            <w:pPr>
              <w:spacing w:after="0"/>
              <w:rPr>
                <w:sz w:val="10"/>
                <w:szCs w:val="10"/>
                <w:color w:val="auto"/>
              </w:rPr>
            </w:pPr>
          </w:p>
        </w:tc>
        <w:tc>
          <w:tcPr>
            <w:tcW w:w="8920" w:type="dxa"/>
            <w:vAlign w:val="bottom"/>
            <w:shd w:val="clear" w:color="auto" w:fill="E6ECFF"/>
          </w:tcPr>
          <w:p>
            <w:pPr>
              <w:spacing w:after="0"/>
              <w:rPr>
                <w:sz w:val="10"/>
                <w:szCs w:val="10"/>
                <w:color w:val="auto"/>
              </w:rPr>
            </w:pPr>
          </w:p>
        </w:tc>
      </w:tr>
      <w:tr>
        <w:trPr>
          <w:trHeight w:val="205"/>
        </w:trPr>
        <w:tc>
          <w:tcPr>
            <w:tcW w:w="2320" w:type="dxa"/>
            <w:vAlign w:val="bottom"/>
            <w:gridSpan w:val="2"/>
          </w:tcPr>
          <w:p>
            <w:pPr>
              <w:ind w:left="20"/>
              <w:spacing w:after="0" w:line="205" w:lineRule="exact"/>
              <w:rPr>
                <w:sz w:val="20"/>
                <w:szCs w:val="20"/>
                <w:color w:val="auto"/>
              </w:rPr>
            </w:pPr>
            <w:r>
              <w:rPr>
                <w:rFonts w:ascii="Calibri" w:cs="Calibri" w:eastAsia="Calibri" w:hAnsi="Calibri"/>
                <w:sz w:val="17"/>
                <w:szCs w:val="17"/>
                <w:b w:val="1"/>
                <w:bCs w:val="1"/>
                <w:color w:val="1C4787"/>
              </w:rPr>
              <w:t>Exchange Act</w:t>
            </w:r>
          </w:p>
        </w:tc>
        <w:tc>
          <w:tcPr>
            <w:tcW w:w="8920" w:type="dxa"/>
            <w:vAlign w:val="bottom"/>
          </w:tcPr>
          <w:p>
            <w:pPr>
              <w:ind w:left="20"/>
              <w:spacing w:after="0" w:line="205" w:lineRule="exact"/>
              <w:rPr>
                <w:sz w:val="20"/>
                <w:szCs w:val="20"/>
                <w:color w:val="auto"/>
              </w:rPr>
            </w:pPr>
            <w:r>
              <w:rPr>
                <w:rFonts w:ascii="Calibri" w:cs="Calibri" w:eastAsia="Calibri" w:hAnsi="Calibri"/>
                <w:sz w:val="17"/>
                <w:szCs w:val="17"/>
                <w:color w:val="auto"/>
              </w:rPr>
              <w:t>Securites Exchange Act of 1934.</w:t>
            </w:r>
          </w:p>
        </w:tc>
      </w:tr>
      <w:tr>
        <w:trPr>
          <w:trHeight w:val="117"/>
        </w:trPr>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920" w:type="dxa"/>
            <w:vAlign w:val="bottom"/>
          </w:tcPr>
          <w:p>
            <w:pPr>
              <w:spacing w:after="0"/>
              <w:rPr>
                <w:sz w:val="10"/>
                <w:szCs w:val="10"/>
                <w:color w:val="auto"/>
              </w:rPr>
            </w:pPr>
          </w:p>
        </w:tc>
      </w:tr>
      <w:tr>
        <w:trPr>
          <w:trHeight w:val="205"/>
        </w:trPr>
        <w:tc>
          <w:tcPr>
            <w:tcW w:w="2320" w:type="dxa"/>
            <w:vAlign w:val="bottom"/>
            <w:gridSpan w:val="2"/>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Fannie Mae</w:t>
            </w:r>
          </w:p>
        </w:tc>
        <w:tc>
          <w:tcPr>
            <w:tcW w:w="892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The Federal Natonal Mortgage Associaton.</w:t>
            </w:r>
          </w:p>
        </w:tc>
      </w:tr>
      <w:tr>
        <w:trPr>
          <w:trHeight w:val="117"/>
        </w:trPr>
        <w:tc>
          <w:tcPr>
            <w:tcW w:w="2200" w:type="dxa"/>
            <w:vAlign w:val="bottom"/>
            <w:shd w:val="clear" w:color="auto" w:fill="E6ECFF"/>
          </w:tcPr>
          <w:p>
            <w:pPr>
              <w:spacing w:after="0"/>
              <w:rPr>
                <w:sz w:val="10"/>
                <w:szCs w:val="10"/>
                <w:color w:val="auto"/>
              </w:rPr>
            </w:pPr>
          </w:p>
        </w:tc>
        <w:tc>
          <w:tcPr>
            <w:tcW w:w="120" w:type="dxa"/>
            <w:vAlign w:val="bottom"/>
            <w:shd w:val="clear" w:color="auto" w:fill="E6ECFF"/>
          </w:tcPr>
          <w:p>
            <w:pPr>
              <w:spacing w:after="0"/>
              <w:rPr>
                <w:sz w:val="10"/>
                <w:szCs w:val="10"/>
                <w:color w:val="auto"/>
              </w:rPr>
            </w:pPr>
          </w:p>
        </w:tc>
        <w:tc>
          <w:tcPr>
            <w:tcW w:w="8920" w:type="dxa"/>
            <w:vAlign w:val="bottom"/>
            <w:shd w:val="clear" w:color="auto" w:fill="E6ECFF"/>
          </w:tcPr>
          <w:p>
            <w:pPr>
              <w:spacing w:after="0"/>
              <w:rPr>
                <w:sz w:val="10"/>
                <w:szCs w:val="10"/>
                <w:color w:val="auto"/>
              </w:rPr>
            </w:pPr>
          </w:p>
        </w:tc>
      </w:tr>
      <w:tr>
        <w:trPr>
          <w:trHeight w:val="205"/>
        </w:trPr>
        <w:tc>
          <w:tcPr>
            <w:tcW w:w="2320" w:type="dxa"/>
            <w:vAlign w:val="bottom"/>
            <w:gridSpan w:val="2"/>
          </w:tcPr>
          <w:p>
            <w:pPr>
              <w:ind w:left="20"/>
              <w:spacing w:after="0" w:line="205" w:lineRule="exact"/>
              <w:rPr>
                <w:sz w:val="20"/>
                <w:szCs w:val="20"/>
                <w:color w:val="auto"/>
              </w:rPr>
            </w:pPr>
            <w:r>
              <w:rPr>
                <w:rFonts w:ascii="Calibri" w:cs="Calibri" w:eastAsia="Calibri" w:hAnsi="Calibri"/>
                <w:sz w:val="17"/>
                <w:szCs w:val="17"/>
                <w:b w:val="1"/>
                <w:bCs w:val="1"/>
                <w:color w:val="1C4787"/>
              </w:rPr>
              <w:t>Fed</w:t>
            </w:r>
          </w:p>
        </w:tc>
        <w:tc>
          <w:tcPr>
            <w:tcW w:w="8920" w:type="dxa"/>
            <w:vAlign w:val="bottom"/>
          </w:tcPr>
          <w:p>
            <w:pPr>
              <w:ind w:left="20"/>
              <w:spacing w:after="0" w:line="205" w:lineRule="exact"/>
              <w:rPr>
                <w:sz w:val="20"/>
                <w:szCs w:val="20"/>
                <w:color w:val="auto"/>
              </w:rPr>
            </w:pPr>
            <w:r>
              <w:rPr>
                <w:rFonts w:ascii="Calibri" w:cs="Calibri" w:eastAsia="Calibri" w:hAnsi="Calibri"/>
                <w:sz w:val="17"/>
                <w:szCs w:val="17"/>
                <w:color w:val="auto"/>
              </w:rPr>
              <w:t>The U.S. Federal Reserve.</w:t>
            </w:r>
          </w:p>
        </w:tc>
      </w:tr>
      <w:tr>
        <w:trPr>
          <w:trHeight w:val="117"/>
        </w:trPr>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920" w:type="dxa"/>
            <w:vAlign w:val="bottom"/>
          </w:tcPr>
          <w:p>
            <w:pPr>
              <w:spacing w:after="0"/>
              <w:rPr>
                <w:sz w:val="10"/>
                <w:szCs w:val="10"/>
                <w:color w:val="auto"/>
              </w:rPr>
            </w:pPr>
          </w:p>
        </w:tc>
      </w:tr>
      <w:tr>
        <w:trPr>
          <w:trHeight w:val="219"/>
        </w:trPr>
        <w:tc>
          <w:tcPr>
            <w:tcW w:w="2320" w:type="dxa"/>
            <w:vAlign w:val="bottom"/>
            <w:gridSpan w:val="2"/>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Federal Funds Rate</w:t>
            </w:r>
          </w:p>
        </w:tc>
        <w:tc>
          <w:tcPr>
            <w:tcW w:w="892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Federal Funds Efectve Rate</w:t>
            </w:r>
          </w:p>
        </w:tc>
      </w:tr>
      <w:tr>
        <w:trPr>
          <w:trHeight w:val="159"/>
        </w:trPr>
        <w:tc>
          <w:tcPr>
            <w:tcW w:w="2320" w:type="dxa"/>
            <w:vAlign w:val="bottom"/>
            <w:gridSpan w:val="2"/>
          </w:tcPr>
          <w:p>
            <w:pPr>
              <w:ind w:left="20"/>
              <w:spacing w:after="0" w:line="160" w:lineRule="exact"/>
              <w:rPr>
                <w:sz w:val="20"/>
                <w:szCs w:val="20"/>
                <w:color w:val="auto"/>
              </w:rPr>
            </w:pPr>
            <w:r>
              <w:rPr>
                <w:rFonts w:ascii="Calibri" w:cs="Calibri" w:eastAsia="Calibri" w:hAnsi="Calibri"/>
                <w:sz w:val="17"/>
                <w:szCs w:val="17"/>
                <w:b w:val="1"/>
                <w:bCs w:val="1"/>
                <w:color w:val="1C4787"/>
              </w:rPr>
              <w:t>FICC</w:t>
            </w:r>
          </w:p>
        </w:tc>
        <w:tc>
          <w:tcPr>
            <w:tcW w:w="8920" w:type="dxa"/>
            <w:vAlign w:val="bottom"/>
          </w:tcPr>
          <w:p>
            <w:pPr>
              <w:ind w:left="20"/>
              <w:spacing w:after="0" w:line="160" w:lineRule="exact"/>
              <w:rPr>
                <w:sz w:val="20"/>
                <w:szCs w:val="20"/>
                <w:color w:val="auto"/>
              </w:rPr>
            </w:pPr>
            <w:r>
              <w:rPr>
                <w:rFonts w:ascii="Calibri" w:cs="Calibri" w:eastAsia="Calibri" w:hAnsi="Calibri"/>
                <w:sz w:val="17"/>
                <w:szCs w:val="17"/>
                <w:color w:val="auto"/>
              </w:rPr>
              <w:t>Fixed Income Clearing Corporaton. An agency that deals with the confrmaton, setlement and delivery of fxed-income assets in</w:t>
            </w:r>
          </w:p>
        </w:tc>
      </w:tr>
      <w:tr>
        <w:trPr>
          <w:trHeight w:val="205"/>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tcPr>
          <w:p>
            <w:pPr>
              <w:ind w:left="20"/>
              <w:spacing w:after="0" w:line="205" w:lineRule="exact"/>
              <w:rPr>
                <w:sz w:val="20"/>
                <w:szCs w:val="20"/>
                <w:color w:val="auto"/>
              </w:rPr>
            </w:pPr>
            <w:r>
              <w:rPr>
                <w:rFonts w:ascii="Calibri" w:cs="Calibri" w:eastAsia="Calibri" w:hAnsi="Calibri"/>
                <w:sz w:val="17"/>
                <w:szCs w:val="17"/>
                <w:color w:val="auto"/>
              </w:rPr>
              <w:t>the U.S. They ensure the systematc and efcient setlement of MBS and U.S. government securites.</w:t>
            </w:r>
          </w:p>
        </w:tc>
      </w:tr>
      <w:tr>
        <w:trPr>
          <w:trHeight w:val="138"/>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920" w:type="dxa"/>
            <w:vAlign w:val="bottom"/>
          </w:tcPr>
          <w:p>
            <w:pPr>
              <w:spacing w:after="0"/>
              <w:rPr>
                <w:sz w:val="12"/>
                <w:szCs w:val="12"/>
                <w:color w:val="auto"/>
              </w:rPr>
            </w:pPr>
          </w:p>
        </w:tc>
      </w:tr>
      <w:tr>
        <w:trPr>
          <w:trHeight w:val="205"/>
        </w:trPr>
        <w:tc>
          <w:tcPr>
            <w:tcW w:w="2320" w:type="dxa"/>
            <w:vAlign w:val="bottom"/>
            <w:gridSpan w:val="2"/>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FINRA</w:t>
            </w:r>
          </w:p>
        </w:tc>
        <w:tc>
          <w:tcPr>
            <w:tcW w:w="892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color w:val="auto"/>
              </w:rPr>
              <w:t>The Financial Industry Regulatory Authority. A private corporaton that acts as a self-regulatory organizaton.</w:t>
            </w:r>
          </w:p>
        </w:tc>
      </w:tr>
      <w:tr>
        <w:trPr>
          <w:trHeight w:val="117"/>
        </w:trPr>
        <w:tc>
          <w:tcPr>
            <w:tcW w:w="2200" w:type="dxa"/>
            <w:vAlign w:val="bottom"/>
            <w:shd w:val="clear" w:color="auto" w:fill="E6ECFF"/>
          </w:tcPr>
          <w:p>
            <w:pPr>
              <w:spacing w:after="0"/>
              <w:rPr>
                <w:sz w:val="10"/>
                <w:szCs w:val="10"/>
                <w:color w:val="auto"/>
              </w:rPr>
            </w:pPr>
          </w:p>
        </w:tc>
        <w:tc>
          <w:tcPr>
            <w:tcW w:w="120" w:type="dxa"/>
            <w:vAlign w:val="bottom"/>
            <w:shd w:val="clear" w:color="auto" w:fill="E6ECFF"/>
          </w:tcPr>
          <w:p>
            <w:pPr>
              <w:spacing w:after="0"/>
              <w:rPr>
                <w:sz w:val="10"/>
                <w:szCs w:val="10"/>
                <w:color w:val="auto"/>
              </w:rPr>
            </w:pPr>
          </w:p>
        </w:tc>
        <w:tc>
          <w:tcPr>
            <w:tcW w:w="8920" w:type="dxa"/>
            <w:vAlign w:val="bottom"/>
            <w:shd w:val="clear" w:color="auto" w:fill="E6ECFF"/>
          </w:tcPr>
          <w:p>
            <w:pPr>
              <w:spacing w:after="0"/>
              <w:rPr>
                <w:sz w:val="10"/>
                <w:szCs w:val="10"/>
                <w:color w:val="auto"/>
              </w:rPr>
            </w:pPr>
          </w:p>
        </w:tc>
      </w:tr>
      <w:tr>
        <w:trPr>
          <w:trHeight w:val="1759"/>
        </w:trPr>
        <w:tc>
          <w:tcPr>
            <w:tcW w:w="2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-752475</wp:posOffset>
            </wp:positionV>
            <wp:extent cx="458470" cy="5073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19" w:name="page120"/>
    <w:bookmarkEnd w:id="119"/>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20"/>
        <w:spacing w:after="0"/>
        <w:rPr>
          <w:sz w:val="20"/>
          <w:szCs w:val="20"/>
          <w:color w:val="auto"/>
        </w:rPr>
      </w:pPr>
      <w:r>
        <w:rPr>
          <w:rFonts w:ascii="Calibri" w:cs="Calibri" w:eastAsia="Calibri" w:hAnsi="Calibri"/>
          <w:sz w:val="19"/>
          <w:szCs w:val="19"/>
          <w:b w:val="1"/>
          <w:bCs w:val="1"/>
          <w:color w:val="1C4787"/>
        </w:rPr>
        <w:t>Glossary of Terms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940" w:type="dxa"/>
            <w:vAlign w:val="bottom"/>
          </w:tcPr>
          <w:p>
            <w:pPr>
              <w:ind w:left="20"/>
              <w:spacing w:after="0"/>
              <w:rPr>
                <w:sz w:val="20"/>
                <w:szCs w:val="20"/>
                <w:color w:val="auto"/>
              </w:rPr>
            </w:pPr>
            <w:r>
              <w:rPr>
                <w:rFonts w:ascii="Calibri" w:cs="Calibri" w:eastAsia="Calibri" w:hAnsi="Calibri"/>
                <w:sz w:val="17"/>
                <w:szCs w:val="17"/>
                <w:b w:val="1"/>
                <w:bCs w:val="1"/>
                <w:color w:val="1C4787"/>
              </w:rPr>
              <w:t>Freddie Mac</w:t>
            </w:r>
          </w:p>
        </w:tc>
        <w:tc>
          <w:tcPr>
            <w:tcW w:w="9300" w:type="dxa"/>
            <w:vAlign w:val="bottom"/>
          </w:tcPr>
          <w:p>
            <w:pPr>
              <w:ind w:left="400"/>
              <w:spacing w:after="0"/>
              <w:rPr>
                <w:sz w:val="20"/>
                <w:szCs w:val="20"/>
                <w:color w:val="auto"/>
              </w:rPr>
            </w:pPr>
            <w:r>
              <w:rPr>
                <w:rFonts w:ascii="Calibri" w:cs="Calibri" w:eastAsia="Calibri" w:hAnsi="Calibri"/>
                <w:sz w:val="17"/>
                <w:szCs w:val="17"/>
                <w:color w:val="auto"/>
              </w:rPr>
              <w:t>The Federal Home Loan Mortgage Corporaton.</w:t>
            </w:r>
          </w:p>
        </w:tc>
      </w:tr>
      <w:tr>
        <w:trPr>
          <w:trHeight w:val="126"/>
        </w:trPr>
        <w:tc>
          <w:tcPr>
            <w:tcW w:w="1940" w:type="dxa"/>
            <w:vAlign w:val="bottom"/>
          </w:tcPr>
          <w:p>
            <w:pPr>
              <w:spacing w:after="0"/>
              <w:rPr>
                <w:sz w:val="10"/>
                <w:szCs w:val="10"/>
                <w:color w:val="auto"/>
              </w:rPr>
            </w:pPr>
          </w:p>
        </w:tc>
        <w:tc>
          <w:tcPr>
            <w:tcW w:w="9300" w:type="dxa"/>
            <w:vAlign w:val="bottom"/>
          </w:tcPr>
          <w:p>
            <w:pPr>
              <w:spacing w:after="0"/>
              <w:rPr>
                <w:sz w:val="10"/>
                <w:szCs w:val="10"/>
                <w:color w:val="auto"/>
              </w:rPr>
            </w:pPr>
          </w:p>
        </w:tc>
      </w:tr>
      <w:tr>
        <w:trPr>
          <w:trHeight w:val="219"/>
        </w:trPr>
        <w:tc>
          <w:tcPr>
            <w:tcW w:w="194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Futures contracts</w:t>
            </w:r>
          </w:p>
        </w:tc>
        <w:tc>
          <w:tcPr>
            <w:tcW w:w="9300" w:type="dxa"/>
            <w:vAlign w:val="bottom"/>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Eurodollar futures contracts</w:t>
            </w:r>
          </w:p>
        </w:tc>
      </w:tr>
      <w:tr>
        <w:trPr>
          <w:trHeight w:val="205"/>
        </w:trPr>
        <w:tc>
          <w:tcPr>
            <w:tcW w:w="194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1C4787"/>
              </w:rPr>
              <w:t>GAAP</w:t>
            </w:r>
          </w:p>
        </w:tc>
        <w:tc>
          <w:tcPr>
            <w:tcW w:w="9300" w:type="dxa"/>
            <w:vAlign w:val="bottom"/>
          </w:tcPr>
          <w:p>
            <w:pPr>
              <w:ind w:left="400"/>
              <w:spacing w:after="0" w:line="205" w:lineRule="exact"/>
              <w:rPr>
                <w:sz w:val="20"/>
                <w:szCs w:val="20"/>
                <w:color w:val="auto"/>
              </w:rPr>
            </w:pPr>
            <w:r>
              <w:rPr>
                <w:rFonts w:ascii="Calibri" w:cs="Calibri" w:eastAsia="Calibri" w:hAnsi="Calibri"/>
                <w:sz w:val="17"/>
                <w:szCs w:val="17"/>
                <w:color w:val="auto"/>
              </w:rPr>
              <w:t>Accountng principles generally accepted in the United States of America.</w:t>
            </w:r>
          </w:p>
        </w:tc>
      </w:tr>
      <w:tr>
        <w:trPr>
          <w:trHeight w:val="117"/>
        </w:trPr>
        <w:tc>
          <w:tcPr>
            <w:tcW w:w="1940" w:type="dxa"/>
            <w:vAlign w:val="bottom"/>
          </w:tcPr>
          <w:p>
            <w:pPr>
              <w:spacing w:after="0"/>
              <w:rPr>
                <w:sz w:val="10"/>
                <w:szCs w:val="10"/>
                <w:color w:val="auto"/>
              </w:rPr>
            </w:pPr>
          </w:p>
        </w:tc>
        <w:tc>
          <w:tcPr>
            <w:tcW w:w="9300" w:type="dxa"/>
            <w:vAlign w:val="bottom"/>
          </w:tcPr>
          <w:p>
            <w:pPr>
              <w:spacing w:after="0"/>
              <w:rPr>
                <w:sz w:val="10"/>
                <w:szCs w:val="10"/>
                <w:color w:val="auto"/>
              </w:rPr>
            </w:pPr>
          </w:p>
        </w:tc>
      </w:tr>
      <w:tr>
        <w:trPr>
          <w:trHeight w:val="205"/>
        </w:trPr>
        <w:tc>
          <w:tcPr>
            <w:tcW w:w="194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Ginnie Mae</w:t>
            </w:r>
          </w:p>
        </w:tc>
        <w:tc>
          <w:tcPr>
            <w:tcW w:w="9300" w:type="dxa"/>
            <w:vAlign w:val="bottom"/>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The Government Natonal Mortgage Administraton.</w:t>
            </w:r>
          </w:p>
        </w:tc>
      </w:tr>
      <w:tr>
        <w:trPr>
          <w:trHeight w:val="117"/>
        </w:trPr>
        <w:tc>
          <w:tcPr>
            <w:tcW w:w="1940" w:type="dxa"/>
            <w:vAlign w:val="bottom"/>
            <w:shd w:val="clear" w:color="auto" w:fill="E6ECFF"/>
          </w:tcPr>
          <w:p>
            <w:pPr>
              <w:spacing w:after="0"/>
              <w:rPr>
                <w:sz w:val="10"/>
                <w:szCs w:val="10"/>
                <w:color w:val="auto"/>
              </w:rPr>
            </w:pPr>
          </w:p>
        </w:tc>
        <w:tc>
          <w:tcPr>
            <w:tcW w:w="9300" w:type="dxa"/>
            <w:vAlign w:val="bottom"/>
            <w:shd w:val="clear" w:color="auto" w:fill="E6ECFF"/>
          </w:tcPr>
          <w:p>
            <w:pPr>
              <w:spacing w:after="0"/>
              <w:rPr>
                <w:sz w:val="10"/>
                <w:szCs w:val="10"/>
                <w:color w:val="auto"/>
              </w:rPr>
            </w:pPr>
          </w:p>
        </w:tc>
      </w:tr>
      <w:tr>
        <w:trPr>
          <w:trHeight w:val="172"/>
        </w:trPr>
        <w:tc>
          <w:tcPr>
            <w:tcW w:w="1940" w:type="dxa"/>
            <w:vAlign w:val="bottom"/>
          </w:tcPr>
          <w:p>
            <w:pPr>
              <w:ind w:left="20"/>
              <w:spacing w:after="0" w:line="173" w:lineRule="exact"/>
              <w:rPr>
                <w:sz w:val="20"/>
                <w:szCs w:val="20"/>
                <w:color w:val="auto"/>
              </w:rPr>
            </w:pPr>
            <w:r>
              <w:rPr>
                <w:rFonts w:ascii="Calibri" w:cs="Calibri" w:eastAsia="Calibri" w:hAnsi="Calibri"/>
                <w:sz w:val="17"/>
                <w:szCs w:val="17"/>
                <w:b w:val="1"/>
                <w:bCs w:val="1"/>
                <w:color w:val="1C4787"/>
              </w:rPr>
              <w:t>GSE</w:t>
            </w:r>
          </w:p>
        </w:tc>
        <w:tc>
          <w:tcPr>
            <w:tcW w:w="9300" w:type="dxa"/>
            <w:vAlign w:val="bottom"/>
          </w:tcPr>
          <w:p>
            <w:pPr>
              <w:ind w:left="400"/>
              <w:spacing w:after="0" w:line="173" w:lineRule="exact"/>
              <w:rPr>
                <w:sz w:val="20"/>
                <w:szCs w:val="20"/>
                <w:color w:val="auto"/>
              </w:rPr>
            </w:pPr>
            <w:r>
              <w:rPr>
                <w:rFonts w:ascii="Calibri" w:cs="Calibri" w:eastAsia="Calibri" w:hAnsi="Calibri"/>
                <w:sz w:val="17"/>
                <w:szCs w:val="17"/>
                <w:color w:val="auto"/>
              </w:rPr>
              <w:t>A U.S. Government Sponsored Entty. Obligatons of agencies originally established or chartered by the U.S. government to serve</w:t>
            </w:r>
          </w:p>
        </w:tc>
      </w:tr>
      <w:tr>
        <w:trPr>
          <w:trHeight w:val="168"/>
        </w:trPr>
        <w:tc>
          <w:tcPr>
            <w:tcW w:w="1940" w:type="dxa"/>
            <w:vAlign w:val="bottom"/>
          </w:tcPr>
          <w:p>
            <w:pPr>
              <w:spacing w:after="0"/>
              <w:rPr>
                <w:sz w:val="14"/>
                <w:szCs w:val="14"/>
                <w:color w:val="auto"/>
              </w:rPr>
            </w:pPr>
          </w:p>
        </w:tc>
        <w:tc>
          <w:tcPr>
            <w:tcW w:w="9300" w:type="dxa"/>
            <w:vAlign w:val="bottom"/>
          </w:tcPr>
          <w:p>
            <w:pPr>
              <w:ind w:left="400"/>
              <w:spacing w:after="0" w:line="167" w:lineRule="exact"/>
              <w:rPr>
                <w:sz w:val="20"/>
                <w:szCs w:val="20"/>
                <w:color w:val="auto"/>
              </w:rPr>
            </w:pPr>
            <w:r>
              <w:rPr>
                <w:rFonts w:ascii="Calibri" w:cs="Calibri" w:eastAsia="Calibri" w:hAnsi="Calibri"/>
                <w:sz w:val="17"/>
                <w:szCs w:val="17"/>
                <w:color w:val="auto"/>
              </w:rPr>
              <w:t>public purposes as specifed by the U.S. Congress; these obligatons are not explicitly guaranteed as to the tmely payment of</w:t>
            </w:r>
          </w:p>
        </w:tc>
      </w:tr>
      <w:tr>
        <w:trPr>
          <w:trHeight w:val="205"/>
        </w:trPr>
        <w:tc>
          <w:tcPr>
            <w:tcW w:w="1940" w:type="dxa"/>
            <w:vAlign w:val="bottom"/>
          </w:tcPr>
          <w:p>
            <w:pPr>
              <w:spacing w:after="0"/>
              <w:rPr>
                <w:sz w:val="17"/>
                <w:szCs w:val="17"/>
                <w:color w:val="auto"/>
              </w:rPr>
            </w:pPr>
          </w:p>
        </w:tc>
        <w:tc>
          <w:tcPr>
            <w:tcW w:w="9300" w:type="dxa"/>
            <w:vAlign w:val="bottom"/>
          </w:tcPr>
          <w:p>
            <w:pPr>
              <w:ind w:left="400"/>
              <w:spacing w:after="0" w:line="205" w:lineRule="exact"/>
              <w:rPr>
                <w:sz w:val="20"/>
                <w:szCs w:val="20"/>
                <w:color w:val="auto"/>
              </w:rPr>
            </w:pPr>
            <w:r>
              <w:rPr>
                <w:rFonts w:ascii="Calibri" w:cs="Calibri" w:eastAsia="Calibri" w:hAnsi="Calibri"/>
                <w:sz w:val="17"/>
                <w:szCs w:val="17"/>
                <w:color w:val="auto"/>
              </w:rPr>
              <w:t>principal and interest by the full faith and credit of the U.S. government.</w:t>
            </w:r>
          </w:p>
        </w:tc>
      </w:tr>
      <w:tr>
        <w:trPr>
          <w:trHeight w:val="126"/>
        </w:trPr>
        <w:tc>
          <w:tcPr>
            <w:tcW w:w="1940" w:type="dxa"/>
            <w:vAlign w:val="bottom"/>
          </w:tcPr>
          <w:p>
            <w:pPr>
              <w:spacing w:after="0"/>
              <w:rPr>
                <w:sz w:val="10"/>
                <w:szCs w:val="10"/>
                <w:color w:val="auto"/>
              </w:rPr>
            </w:pPr>
          </w:p>
        </w:tc>
        <w:tc>
          <w:tcPr>
            <w:tcW w:w="9300" w:type="dxa"/>
            <w:vAlign w:val="bottom"/>
          </w:tcPr>
          <w:p>
            <w:pPr>
              <w:spacing w:after="0"/>
              <w:rPr>
                <w:sz w:val="10"/>
                <w:szCs w:val="10"/>
                <w:color w:val="auto"/>
              </w:rPr>
            </w:pPr>
          </w:p>
        </w:tc>
      </w:tr>
      <w:tr>
        <w:trPr>
          <w:trHeight w:val="172"/>
        </w:trPr>
        <w:tc>
          <w:tcPr>
            <w:tcW w:w="1940" w:type="dxa"/>
            <w:vAlign w:val="bottom"/>
            <w:shd w:val="clear" w:color="auto" w:fill="E6ECFF"/>
          </w:tcPr>
          <w:p>
            <w:pPr>
              <w:ind w:left="20"/>
              <w:spacing w:after="0" w:line="173" w:lineRule="exact"/>
              <w:rPr>
                <w:sz w:val="20"/>
                <w:szCs w:val="20"/>
                <w:color w:val="auto"/>
              </w:rPr>
            </w:pPr>
            <w:r>
              <w:rPr>
                <w:rFonts w:ascii="Calibri" w:cs="Calibri" w:eastAsia="Calibri" w:hAnsi="Calibri"/>
                <w:sz w:val="17"/>
                <w:szCs w:val="17"/>
                <w:b w:val="1"/>
                <w:bCs w:val="1"/>
                <w:color w:val="1C4787"/>
              </w:rPr>
              <w:t>Haircut</w:t>
            </w:r>
          </w:p>
        </w:tc>
        <w:tc>
          <w:tcPr>
            <w:tcW w:w="9300" w:type="dxa"/>
            <w:vAlign w:val="bottom"/>
            <w:shd w:val="clear" w:color="auto" w:fill="E6ECFF"/>
          </w:tcPr>
          <w:p>
            <w:pPr>
              <w:ind w:left="400"/>
              <w:spacing w:after="0" w:line="173" w:lineRule="exact"/>
              <w:rPr>
                <w:sz w:val="20"/>
                <w:szCs w:val="20"/>
                <w:color w:val="auto"/>
              </w:rPr>
            </w:pPr>
            <w:r>
              <w:rPr>
                <w:rFonts w:ascii="Calibri" w:cs="Calibri" w:eastAsia="Calibri" w:hAnsi="Calibri"/>
                <w:sz w:val="17"/>
                <w:szCs w:val="17"/>
                <w:color w:val="auto"/>
                <w:w w:val="98"/>
              </w:rPr>
              <w:t>The weighted average margin requirement, or the percentage amount by which the collateral value must exceed the loan amount.</w:t>
            </w:r>
          </w:p>
        </w:tc>
      </w:tr>
      <w:tr>
        <w:trPr>
          <w:trHeight w:val="205"/>
        </w:trPr>
        <w:tc>
          <w:tcPr>
            <w:tcW w:w="1940" w:type="dxa"/>
            <w:vAlign w:val="bottom"/>
            <w:shd w:val="clear" w:color="auto" w:fill="E6ECFF"/>
          </w:tcPr>
          <w:p>
            <w:pPr>
              <w:spacing w:after="0"/>
              <w:rPr>
                <w:sz w:val="17"/>
                <w:szCs w:val="17"/>
                <w:color w:val="auto"/>
              </w:rPr>
            </w:pPr>
          </w:p>
        </w:tc>
        <w:tc>
          <w:tcPr>
            <w:tcW w:w="9300" w:type="dxa"/>
            <w:vAlign w:val="bottom"/>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Among other things, it is a measure of our unsecured credit risk to our lenders.</w:t>
            </w:r>
          </w:p>
        </w:tc>
      </w:tr>
      <w:tr>
        <w:trPr>
          <w:trHeight w:val="126"/>
        </w:trPr>
        <w:tc>
          <w:tcPr>
            <w:tcW w:w="1940" w:type="dxa"/>
            <w:vAlign w:val="bottom"/>
            <w:shd w:val="clear" w:color="auto" w:fill="E6ECFF"/>
          </w:tcPr>
          <w:p>
            <w:pPr>
              <w:spacing w:after="0"/>
              <w:rPr>
                <w:sz w:val="10"/>
                <w:szCs w:val="10"/>
                <w:color w:val="auto"/>
              </w:rPr>
            </w:pPr>
          </w:p>
        </w:tc>
        <w:tc>
          <w:tcPr>
            <w:tcW w:w="9300" w:type="dxa"/>
            <w:vAlign w:val="bottom"/>
            <w:shd w:val="clear" w:color="auto" w:fill="E6ECFF"/>
          </w:tcPr>
          <w:p>
            <w:pPr>
              <w:spacing w:after="0"/>
              <w:rPr>
                <w:sz w:val="10"/>
                <w:szCs w:val="10"/>
                <w:color w:val="auto"/>
              </w:rPr>
            </w:pPr>
          </w:p>
        </w:tc>
      </w:tr>
      <w:tr>
        <w:trPr>
          <w:trHeight w:val="205"/>
        </w:trPr>
        <w:tc>
          <w:tcPr>
            <w:tcW w:w="194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1C4787"/>
              </w:rPr>
              <w:t>Hybrid</w:t>
            </w:r>
          </w:p>
        </w:tc>
        <w:tc>
          <w:tcPr>
            <w:tcW w:w="9300" w:type="dxa"/>
            <w:vAlign w:val="bottom"/>
          </w:tcPr>
          <w:p>
            <w:pPr>
              <w:ind w:left="400"/>
              <w:spacing w:after="0" w:line="205" w:lineRule="exact"/>
              <w:rPr>
                <w:sz w:val="20"/>
                <w:szCs w:val="20"/>
                <w:color w:val="auto"/>
              </w:rPr>
            </w:pPr>
            <w:r>
              <w:rPr>
                <w:rFonts w:ascii="Calibri" w:cs="Calibri" w:eastAsia="Calibri" w:hAnsi="Calibri"/>
                <w:sz w:val="17"/>
                <w:szCs w:val="17"/>
                <w:color w:val="auto"/>
              </w:rPr>
              <w:t>A mortgage that has a fxed rate for an inital term afer which the rate becomes adjustable according to a specifc schedule.</w:t>
            </w:r>
          </w:p>
        </w:tc>
      </w:tr>
      <w:tr>
        <w:trPr>
          <w:trHeight w:val="117"/>
        </w:trPr>
        <w:tc>
          <w:tcPr>
            <w:tcW w:w="1940" w:type="dxa"/>
            <w:vAlign w:val="bottom"/>
          </w:tcPr>
          <w:p>
            <w:pPr>
              <w:spacing w:after="0"/>
              <w:rPr>
                <w:sz w:val="10"/>
                <w:szCs w:val="10"/>
                <w:color w:val="auto"/>
              </w:rPr>
            </w:pPr>
          </w:p>
        </w:tc>
        <w:tc>
          <w:tcPr>
            <w:tcW w:w="9300" w:type="dxa"/>
            <w:vAlign w:val="bottom"/>
          </w:tcPr>
          <w:p>
            <w:pPr>
              <w:spacing w:after="0"/>
              <w:rPr>
                <w:sz w:val="10"/>
                <w:szCs w:val="10"/>
                <w:color w:val="auto"/>
              </w:rPr>
            </w:pPr>
          </w:p>
        </w:tc>
      </w:tr>
      <w:tr>
        <w:trPr>
          <w:trHeight w:val="205"/>
        </w:trPr>
        <w:tc>
          <w:tcPr>
            <w:tcW w:w="194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IRS</w:t>
            </w:r>
          </w:p>
        </w:tc>
        <w:tc>
          <w:tcPr>
            <w:tcW w:w="9300" w:type="dxa"/>
            <w:vAlign w:val="bottom"/>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The Internal Revenue Service.</w:t>
            </w:r>
          </w:p>
        </w:tc>
      </w:tr>
      <w:tr>
        <w:trPr>
          <w:trHeight w:val="117"/>
        </w:trPr>
        <w:tc>
          <w:tcPr>
            <w:tcW w:w="1940" w:type="dxa"/>
            <w:vAlign w:val="bottom"/>
            <w:shd w:val="clear" w:color="auto" w:fill="E6ECFF"/>
          </w:tcPr>
          <w:p>
            <w:pPr>
              <w:spacing w:after="0"/>
              <w:rPr>
                <w:sz w:val="10"/>
                <w:szCs w:val="10"/>
                <w:color w:val="auto"/>
              </w:rPr>
            </w:pPr>
          </w:p>
        </w:tc>
        <w:tc>
          <w:tcPr>
            <w:tcW w:w="9300" w:type="dxa"/>
            <w:vAlign w:val="bottom"/>
            <w:shd w:val="clear" w:color="auto" w:fill="E6ECFF"/>
          </w:tcPr>
          <w:p>
            <w:pPr>
              <w:spacing w:after="0"/>
              <w:rPr>
                <w:sz w:val="10"/>
                <w:szCs w:val="10"/>
                <w:color w:val="auto"/>
              </w:rPr>
            </w:pPr>
          </w:p>
        </w:tc>
      </w:tr>
      <w:tr>
        <w:trPr>
          <w:trHeight w:val="205"/>
        </w:trPr>
        <w:tc>
          <w:tcPr>
            <w:tcW w:w="194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1C4787"/>
              </w:rPr>
              <w:t>ISDA</w:t>
            </w:r>
          </w:p>
        </w:tc>
        <w:tc>
          <w:tcPr>
            <w:tcW w:w="9300" w:type="dxa"/>
            <w:vAlign w:val="bottom"/>
          </w:tcPr>
          <w:p>
            <w:pPr>
              <w:ind w:left="400"/>
              <w:spacing w:after="0" w:line="205" w:lineRule="exact"/>
              <w:rPr>
                <w:sz w:val="20"/>
                <w:szCs w:val="20"/>
                <w:color w:val="auto"/>
              </w:rPr>
            </w:pPr>
            <w:r>
              <w:rPr>
                <w:rFonts w:ascii="Calibri" w:cs="Calibri" w:eastAsia="Calibri" w:hAnsi="Calibri"/>
                <w:sz w:val="17"/>
                <w:szCs w:val="17"/>
                <w:color w:val="auto"/>
              </w:rPr>
              <w:t>Internatonal Swaps and Derivatves Associaton.</w:t>
            </w:r>
          </w:p>
        </w:tc>
      </w:tr>
      <w:tr>
        <w:trPr>
          <w:trHeight w:val="117"/>
        </w:trPr>
        <w:tc>
          <w:tcPr>
            <w:tcW w:w="1940" w:type="dxa"/>
            <w:vAlign w:val="bottom"/>
          </w:tcPr>
          <w:p>
            <w:pPr>
              <w:spacing w:after="0"/>
              <w:rPr>
                <w:sz w:val="10"/>
                <w:szCs w:val="10"/>
                <w:color w:val="auto"/>
              </w:rPr>
            </w:pPr>
          </w:p>
        </w:tc>
        <w:tc>
          <w:tcPr>
            <w:tcW w:w="9300" w:type="dxa"/>
            <w:vAlign w:val="bottom"/>
          </w:tcPr>
          <w:p>
            <w:pPr>
              <w:spacing w:after="0"/>
              <w:rPr>
                <w:sz w:val="10"/>
                <w:szCs w:val="10"/>
                <w:color w:val="auto"/>
              </w:rPr>
            </w:pPr>
          </w:p>
        </w:tc>
      </w:tr>
      <w:tr>
        <w:trPr>
          <w:trHeight w:val="172"/>
        </w:trPr>
        <w:tc>
          <w:tcPr>
            <w:tcW w:w="1940" w:type="dxa"/>
            <w:vAlign w:val="bottom"/>
            <w:shd w:val="clear" w:color="auto" w:fill="E6ECFF"/>
          </w:tcPr>
          <w:p>
            <w:pPr>
              <w:ind w:left="20"/>
              <w:spacing w:after="0" w:line="173" w:lineRule="exact"/>
              <w:rPr>
                <w:sz w:val="20"/>
                <w:szCs w:val="20"/>
                <w:color w:val="auto"/>
              </w:rPr>
            </w:pPr>
            <w:r>
              <w:rPr>
                <w:rFonts w:ascii="Calibri" w:cs="Calibri" w:eastAsia="Calibri" w:hAnsi="Calibri"/>
                <w:sz w:val="17"/>
                <w:szCs w:val="17"/>
                <w:b w:val="1"/>
                <w:bCs w:val="1"/>
                <w:color w:val="1C4787"/>
              </w:rPr>
              <w:t>JAVELIN</w:t>
            </w:r>
          </w:p>
        </w:tc>
        <w:tc>
          <w:tcPr>
            <w:tcW w:w="9300" w:type="dxa"/>
            <w:vAlign w:val="bottom"/>
            <w:shd w:val="clear" w:color="auto" w:fill="E6ECFF"/>
          </w:tcPr>
          <w:p>
            <w:pPr>
              <w:ind w:left="400"/>
              <w:spacing w:after="0" w:line="173" w:lineRule="exact"/>
              <w:rPr>
                <w:sz w:val="20"/>
                <w:szCs w:val="20"/>
                <w:color w:val="auto"/>
              </w:rPr>
            </w:pPr>
            <w:r>
              <w:rPr>
                <w:rFonts w:ascii="Calibri" w:cs="Calibri" w:eastAsia="Calibri" w:hAnsi="Calibri"/>
                <w:sz w:val="17"/>
                <w:szCs w:val="17"/>
                <w:color w:val="auto"/>
              </w:rPr>
              <w:t>JAVELIN Mortgage Investment Corp., formerly a publicly-traded REIT. Since its acquisiton on April 6, 2016, JAVELIN became a</w:t>
            </w:r>
          </w:p>
        </w:tc>
      </w:tr>
      <w:tr>
        <w:trPr>
          <w:trHeight w:val="168"/>
        </w:trPr>
        <w:tc>
          <w:tcPr>
            <w:tcW w:w="1940" w:type="dxa"/>
            <w:vAlign w:val="bottom"/>
            <w:shd w:val="clear" w:color="auto" w:fill="E6ECFF"/>
          </w:tcPr>
          <w:p>
            <w:pPr>
              <w:spacing w:after="0"/>
              <w:rPr>
                <w:sz w:val="14"/>
                <w:szCs w:val="14"/>
                <w:color w:val="auto"/>
              </w:rPr>
            </w:pPr>
          </w:p>
        </w:tc>
        <w:tc>
          <w:tcPr>
            <w:tcW w:w="9300" w:type="dxa"/>
            <w:vAlign w:val="bottom"/>
            <w:shd w:val="clear" w:color="auto" w:fill="E6ECFF"/>
          </w:tcPr>
          <w:p>
            <w:pPr>
              <w:ind w:left="400"/>
              <w:spacing w:after="0" w:line="167" w:lineRule="exact"/>
              <w:rPr>
                <w:sz w:val="20"/>
                <w:szCs w:val="20"/>
                <w:color w:val="auto"/>
              </w:rPr>
            </w:pPr>
            <w:r>
              <w:rPr>
                <w:rFonts w:ascii="Calibri" w:cs="Calibri" w:eastAsia="Calibri" w:hAnsi="Calibri"/>
                <w:sz w:val="17"/>
                <w:szCs w:val="17"/>
                <w:color w:val="auto"/>
              </w:rPr>
              <w:t>wholly-owned, qualifed REIT subsidiary of ARMOUR and contnues to be managed by ACM pursuant to the pre-existng</w:t>
            </w:r>
          </w:p>
        </w:tc>
      </w:tr>
      <w:tr>
        <w:trPr>
          <w:trHeight w:val="205"/>
        </w:trPr>
        <w:tc>
          <w:tcPr>
            <w:tcW w:w="1940" w:type="dxa"/>
            <w:vAlign w:val="bottom"/>
            <w:shd w:val="clear" w:color="auto" w:fill="E6ECFF"/>
          </w:tcPr>
          <w:p>
            <w:pPr>
              <w:spacing w:after="0"/>
              <w:rPr>
                <w:sz w:val="17"/>
                <w:szCs w:val="17"/>
                <w:color w:val="auto"/>
              </w:rPr>
            </w:pPr>
          </w:p>
        </w:tc>
        <w:tc>
          <w:tcPr>
            <w:tcW w:w="9300" w:type="dxa"/>
            <w:vAlign w:val="bottom"/>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management agreement between JAVELIN and ACM.</w:t>
            </w:r>
          </w:p>
        </w:tc>
      </w:tr>
      <w:tr>
        <w:trPr>
          <w:trHeight w:val="126"/>
        </w:trPr>
        <w:tc>
          <w:tcPr>
            <w:tcW w:w="1940" w:type="dxa"/>
            <w:vAlign w:val="bottom"/>
            <w:shd w:val="clear" w:color="auto" w:fill="E6ECFF"/>
          </w:tcPr>
          <w:p>
            <w:pPr>
              <w:spacing w:after="0"/>
              <w:rPr>
                <w:sz w:val="10"/>
                <w:szCs w:val="10"/>
                <w:color w:val="auto"/>
              </w:rPr>
            </w:pPr>
          </w:p>
        </w:tc>
        <w:tc>
          <w:tcPr>
            <w:tcW w:w="9300" w:type="dxa"/>
            <w:vAlign w:val="bottom"/>
            <w:shd w:val="clear" w:color="auto" w:fill="E6ECFF"/>
          </w:tcPr>
          <w:p>
            <w:pPr>
              <w:spacing w:after="0"/>
              <w:rPr>
                <w:sz w:val="10"/>
                <w:szCs w:val="10"/>
                <w:color w:val="auto"/>
              </w:rPr>
            </w:pPr>
          </w:p>
        </w:tc>
      </w:tr>
      <w:tr>
        <w:trPr>
          <w:trHeight w:val="172"/>
        </w:trPr>
        <w:tc>
          <w:tcPr>
            <w:tcW w:w="1940" w:type="dxa"/>
            <w:vAlign w:val="bottom"/>
          </w:tcPr>
          <w:p>
            <w:pPr>
              <w:ind w:left="20"/>
              <w:spacing w:after="0" w:line="173" w:lineRule="exact"/>
              <w:rPr>
                <w:sz w:val="20"/>
                <w:szCs w:val="20"/>
                <w:color w:val="auto"/>
              </w:rPr>
            </w:pPr>
            <w:r>
              <w:rPr>
                <w:rFonts w:ascii="Calibri" w:cs="Calibri" w:eastAsia="Calibri" w:hAnsi="Calibri"/>
                <w:sz w:val="17"/>
                <w:szCs w:val="17"/>
                <w:b w:val="1"/>
                <w:bCs w:val="1"/>
                <w:color w:val="1C4787"/>
              </w:rPr>
              <w:t>MBS</w:t>
            </w:r>
          </w:p>
        </w:tc>
        <w:tc>
          <w:tcPr>
            <w:tcW w:w="9300" w:type="dxa"/>
            <w:vAlign w:val="bottom"/>
          </w:tcPr>
          <w:p>
            <w:pPr>
              <w:ind w:left="400"/>
              <w:spacing w:after="0" w:line="173" w:lineRule="exact"/>
              <w:rPr>
                <w:sz w:val="20"/>
                <w:szCs w:val="20"/>
                <w:color w:val="auto"/>
              </w:rPr>
            </w:pPr>
            <w:r>
              <w:rPr>
                <w:rFonts w:ascii="Calibri" w:cs="Calibri" w:eastAsia="Calibri" w:hAnsi="Calibri"/>
                <w:sz w:val="17"/>
                <w:szCs w:val="17"/>
                <w:color w:val="auto"/>
              </w:rPr>
              <w:t>Mortgage backed securites. A security representng a direct interest in a pool of mortgage loans. The pass-through issuer or</w:t>
            </w:r>
          </w:p>
        </w:tc>
      </w:tr>
      <w:tr>
        <w:trPr>
          <w:trHeight w:val="168"/>
        </w:trPr>
        <w:tc>
          <w:tcPr>
            <w:tcW w:w="1940" w:type="dxa"/>
            <w:vAlign w:val="bottom"/>
          </w:tcPr>
          <w:p>
            <w:pPr>
              <w:spacing w:after="0"/>
              <w:rPr>
                <w:sz w:val="14"/>
                <w:szCs w:val="14"/>
                <w:color w:val="auto"/>
              </w:rPr>
            </w:pPr>
          </w:p>
        </w:tc>
        <w:tc>
          <w:tcPr>
            <w:tcW w:w="9300" w:type="dxa"/>
            <w:vAlign w:val="bottom"/>
          </w:tcPr>
          <w:p>
            <w:pPr>
              <w:ind w:left="400"/>
              <w:spacing w:after="0" w:line="167" w:lineRule="exact"/>
              <w:rPr>
                <w:sz w:val="20"/>
                <w:szCs w:val="20"/>
                <w:color w:val="auto"/>
              </w:rPr>
            </w:pPr>
            <w:r>
              <w:rPr>
                <w:rFonts w:ascii="Calibri" w:cs="Calibri" w:eastAsia="Calibri" w:hAnsi="Calibri"/>
                <w:sz w:val="17"/>
                <w:szCs w:val="17"/>
                <w:color w:val="auto"/>
                <w:w w:val="98"/>
              </w:rPr>
              <w:t>servicer collects the payments on the loans in the pool and “passes through” the principal and interest to the security holders on a</w:t>
            </w:r>
          </w:p>
        </w:tc>
      </w:tr>
      <w:tr>
        <w:trPr>
          <w:trHeight w:val="205"/>
        </w:trPr>
        <w:tc>
          <w:tcPr>
            <w:tcW w:w="1940" w:type="dxa"/>
            <w:vAlign w:val="bottom"/>
          </w:tcPr>
          <w:p>
            <w:pPr>
              <w:spacing w:after="0"/>
              <w:rPr>
                <w:sz w:val="17"/>
                <w:szCs w:val="17"/>
                <w:color w:val="auto"/>
              </w:rPr>
            </w:pPr>
          </w:p>
        </w:tc>
        <w:tc>
          <w:tcPr>
            <w:tcW w:w="9300" w:type="dxa"/>
            <w:vAlign w:val="bottom"/>
          </w:tcPr>
          <w:p>
            <w:pPr>
              <w:ind w:left="400"/>
              <w:spacing w:after="0" w:line="205" w:lineRule="exact"/>
              <w:rPr>
                <w:sz w:val="20"/>
                <w:szCs w:val="20"/>
                <w:color w:val="auto"/>
              </w:rPr>
            </w:pPr>
            <w:r>
              <w:rPr>
                <w:rFonts w:ascii="Calibri" w:cs="Calibri" w:eastAsia="Calibri" w:hAnsi="Calibri"/>
                <w:sz w:val="17"/>
                <w:szCs w:val="17"/>
                <w:color w:val="auto"/>
              </w:rPr>
              <w:t>pro rata basis.</w:t>
            </w:r>
          </w:p>
        </w:tc>
      </w:tr>
      <w:tr>
        <w:trPr>
          <w:trHeight w:val="126"/>
        </w:trPr>
        <w:tc>
          <w:tcPr>
            <w:tcW w:w="1940" w:type="dxa"/>
            <w:vAlign w:val="bottom"/>
          </w:tcPr>
          <w:p>
            <w:pPr>
              <w:spacing w:after="0"/>
              <w:rPr>
                <w:sz w:val="10"/>
                <w:szCs w:val="10"/>
                <w:color w:val="auto"/>
              </w:rPr>
            </w:pPr>
          </w:p>
        </w:tc>
        <w:tc>
          <w:tcPr>
            <w:tcW w:w="9300" w:type="dxa"/>
            <w:vAlign w:val="bottom"/>
          </w:tcPr>
          <w:p>
            <w:pPr>
              <w:spacing w:after="0"/>
              <w:rPr>
                <w:sz w:val="10"/>
                <w:szCs w:val="10"/>
                <w:color w:val="auto"/>
              </w:rPr>
            </w:pPr>
          </w:p>
        </w:tc>
      </w:tr>
      <w:tr>
        <w:trPr>
          <w:trHeight w:val="205"/>
        </w:trPr>
        <w:tc>
          <w:tcPr>
            <w:tcW w:w="194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MGCL</w:t>
            </w:r>
          </w:p>
        </w:tc>
        <w:tc>
          <w:tcPr>
            <w:tcW w:w="9300" w:type="dxa"/>
            <w:vAlign w:val="bottom"/>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Maryland General Corporaton Law.</w:t>
            </w:r>
          </w:p>
        </w:tc>
      </w:tr>
      <w:tr>
        <w:trPr>
          <w:trHeight w:val="117"/>
        </w:trPr>
        <w:tc>
          <w:tcPr>
            <w:tcW w:w="1940" w:type="dxa"/>
            <w:vAlign w:val="bottom"/>
            <w:shd w:val="clear" w:color="auto" w:fill="E6ECFF"/>
          </w:tcPr>
          <w:p>
            <w:pPr>
              <w:spacing w:after="0"/>
              <w:rPr>
                <w:sz w:val="10"/>
                <w:szCs w:val="10"/>
                <w:color w:val="auto"/>
              </w:rPr>
            </w:pPr>
          </w:p>
        </w:tc>
        <w:tc>
          <w:tcPr>
            <w:tcW w:w="9300" w:type="dxa"/>
            <w:vAlign w:val="bottom"/>
            <w:shd w:val="clear" w:color="auto" w:fill="E6ECFF"/>
          </w:tcPr>
          <w:p>
            <w:pPr>
              <w:spacing w:after="0"/>
              <w:rPr>
                <w:sz w:val="10"/>
                <w:szCs w:val="10"/>
                <w:color w:val="auto"/>
              </w:rPr>
            </w:pPr>
          </w:p>
        </w:tc>
      </w:tr>
      <w:tr>
        <w:trPr>
          <w:trHeight w:val="172"/>
        </w:trPr>
        <w:tc>
          <w:tcPr>
            <w:tcW w:w="1940" w:type="dxa"/>
            <w:vAlign w:val="bottom"/>
          </w:tcPr>
          <w:p>
            <w:pPr>
              <w:ind w:left="20"/>
              <w:spacing w:after="0" w:line="173" w:lineRule="exact"/>
              <w:rPr>
                <w:sz w:val="20"/>
                <w:szCs w:val="20"/>
                <w:color w:val="auto"/>
              </w:rPr>
            </w:pPr>
            <w:r>
              <w:rPr>
                <w:rFonts w:ascii="Calibri" w:cs="Calibri" w:eastAsia="Calibri" w:hAnsi="Calibri"/>
                <w:sz w:val="17"/>
                <w:szCs w:val="17"/>
                <w:b w:val="1"/>
                <w:bCs w:val="1"/>
                <w:color w:val="1C4787"/>
              </w:rPr>
              <w:t>MRA</w:t>
            </w:r>
          </w:p>
        </w:tc>
        <w:tc>
          <w:tcPr>
            <w:tcW w:w="9300" w:type="dxa"/>
            <w:vAlign w:val="bottom"/>
          </w:tcPr>
          <w:p>
            <w:pPr>
              <w:ind w:left="400"/>
              <w:spacing w:after="0" w:line="173" w:lineRule="exact"/>
              <w:rPr>
                <w:sz w:val="20"/>
                <w:szCs w:val="20"/>
                <w:color w:val="auto"/>
              </w:rPr>
            </w:pPr>
            <w:r>
              <w:rPr>
                <w:rFonts w:ascii="Calibri" w:cs="Calibri" w:eastAsia="Calibri" w:hAnsi="Calibri"/>
                <w:sz w:val="17"/>
                <w:szCs w:val="17"/>
                <w:color w:val="auto"/>
                <w:w w:val="98"/>
              </w:rPr>
              <w:t>Master repurchase agreement. A document that outlines standard terms between the Company and counterpartes for repurchase</w:t>
            </w:r>
          </w:p>
        </w:tc>
      </w:tr>
      <w:tr>
        <w:trPr>
          <w:trHeight w:val="205"/>
        </w:trPr>
        <w:tc>
          <w:tcPr>
            <w:tcW w:w="1940" w:type="dxa"/>
            <w:vAlign w:val="bottom"/>
          </w:tcPr>
          <w:p>
            <w:pPr>
              <w:spacing w:after="0"/>
              <w:rPr>
                <w:sz w:val="17"/>
                <w:szCs w:val="17"/>
                <w:color w:val="auto"/>
              </w:rPr>
            </w:pPr>
          </w:p>
        </w:tc>
        <w:tc>
          <w:tcPr>
            <w:tcW w:w="9300" w:type="dxa"/>
            <w:vAlign w:val="bottom"/>
          </w:tcPr>
          <w:p>
            <w:pPr>
              <w:ind w:left="400"/>
              <w:spacing w:after="0" w:line="205" w:lineRule="exact"/>
              <w:rPr>
                <w:sz w:val="20"/>
                <w:szCs w:val="20"/>
                <w:color w:val="auto"/>
              </w:rPr>
            </w:pPr>
            <w:r>
              <w:rPr>
                <w:rFonts w:ascii="Calibri" w:cs="Calibri" w:eastAsia="Calibri" w:hAnsi="Calibri"/>
                <w:sz w:val="17"/>
                <w:szCs w:val="17"/>
                <w:color w:val="auto"/>
              </w:rPr>
              <w:t>agreement transactons.</w:t>
            </w:r>
          </w:p>
        </w:tc>
      </w:tr>
      <w:tr>
        <w:trPr>
          <w:trHeight w:val="126"/>
        </w:trPr>
        <w:tc>
          <w:tcPr>
            <w:tcW w:w="1940" w:type="dxa"/>
            <w:vAlign w:val="bottom"/>
          </w:tcPr>
          <w:p>
            <w:pPr>
              <w:spacing w:after="0"/>
              <w:rPr>
                <w:sz w:val="10"/>
                <w:szCs w:val="10"/>
                <w:color w:val="auto"/>
              </w:rPr>
            </w:pPr>
          </w:p>
        </w:tc>
        <w:tc>
          <w:tcPr>
            <w:tcW w:w="9300" w:type="dxa"/>
            <w:vAlign w:val="bottom"/>
          </w:tcPr>
          <w:p>
            <w:pPr>
              <w:spacing w:after="0"/>
              <w:rPr>
                <w:sz w:val="10"/>
                <w:szCs w:val="10"/>
                <w:color w:val="auto"/>
              </w:rPr>
            </w:pPr>
          </w:p>
        </w:tc>
      </w:tr>
      <w:tr>
        <w:trPr>
          <w:trHeight w:val="205"/>
        </w:trPr>
        <w:tc>
          <w:tcPr>
            <w:tcW w:w="194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Mult-Family MBS</w:t>
            </w:r>
          </w:p>
        </w:tc>
        <w:tc>
          <w:tcPr>
            <w:tcW w:w="9300" w:type="dxa"/>
            <w:vAlign w:val="bottom"/>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MBS issued under Fannie Mae's Delegated Underwritng System (DUS) program.</w:t>
            </w:r>
          </w:p>
        </w:tc>
      </w:tr>
      <w:tr>
        <w:trPr>
          <w:trHeight w:val="117"/>
        </w:trPr>
        <w:tc>
          <w:tcPr>
            <w:tcW w:w="1940" w:type="dxa"/>
            <w:vAlign w:val="bottom"/>
            <w:shd w:val="clear" w:color="auto" w:fill="E6ECFF"/>
          </w:tcPr>
          <w:p>
            <w:pPr>
              <w:spacing w:after="0"/>
              <w:rPr>
                <w:sz w:val="10"/>
                <w:szCs w:val="10"/>
                <w:color w:val="auto"/>
              </w:rPr>
            </w:pPr>
          </w:p>
        </w:tc>
        <w:tc>
          <w:tcPr>
            <w:tcW w:w="9300" w:type="dxa"/>
            <w:vAlign w:val="bottom"/>
            <w:shd w:val="clear" w:color="auto" w:fill="E6ECFF"/>
          </w:tcPr>
          <w:p>
            <w:pPr>
              <w:spacing w:after="0"/>
              <w:rPr>
                <w:sz w:val="10"/>
                <w:szCs w:val="10"/>
                <w:color w:val="auto"/>
              </w:rPr>
            </w:pPr>
          </w:p>
        </w:tc>
      </w:tr>
      <w:tr>
        <w:trPr>
          <w:trHeight w:val="205"/>
        </w:trPr>
        <w:tc>
          <w:tcPr>
            <w:tcW w:w="194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1C4787"/>
              </w:rPr>
              <w:t>NYSE</w:t>
            </w:r>
          </w:p>
        </w:tc>
        <w:tc>
          <w:tcPr>
            <w:tcW w:w="9300" w:type="dxa"/>
            <w:vAlign w:val="bottom"/>
          </w:tcPr>
          <w:p>
            <w:pPr>
              <w:ind w:left="400"/>
              <w:spacing w:after="0" w:line="205" w:lineRule="exact"/>
              <w:rPr>
                <w:sz w:val="20"/>
                <w:szCs w:val="20"/>
                <w:color w:val="auto"/>
              </w:rPr>
            </w:pPr>
            <w:r>
              <w:rPr>
                <w:rFonts w:ascii="Calibri" w:cs="Calibri" w:eastAsia="Calibri" w:hAnsi="Calibri"/>
                <w:sz w:val="17"/>
                <w:szCs w:val="17"/>
                <w:color w:val="auto"/>
              </w:rPr>
              <w:t>New York Stock Exchange.</w:t>
            </w:r>
          </w:p>
        </w:tc>
      </w:tr>
      <w:tr>
        <w:trPr>
          <w:trHeight w:val="117"/>
        </w:trPr>
        <w:tc>
          <w:tcPr>
            <w:tcW w:w="1940" w:type="dxa"/>
            <w:vAlign w:val="bottom"/>
          </w:tcPr>
          <w:p>
            <w:pPr>
              <w:spacing w:after="0"/>
              <w:rPr>
                <w:sz w:val="10"/>
                <w:szCs w:val="10"/>
                <w:color w:val="auto"/>
              </w:rPr>
            </w:pPr>
          </w:p>
        </w:tc>
        <w:tc>
          <w:tcPr>
            <w:tcW w:w="9300" w:type="dxa"/>
            <w:vAlign w:val="bottom"/>
          </w:tcPr>
          <w:p>
            <w:pPr>
              <w:spacing w:after="0"/>
              <w:rPr>
                <w:sz w:val="10"/>
                <w:szCs w:val="10"/>
                <w:color w:val="auto"/>
              </w:rPr>
            </w:pPr>
          </w:p>
        </w:tc>
      </w:tr>
      <w:tr>
        <w:trPr>
          <w:trHeight w:val="172"/>
        </w:trPr>
        <w:tc>
          <w:tcPr>
            <w:tcW w:w="1940" w:type="dxa"/>
            <w:vAlign w:val="bottom"/>
            <w:shd w:val="clear" w:color="auto" w:fill="E6ECFF"/>
          </w:tcPr>
          <w:p>
            <w:pPr>
              <w:ind w:left="20"/>
              <w:spacing w:after="0" w:line="173" w:lineRule="exact"/>
              <w:rPr>
                <w:sz w:val="20"/>
                <w:szCs w:val="20"/>
                <w:color w:val="auto"/>
              </w:rPr>
            </w:pPr>
            <w:r>
              <w:rPr>
                <w:rFonts w:ascii="Calibri" w:cs="Calibri" w:eastAsia="Calibri" w:hAnsi="Calibri"/>
                <w:sz w:val="17"/>
                <w:szCs w:val="17"/>
                <w:b w:val="1"/>
                <w:bCs w:val="1"/>
                <w:color w:val="1C4787"/>
              </w:rPr>
              <w:t>REIT</w:t>
            </w:r>
          </w:p>
        </w:tc>
        <w:tc>
          <w:tcPr>
            <w:tcW w:w="9300" w:type="dxa"/>
            <w:vAlign w:val="bottom"/>
            <w:shd w:val="clear" w:color="auto" w:fill="E6ECFF"/>
          </w:tcPr>
          <w:p>
            <w:pPr>
              <w:ind w:left="400"/>
              <w:spacing w:after="0" w:line="173" w:lineRule="exact"/>
              <w:rPr>
                <w:sz w:val="20"/>
                <w:szCs w:val="20"/>
                <w:color w:val="auto"/>
              </w:rPr>
            </w:pPr>
            <w:r>
              <w:rPr>
                <w:rFonts w:ascii="Calibri" w:cs="Calibri" w:eastAsia="Calibri" w:hAnsi="Calibri"/>
                <w:sz w:val="17"/>
                <w:szCs w:val="17"/>
                <w:color w:val="auto"/>
                <w:w w:val="98"/>
              </w:rPr>
              <w:t>Real Estate Investment Trust. A special purpose investment vehicle that provides investors with the ability to partcipate directly in</w:t>
            </w:r>
          </w:p>
        </w:tc>
      </w:tr>
      <w:tr>
        <w:trPr>
          <w:trHeight w:val="168"/>
        </w:trPr>
        <w:tc>
          <w:tcPr>
            <w:tcW w:w="1940" w:type="dxa"/>
            <w:vAlign w:val="bottom"/>
            <w:shd w:val="clear" w:color="auto" w:fill="E6ECFF"/>
          </w:tcPr>
          <w:p>
            <w:pPr>
              <w:spacing w:after="0"/>
              <w:rPr>
                <w:sz w:val="14"/>
                <w:szCs w:val="14"/>
                <w:color w:val="auto"/>
              </w:rPr>
            </w:pPr>
          </w:p>
        </w:tc>
        <w:tc>
          <w:tcPr>
            <w:tcW w:w="9300" w:type="dxa"/>
            <w:vAlign w:val="bottom"/>
            <w:shd w:val="clear" w:color="auto" w:fill="E6ECFF"/>
          </w:tcPr>
          <w:p>
            <w:pPr>
              <w:ind w:left="400"/>
              <w:spacing w:after="0" w:line="167" w:lineRule="exact"/>
              <w:rPr>
                <w:sz w:val="20"/>
                <w:szCs w:val="20"/>
                <w:color w:val="auto"/>
              </w:rPr>
            </w:pPr>
            <w:r>
              <w:rPr>
                <w:rFonts w:ascii="Calibri" w:cs="Calibri" w:eastAsia="Calibri" w:hAnsi="Calibri"/>
                <w:sz w:val="17"/>
                <w:szCs w:val="17"/>
                <w:color w:val="auto"/>
              </w:rPr>
              <w:t>the ownership or fnancing of real-estate related assets by pooling their capital to purchase and manage mortgage loans</w:t>
            </w:r>
          </w:p>
        </w:tc>
      </w:tr>
      <w:tr>
        <w:trPr>
          <w:trHeight w:val="205"/>
        </w:trPr>
        <w:tc>
          <w:tcPr>
            <w:tcW w:w="1940" w:type="dxa"/>
            <w:vAlign w:val="bottom"/>
            <w:shd w:val="clear" w:color="auto" w:fill="E6ECFF"/>
          </w:tcPr>
          <w:p>
            <w:pPr>
              <w:spacing w:after="0"/>
              <w:rPr>
                <w:sz w:val="17"/>
                <w:szCs w:val="17"/>
                <w:color w:val="auto"/>
              </w:rPr>
            </w:pPr>
          </w:p>
        </w:tc>
        <w:tc>
          <w:tcPr>
            <w:tcW w:w="9300" w:type="dxa"/>
            <w:vAlign w:val="bottom"/>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and/or income property.</w:t>
            </w:r>
          </w:p>
        </w:tc>
      </w:tr>
      <w:tr>
        <w:trPr>
          <w:trHeight w:val="126"/>
        </w:trPr>
        <w:tc>
          <w:tcPr>
            <w:tcW w:w="1940" w:type="dxa"/>
            <w:vAlign w:val="bottom"/>
            <w:shd w:val="clear" w:color="auto" w:fill="E6ECFF"/>
          </w:tcPr>
          <w:p>
            <w:pPr>
              <w:spacing w:after="0"/>
              <w:rPr>
                <w:sz w:val="10"/>
                <w:szCs w:val="10"/>
                <w:color w:val="auto"/>
              </w:rPr>
            </w:pPr>
          </w:p>
        </w:tc>
        <w:tc>
          <w:tcPr>
            <w:tcW w:w="9300" w:type="dxa"/>
            <w:vAlign w:val="bottom"/>
            <w:shd w:val="clear" w:color="auto" w:fill="E6ECFF"/>
          </w:tcPr>
          <w:p>
            <w:pPr>
              <w:spacing w:after="0"/>
              <w:rPr>
                <w:sz w:val="10"/>
                <w:szCs w:val="10"/>
                <w:color w:val="auto"/>
              </w:rPr>
            </w:pPr>
          </w:p>
        </w:tc>
      </w:tr>
      <w:tr>
        <w:trPr>
          <w:trHeight w:val="212"/>
        </w:trPr>
        <w:tc>
          <w:tcPr>
            <w:tcW w:w="194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1C4787"/>
              </w:rPr>
              <w:t>Reverse Stock Split</w:t>
            </w:r>
          </w:p>
        </w:tc>
        <w:tc>
          <w:tcPr>
            <w:tcW w:w="9300" w:type="dxa"/>
            <w:vAlign w:val="bottom"/>
          </w:tcPr>
          <w:p>
            <w:pPr>
              <w:ind w:left="400"/>
              <w:spacing w:after="0" w:line="205" w:lineRule="exact"/>
              <w:rPr>
                <w:sz w:val="20"/>
                <w:szCs w:val="20"/>
                <w:color w:val="auto"/>
              </w:rPr>
            </w:pPr>
            <w:r>
              <w:rPr>
                <w:rFonts w:ascii="Calibri" w:cs="Calibri" w:eastAsia="Calibri" w:hAnsi="Calibri"/>
                <w:sz w:val="17"/>
                <w:szCs w:val="17"/>
                <w:color w:val="auto"/>
              </w:rPr>
              <w:t>The one-for-fve reverse stock split which was efectve September 29, 2023.</w:t>
            </w:r>
          </w:p>
        </w:tc>
      </w:tr>
      <w:tr>
        <w:trPr>
          <w:trHeight w:val="179"/>
        </w:trPr>
        <w:tc>
          <w:tcPr>
            <w:tcW w:w="1940" w:type="dxa"/>
            <w:vAlign w:val="bottom"/>
            <w:shd w:val="clear" w:color="auto" w:fill="E6ECFF"/>
          </w:tcPr>
          <w:p>
            <w:pPr>
              <w:ind w:left="20"/>
              <w:spacing w:after="0" w:line="179" w:lineRule="exact"/>
              <w:rPr>
                <w:sz w:val="20"/>
                <w:szCs w:val="20"/>
                <w:color w:val="auto"/>
              </w:rPr>
            </w:pPr>
            <w:r>
              <w:rPr>
                <w:rFonts w:ascii="Calibri" w:cs="Calibri" w:eastAsia="Calibri" w:hAnsi="Calibri"/>
                <w:sz w:val="17"/>
                <w:szCs w:val="17"/>
                <w:b w:val="1"/>
                <w:bCs w:val="1"/>
                <w:color w:val="1C4787"/>
              </w:rPr>
              <w:t>Sarbanes-Oxley Act</w:t>
            </w:r>
          </w:p>
        </w:tc>
        <w:tc>
          <w:tcPr>
            <w:tcW w:w="9300" w:type="dxa"/>
            <w:vAlign w:val="bottom"/>
            <w:shd w:val="clear" w:color="auto" w:fill="E6ECFF"/>
          </w:tcPr>
          <w:p>
            <w:pPr>
              <w:ind w:left="400"/>
              <w:spacing w:after="0" w:line="179" w:lineRule="exact"/>
              <w:rPr>
                <w:sz w:val="20"/>
                <w:szCs w:val="20"/>
                <w:color w:val="auto"/>
              </w:rPr>
            </w:pPr>
            <w:r>
              <w:rPr>
                <w:rFonts w:ascii="Calibri" w:cs="Calibri" w:eastAsia="Calibri" w:hAnsi="Calibri"/>
                <w:sz w:val="17"/>
                <w:szCs w:val="17"/>
                <w:color w:val="auto"/>
              </w:rPr>
              <w:t>A U.S. federal law that set new or enhanced standards for all U.S. public company boards, management and public accountng</w:t>
            </w:r>
          </w:p>
        </w:tc>
      </w:tr>
      <w:tr>
        <w:trPr>
          <w:trHeight w:val="168"/>
        </w:trPr>
        <w:tc>
          <w:tcPr>
            <w:tcW w:w="1940" w:type="dxa"/>
            <w:vAlign w:val="bottom"/>
            <w:shd w:val="clear" w:color="auto" w:fill="E6ECFF"/>
          </w:tcPr>
          <w:p>
            <w:pPr>
              <w:spacing w:after="0"/>
              <w:rPr>
                <w:sz w:val="14"/>
                <w:szCs w:val="14"/>
                <w:color w:val="auto"/>
              </w:rPr>
            </w:pPr>
          </w:p>
        </w:tc>
        <w:tc>
          <w:tcPr>
            <w:tcW w:w="9300" w:type="dxa"/>
            <w:vAlign w:val="bottom"/>
            <w:shd w:val="clear" w:color="auto" w:fill="E6ECFF"/>
          </w:tcPr>
          <w:p>
            <w:pPr>
              <w:ind w:left="400"/>
              <w:spacing w:after="0" w:line="167" w:lineRule="exact"/>
              <w:rPr>
                <w:sz w:val="20"/>
                <w:szCs w:val="20"/>
                <w:color w:val="auto"/>
              </w:rPr>
            </w:pPr>
            <w:r>
              <w:rPr>
                <w:rFonts w:ascii="Calibri" w:cs="Calibri" w:eastAsia="Calibri" w:hAnsi="Calibri"/>
                <w:sz w:val="17"/>
                <w:szCs w:val="17"/>
                <w:color w:val="auto"/>
              </w:rPr>
              <w:t>frms. Secton 302 requires senior management to certfy the accuracy of the fnancial statements. Secton 404 requires that</w:t>
            </w:r>
          </w:p>
        </w:tc>
      </w:tr>
      <w:tr>
        <w:trPr>
          <w:trHeight w:val="205"/>
        </w:trPr>
        <w:tc>
          <w:tcPr>
            <w:tcW w:w="1940" w:type="dxa"/>
            <w:vAlign w:val="bottom"/>
            <w:shd w:val="clear" w:color="auto" w:fill="E6ECFF"/>
          </w:tcPr>
          <w:p>
            <w:pPr>
              <w:spacing w:after="0"/>
              <w:rPr>
                <w:sz w:val="17"/>
                <w:szCs w:val="17"/>
                <w:color w:val="auto"/>
              </w:rPr>
            </w:pPr>
          </w:p>
        </w:tc>
        <w:tc>
          <w:tcPr>
            <w:tcW w:w="9300" w:type="dxa"/>
            <w:vAlign w:val="bottom"/>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management and auditors establish internal controls and reportng methods on the adequacy of those controls.</w:t>
            </w:r>
          </w:p>
        </w:tc>
      </w:tr>
      <w:tr>
        <w:trPr>
          <w:trHeight w:val="126"/>
        </w:trPr>
        <w:tc>
          <w:tcPr>
            <w:tcW w:w="1940" w:type="dxa"/>
            <w:vAlign w:val="bottom"/>
            <w:shd w:val="clear" w:color="auto" w:fill="E6ECFF"/>
          </w:tcPr>
          <w:p>
            <w:pPr>
              <w:spacing w:after="0"/>
              <w:rPr>
                <w:sz w:val="10"/>
                <w:szCs w:val="10"/>
                <w:color w:val="auto"/>
              </w:rPr>
            </w:pPr>
          </w:p>
        </w:tc>
        <w:tc>
          <w:tcPr>
            <w:tcW w:w="9300" w:type="dxa"/>
            <w:vAlign w:val="bottom"/>
            <w:shd w:val="clear" w:color="auto" w:fill="E6ECFF"/>
          </w:tcPr>
          <w:p>
            <w:pPr>
              <w:spacing w:after="0"/>
              <w:rPr>
                <w:sz w:val="10"/>
                <w:szCs w:val="10"/>
                <w:color w:val="auto"/>
              </w:rPr>
            </w:pPr>
          </w:p>
        </w:tc>
      </w:tr>
      <w:tr>
        <w:trPr>
          <w:trHeight w:val="205"/>
        </w:trPr>
        <w:tc>
          <w:tcPr>
            <w:tcW w:w="194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1C4787"/>
              </w:rPr>
              <w:t>SEC</w:t>
            </w:r>
          </w:p>
        </w:tc>
        <w:tc>
          <w:tcPr>
            <w:tcW w:w="9300" w:type="dxa"/>
            <w:vAlign w:val="bottom"/>
          </w:tcPr>
          <w:p>
            <w:pPr>
              <w:ind w:left="400"/>
              <w:spacing w:after="0" w:line="205" w:lineRule="exact"/>
              <w:rPr>
                <w:sz w:val="20"/>
                <w:szCs w:val="20"/>
                <w:color w:val="auto"/>
              </w:rPr>
            </w:pPr>
            <w:r>
              <w:rPr>
                <w:rFonts w:ascii="Calibri" w:cs="Calibri" w:eastAsia="Calibri" w:hAnsi="Calibri"/>
                <w:sz w:val="17"/>
                <w:szCs w:val="17"/>
                <w:color w:val="auto"/>
              </w:rPr>
              <w:t>The Securites and Exchange Commission.</w:t>
            </w:r>
          </w:p>
        </w:tc>
      </w:tr>
      <w:tr>
        <w:trPr>
          <w:trHeight w:val="117"/>
        </w:trPr>
        <w:tc>
          <w:tcPr>
            <w:tcW w:w="1940" w:type="dxa"/>
            <w:vAlign w:val="bottom"/>
          </w:tcPr>
          <w:p>
            <w:pPr>
              <w:spacing w:after="0"/>
              <w:rPr>
                <w:sz w:val="10"/>
                <w:szCs w:val="10"/>
                <w:color w:val="auto"/>
              </w:rPr>
            </w:pPr>
          </w:p>
        </w:tc>
        <w:tc>
          <w:tcPr>
            <w:tcW w:w="9300" w:type="dxa"/>
            <w:vAlign w:val="bottom"/>
          </w:tcPr>
          <w:p>
            <w:pPr>
              <w:spacing w:after="0"/>
              <w:rPr>
                <w:sz w:val="10"/>
                <w:szCs w:val="10"/>
                <w:color w:val="auto"/>
              </w:rPr>
            </w:pPr>
          </w:p>
        </w:tc>
      </w:tr>
      <w:tr>
        <w:trPr>
          <w:trHeight w:val="205"/>
        </w:trPr>
        <w:tc>
          <w:tcPr>
            <w:tcW w:w="194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S&amp;P 500</w:t>
            </w:r>
          </w:p>
        </w:tc>
        <w:tc>
          <w:tcPr>
            <w:tcW w:w="9300" w:type="dxa"/>
            <w:vAlign w:val="bottom"/>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Standard and Poor's 500 Stock Index.</w:t>
            </w:r>
          </w:p>
        </w:tc>
      </w:tr>
      <w:tr>
        <w:trPr>
          <w:trHeight w:val="117"/>
        </w:trPr>
        <w:tc>
          <w:tcPr>
            <w:tcW w:w="1940" w:type="dxa"/>
            <w:vAlign w:val="bottom"/>
            <w:shd w:val="clear" w:color="auto" w:fill="E6ECFF"/>
          </w:tcPr>
          <w:p>
            <w:pPr>
              <w:spacing w:after="0"/>
              <w:rPr>
                <w:sz w:val="10"/>
                <w:szCs w:val="10"/>
                <w:color w:val="auto"/>
              </w:rPr>
            </w:pPr>
          </w:p>
        </w:tc>
        <w:tc>
          <w:tcPr>
            <w:tcW w:w="9300" w:type="dxa"/>
            <w:vAlign w:val="bottom"/>
            <w:shd w:val="clear" w:color="auto" w:fill="E6ECFF"/>
          </w:tcPr>
          <w:p>
            <w:pPr>
              <w:spacing w:after="0"/>
              <w:rPr>
                <w:sz w:val="10"/>
                <w:szCs w:val="10"/>
                <w:color w:val="auto"/>
              </w:rPr>
            </w:pPr>
          </w:p>
        </w:tc>
      </w:tr>
      <w:tr>
        <w:trPr>
          <w:trHeight w:val="205"/>
        </w:trPr>
        <w:tc>
          <w:tcPr>
            <w:tcW w:w="194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1C4787"/>
              </w:rPr>
              <w:t>SOFR</w:t>
            </w:r>
          </w:p>
        </w:tc>
        <w:tc>
          <w:tcPr>
            <w:tcW w:w="9300" w:type="dxa"/>
            <w:vAlign w:val="bottom"/>
          </w:tcPr>
          <w:p>
            <w:pPr>
              <w:ind w:left="400"/>
              <w:spacing w:after="0" w:line="205" w:lineRule="exact"/>
              <w:rPr>
                <w:sz w:val="20"/>
                <w:szCs w:val="20"/>
                <w:color w:val="auto"/>
              </w:rPr>
            </w:pPr>
            <w:r>
              <w:rPr>
                <w:rFonts w:ascii="Calibri" w:cs="Calibri" w:eastAsia="Calibri" w:hAnsi="Calibri"/>
                <w:sz w:val="17"/>
                <w:szCs w:val="17"/>
                <w:color w:val="auto"/>
              </w:rPr>
              <w:t>Secured overnight funding rate. A measure of the cost of borrowing cash overnight collateralized by U.S. Treasury Securites.</w:t>
            </w:r>
          </w:p>
        </w:tc>
      </w:tr>
      <w:tr>
        <w:trPr>
          <w:trHeight w:val="117"/>
        </w:trPr>
        <w:tc>
          <w:tcPr>
            <w:tcW w:w="1940" w:type="dxa"/>
            <w:vAlign w:val="bottom"/>
          </w:tcPr>
          <w:p>
            <w:pPr>
              <w:spacing w:after="0"/>
              <w:rPr>
                <w:sz w:val="10"/>
                <w:szCs w:val="10"/>
                <w:color w:val="auto"/>
              </w:rPr>
            </w:pPr>
          </w:p>
        </w:tc>
        <w:tc>
          <w:tcPr>
            <w:tcW w:w="9300" w:type="dxa"/>
            <w:vAlign w:val="bottom"/>
          </w:tcPr>
          <w:p>
            <w:pPr>
              <w:spacing w:after="0"/>
              <w:rPr>
                <w:sz w:val="10"/>
                <w:szCs w:val="10"/>
                <w:color w:val="auto"/>
              </w:rPr>
            </w:pPr>
          </w:p>
        </w:tc>
      </w:tr>
      <w:tr>
        <w:trPr>
          <w:trHeight w:val="172"/>
        </w:trPr>
        <w:tc>
          <w:tcPr>
            <w:tcW w:w="1940" w:type="dxa"/>
            <w:vAlign w:val="bottom"/>
            <w:shd w:val="clear" w:color="auto" w:fill="E6ECFF"/>
          </w:tcPr>
          <w:p>
            <w:pPr>
              <w:ind w:left="20"/>
              <w:spacing w:after="0" w:line="173" w:lineRule="exact"/>
              <w:rPr>
                <w:sz w:val="20"/>
                <w:szCs w:val="20"/>
                <w:color w:val="auto"/>
              </w:rPr>
            </w:pPr>
            <w:r>
              <w:rPr>
                <w:rFonts w:ascii="Calibri" w:cs="Calibri" w:eastAsia="Calibri" w:hAnsi="Calibri"/>
                <w:sz w:val="17"/>
                <w:szCs w:val="17"/>
                <w:b w:val="1"/>
                <w:bCs w:val="1"/>
                <w:color w:val="1C4787"/>
              </w:rPr>
              <w:t>TBA Agency Securites</w:t>
            </w:r>
          </w:p>
        </w:tc>
        <w:tc>
          <w:tcPr>
            <w:tcW w:w="9300" w:type="dxa"/>
            <w:vAlign w:val="bottom"/>
            <w:shd w:val="clear" w:color="auto" w:fill="E6ECFF"/>
          </w:tcPr>
          <w:p>
            <w:pPr>
              <w:ind w:left="400"/>
              <w:spacing w:after="0" w:line="173" w:lineRule="exact"/>
              <w:rPr>
                <w:sz w:val="20"/>
                <w:szCs w:val="20"/>
                <w:color w:val="auto"/>
              </w:rPr>
            </w:pPr>
            <w:r>
              <w:rPr>
                <w:rFonts w:ascii="Calibri" w:cs="Calibri" w:eastAsia="Calibri" w:hAnsi="Calibri"/>
                <w:sz w:val="17"/>
                <w:szCs w:val="17"/>
                <w:color w:val="auto"/>
              </w:rPr>
              <w:t>Forward contracts for the purchase (“long positon”) or sale (“short positon”) of Agency Securites at a predetermined price, face</w:t>
            </w:r>
          </w:p>
        </w:tc>
      </w:tr>
      <w:tr>
        <w:trPr>
          <w:trHeight w:val="205"/>
        </w:trPr>
        <w:tc>
          <w:tcPr>
            <w:tcW w:w="1940" w:type="dxa"/>
            <w:vAlign w:val="bottom"/>
            <w:shd w:val="clear" w:color="auto" w:fill="E6ECFF"/>
          </w:tcPr>
          <w:p>
            <w:pPr>
              <w:spacing w:after="0"/>
              <w:rPr>
                <w:sz w:val="17"/>
                <w:szCs w:val="17"/>
                <w:color w:val="auto"/>
              </w:rPr>
            </w:pPr>
          </w:p>
        </w:tc>
        <w:tc>
          <w:tcPr>
            <w:tcW w:w="9300" w:type="dxa"/>
            <w:vAlign w:val="bottom"/>
            <w:shd w:val="clear" w:color="auto" w:fill="E6ECFF"/>
          </w:tcPr>
          <w:p>
            <w:pPr>
              <w:ind w:left="400"/>
              <w:spacing w:after="0" w:line="205" w:lineRule="exact"/>
              <w:rPr>
                <w:sz w:val="20"/>
                <w:szCs w:val="20"/>
                <w:color w:val="auto"/>
              </w:rPr>
            </w:pPr>
            <w:r>
              <w:rPr>
                <w:rFonts w:ascii="Calibri" w:cs="Calibri" w:eastAsia="Calibri" w:hAnsi="Calibri"/>
                <w:sz w:val="17"/>
                <w:szCs w:val="17"/>
                <w:color w:val="auto"/>
              </w:rPr>
              <w:t>amount, issuer, coupon and stated maturity on an agreed-upon future date.</w:t>
            </w:r>
          </w:p>
        </w:tc>
      </w:tr>
      <w:tr>
        <w:trPr>
          <w:trHeight w:val="126"/>
        </w:trPr>
        <w:tc>
          <w:tcPr>
            <w:tcW w:w="1940" w:type="dxa"/>
            <w:vAlign w:val="bottom"/>
            <w:shd w:val="clear" w:color="auto" w:fill="E6ECFF"/>
          </w:tcPr>
          <w:p>
            <w:pPr>
              <w:spacing w:after="0"/>
              <w:rPr>
                <w:sz w:val="10"/>
                <w:szCs w:val="10"/>
                <w:color w:val="auto"/>
              </w:rPr>
            </w:pPr>
          </w:p>
        </w:tc>
        <w:tc>
          <w:tcPr>
            <w:tcW w:w="9300" w:type="dxa"/>
            <w:vAlign w:val="bottom"/>
            <w:shd w:val="clear" w:color="auto" w:fill="E6ECFF"/>
          </w:tcPr>
          <w:p>
            <w:pPr>
              <w:spacing w:after="0"/>
              <w:rPr>
                <w:sz w:val="10"/>
                <w:szCs w:val="10"/>
                <w:color w:val="auto"/>
              </w:rPr>
            </w:pPr>
          </w:p>
        </w:tc>
      </w:tr>
      <w:tr>
        <w:trPr>
          <w:trHeight w:val="1759"/>
        </w:trPr>
        <w:tc>
          <w:tcPr>
            <w:tcW w:w="194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-752475</wp:posOffset>
            </wp:positionV>
            <wp:extent cx="458470" cy="5073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20" w:name="page121"/>
    <w:bookmarkEnd w:id="120"/>
    <w:p>
      <w:pPr>
        <w:ind w:left="4400"/>
        <w:spacing w:after="0"/>
        <w:rPr>
          <w:sz w:val="20"/>
          <w:szCs w:val="20"/>
          <w:color w:val="auto"/>
        </w:rPr>
      </w:pPr>
      <w:r>
        <w:rPr>
          <w:rFonts w:ascii="Calibri" w:cs="Calibri" w:eastAsia="Calibri" w:hAnsi="Calibri"/>
          <w:sz w:val="19"/>
          <w:szCs w:val="19"/>
          <w:b w:val="1"/>
          <w:bCs w:val="1"/>
          <w:color w:val="1C4787"/>
        </w:rPr>
        <w:t>ARMOUR Residental REIT, Inc.</w:t>
      </w:r>
    </w:p>
    <w:p>
      <w:pPr>
        <w:ind w:left="4420"/>
        <w:spacing w:after="0"/>
        <w:rPr>
          <w:sz w:val="20"/>
          <w:szCs w:val="20"/>
          <w:color w:val="auto"/>
        </w:rPr>
      </w:pPr>
      <w:r>
        <w:rPr>
          <w:rFonts w:ascii="Calibri" w:cs="Calibri" w:eastAsia="Calibri" w:hAnsi="Calibri"/>
          <w:sz w:val="19"/>
          <w:szCs w:val="19"/>
          <w:b w:val="1"/>
          <w:bCs w:val="1"/>
          <w:color w:val="1C4787"/>
        </w:rPr>
        <w:t>Glossary of Terms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80" w:type="dxa"/>
            <w:vAlign w:val="bottom"/>
          </w:tcPr>
          <w:p>
            <w:pPr>
              <w:ind w:left="20"/>
              <w:spacing w:after="0"/>
              <w:rPr>
                <w:sz w:val="20"/>
                <w:szCs w:val="20"/>
                <w:color w:val="auto"/>
              </w:rPr>
            </w:pPr>
            <w:r>
              <w:rPr>
                <w:rFonts w:ascii="Calibri" w:cs="Calibri" w:eastAsia="Calibri" w:hAnsi="Calibri"/>
                <w:sz w:val="17"/>
                <w:szCs w:val="17"/>
                <w:b w:val="1"/>
                <w:bCs w:val="1"/>
                <w:color w:val="1C4787"/>
              </w:rPr>
              <w:t>TBA Drop Income</w:t>
            </w:r>
          </w:p>
        </w:tc>
        <w:tc>
          <w:tcPr>
            <w:tcW w:w="9460" w:type="dxa"/>
            <w:vAlign w:val="bottom"/>
          </w:tcPr>
          <w:p>
            <w:pPr>
              <w:ind w:left="560"/>
              <w:spacing w:after="0"/>
              <w:rPr>
                <w:sz w:val="20"/>
                <w:szCs w:val="20"/>
                <w:color w:val="auto"/>
              </w:rPr>
            </w:pPr>
            <w:r>
              <w:rPr>
                <w:rFonts w:ascii="Calibri" w:cs="Calibri" w:eastAsia="Calibri" w:hAnsi="Calibri"/>
                <w:sz w:val="17"/>
                <w:szCs w:val="17"/>
                <w:color w:val="auto"/>
              </w:rPr>
              <w:t>The discount associated with TBA Agency Securites contracts which refects the expected interest income on the underlying</w:t>
            </w:r>
          </w:p>
        </w:tc>
      </w:tr>
      <w:tr>
        <w:trPr>
          <w:trHeight w:val="168"/>
        </w:trPr>
        <w:tc>
          <w:tcPr>
            <w:tcW w:w="1780" w:type="dxa"/>
            <w:vAlign w:val="bottom"/>
          </w:tcPr>
          <w:p>
            <w:pPr>
              <w:spacing w:after="0"/>
              <w:rPr>
                <w:sz w:val="14"/>
                <w:szCs w:val="14"/>
                <w:color w:val="auto"/>
              </w:rPr>
            </w:pPr>
          </w:p>
        </w:tc>
        <w:tc>
          <w:tcPr>
            <w:tcW w:w="9460" w:type="dxa"/>
            <w:vAlign w:val="bottom"/>
          </w:tcPr>
          <w:p>
            <w:pPr>
              <w:ind w:left="560"/>
              <w:spacing w:after="0" w:line="167" w:lineRule="exact"/>
              <w:rPr>
                <w:sz w:val="20"/>
                <w:szCs w:val="20"/>
                <w:color w:val="auto"/>
              </w:rPr>
            </w:pPr>
            <w:r>
              <w:rPr>
                <w:rFonts w:ascii="Calibri" w:cs="Calibri" w:eastAsia="Calibri" w:hAnsi="Calibri"/>
                <w:sz w:val="17"/>
                <w:szCs w:val="17"/>
                <w:color w:val="auto"/>
              </w:rPr>
              <w:t>deliverable Agency Securites, net of an implied fnancing cost, which would have been earned by the buyer if the TBA Agency</w:t>
            </w:r>
          </w:p>
        </w:tc>
      </w:tr>
      <w:tr>
        <w:trPr>
          <w:trHeight w:val="168"/>
        </w:trPr>
        <w:tc>
          <w:tcPr>
            <w:tcW w:w="1780" w:type="dxa"/>
            <w:vAlign w:val="bottom"/>
          </w:tcPr>
          <w:p>
            <w:pPr>
              <w:spacing w:after="0"/>
              <w:rPr>
                <w:sz w:val="14"/>
                <w:szCs w:val="14"/>
                <w:color w:val="auto"/>
              </w:rPr>
            </w:pPr>
          </w:p>
        </w:tc>
        <w:tc>
          <w:tcPr>
            <w:tcW w:w="9460" w:type="dxa"/>
            <w:vAlign w:val="bottom"/>
          </w:tcPr>
          <w:p>
            <w:pPr>
              <w:ind w:left="560"/>
              <w:spacing w:after="0" w:line="167" w:lineRule="exact"/>
              <w:rPr>
                <w:sz w:val="20"/>
                <w:szCs w:val="20"/>
                <w:color w:val="auto"/>
              </w:rPr>
            </w:pPr>
            <w:r>
              <w:rPr>
                <w:rFonts w:ascii="Calibri" w:cs="Calibri" w:eastAsia="Calibri" w:hAnsi="Calibri"/>
                <w:sz w:val="17"/>
                <w:szCs w:val="17"/>
                <w:color w:val="auto"/>
              </w:rPr>
              <w:t>Securites contract had setled on the next regular setlement date instead of the forward setlement date specifed. TBA Drop</w:t>
            </w:r>
          </w:p>
        </w:tc>
      </w:tr>
      <w:tr>
        <w:trPr>
          <w:trHeight w:val="180"/>
        </w:trPr>
        <w:tc>
          <w:tcPr>
            <w:tcW w:w="1780" w:type="dxa"/>
            <w:vAlign w:val="bottom"/>
          </w:tcPr>
          <w:p>
            <w:pPr>
              <w:spacing w:after="0"/>
              <w:rPr>
                <w:sz w:val="15"/>
                <w:szCs w:val="15"/>
                <w:color w:val="auto"/>
              </w:rPr>
            </w:pPr>
          </w:p>
        </w:tc>
        <w:tc>
          <w:tcPr>
            <w:tcW w:w="9460" w:type="dxa"/>
            <w:vAlign w:val="bottom"/>
          </w:tcPr>
          <w:p>
            <w:pPr>
              <w:ind w:left="560"/>
              <w:spacing w:after="0" w:line="180" w:lineRule="exact"/>
              <w:rPr>
                <w:sz w:val="20"/>
                <w:szCs w:val="20"/>
                <w:color w:val="auto"/>
              </w:rPr>
            </w:pPr>
            <w:r>
              <w:rPr>
                <w:rFonts w:ascii="Calibri" w:cs="Calibri" w:eastAsia="Calibri" w:hAnsi="Calibri"/>
                <w:sz w:val="17"/>
                <w:szCs w:val="17"/>
                <w:color w:val="auto"/>
              </w:rPr>
              <w:t>Income is calculated as the diference between the forward setlement price of the TBA Agency Securites contract and the spot</w:t>
            </w:r>
          </w:p>
        </w:tc>
      </w:tr>
      <w:tr>
        <w:trPr>
          <w:trHeight w:val="168"/>
        </w:trPr>
        <w:tc>
          <w:tcPr>
            <w:tcW w:w="1780" w:type="dxa"/>
            <w:vAlign w:val="bottom"/>
          </w:tcPr>
          <w:p>
            <w:pPr>
              <w:spacing w:after="0"/>
              <w:rPr>
                <w:sz w:val="14"/>
                <w:szCs w:val="14"/>
                <w:color w:val="auto"/>
              </w:rPr>
            </w:pPr>
          </w:p>
        </w:tc>
        <w:tc>
          <w:tcPr>
            <w:tcW w:w="9460" w:type="dxa"/>
            <w:vAlign w:val="bottom"/>
          </w:tcPr>
          <w:p>
            <w:pPr>
              <w:ind w:left="560"/>
              <w:spacing w:after="0" w:line="167" w:lineRule="exact"/>
              <w:rPr>
                <w:sz w:val="20"/>
                <w:szCs w:val="20"/>
                <w:color w:val="auto"/>
              </w:rPr>
            </w:pPr>
            <w:r>
              <w:rPr>
                <w:rFonts w:ascii="Calibri" w:cs="Calibri" w:eastAsia="Calibri" w:hAnsi="Calibri"/>
                <w:sz w:val="17"/>
                <w:szCs w:val="17"/>
                <w:color w:val="auto"/>
              </w:rPr>
              <w:t>price of similar TBA Agency Securites contracts for regular setlement. The Company generally accounts for TBA Agency Securites</w:t>
            </w:r>
          </w:p>
        </w:tc>
      </w:tr>
      <w:tr>
        <w:trPr>
          <w:trHeight w:val="168"/>
        </w:trPr>
        <w:tc>
          <w:tcPr>
            <w:tcW w:w="1780" w:type="dxa"/>
            <w:vAlign w:val="bottom"/>
          </w:tcPr>
          <w:p>
            <w:pPr>
              <w:spacing w:after="0"/>
              <w:rPr>
                <w:sz w:val="14"/>
                <w:szCs w:val="14"/>
                <w:color w:val="auto"/>
              </w:rPr>
            </w:pPr>
          </w:p>
        </w:tc>
        <w:tc>
          <w:tcPr>
            <w:tcW w:w="9460" w:type="dxa"/>
            <w:vAlign w:val="bottom"/>
          </w:tcPr>
          <w:p>
            <w:pPr>
              <w:ind w:left="560"/>
              <w:spacing w:after="0" w:line="167" w:lineRule="exact"/>
              <w:rPr>
                <w:sz w:val="20"/>
                <w:szCs w:val="20"/>
                <w:color w:val="auto"/>
              </w:rPr>
            </w:pPr>
            <w:r>
              <w:rPr>
                <w:rFonts w:ascii="Calibri" w:cs="Calibri" w:eastAsia="Calibri" w:hAnsi="Calibri"/>
                <w:sz w:val="17"/>
                <w:szCs w:val="17"/>
                <w:color w:val="auto"/>
                <w:w w:val="99"/>
              </w:rPr>
              <w:t>contracts as derivatves and TBA Drop Income is included as part of the periodic changes in fair value of the TBA Agency Securites</w:t>
            </w:r>
          </w:p>
        </w:tc>
      </w:tr>
      <w:tr>
        <w:trPr>
          <w:trHeight w:val="205"/>
        </w:trPr>
        <w:tc>
          <w:tcPr>
            <w:tcW w:w="1780" w:type="dxa"/>
            <w:vAlign w:val="bottom"/>
          </w:tcPr>
          <w:p>
            <w:pPr>
              <w:spacing w:after="0"/>
              <w:rPr>
                <w:sz w:val="17"/>
                <w:szCs w:val="17"/>
                <w:color w:val="auto"/>
              </w:rPr>
            </w:pPr>
          </w:p>
        </w:tc>
        <w:tc>
          <w:tcPr>
            <w:tcW w:w="9460" w:type="dxa"/>
            <w:vAlign w:val="bottom"/>
          </w:tcPr>
          <w:p>
            <w:pPr>
              <w:ind w:left="560"/>
              <w:spacing w:after="0" w:line="205" w:lineRule="exact"/>
              <w:rPr>
                <w:sz w:val="20"/>
                <w:szCs w:val="20"/>
                <w:color w:val="auto"/>
              </w:rPr>
            </w:pPr>
            <w:r>
              <w:rPr>
                <w:rFonts w:ascii="Calibri" w:cs="Calibri" w:eastAsia="Calibri" w:hAnsi="Calibri"/>
                <w:sz w:val="17"/>
                <w:szCs w:val="17"/>
                <w:color w:val="auto"/>
              </w:rPr>
              <w:t>that the Company recognizes in the Other Income (Loss) secton of its Consolidated Statement of Operatons.</w:t>
            </w:r>
          </w:p>
        </w:tc>
      </w:tr>
      <w:tr>
        <w:trPr>
          <w:trHeight w:val="22"/>
        </w:trPr>
        <w:tc>
          <w:tcPr>
            <w:tcW w:w="178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r>
      <w:tr>
        <w:trPr>
          <w:trHeight w:val="205"/>
        </w:trPr>
        <w:tc>
          <w:tcPr>
            <w:tcW w:w="178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TRS</w:t>
            </w:r>
          </w:p>
        </w:tc>
        <w:tc>
          <w:tcPr>
            <w:tcW w:w="9460" w:type="dxa"/>
            <w:vAlign w:val="bottom"/>
            <w:shd w:val="clear" w:color="auto" w:fill="E6ECFF"/>
          </w:tcPr>
          <w:p>
            <w:pPr>
              <w:ind w:left="560"/>
              <w:spacing w:after="0" w:line="205" w:lineRule="exact"/>
              <w:rPr>
                <w:sz w:val="20"/>
                <w:szCs w:val="20"/>
                <w:color w:val="auto"/>
              </w:rPr>
            </w:pPr>
            <w:r>
              <w:rPr>
                <w:rFonts w:ascii="Calibri" w:cs="Calibri" w:eastAsia="Calibri" w:hAnsi="Calibri"/>
                <w:sz w:val="17"/>
                <w:szCs w:val="17"/>
                <w:color w:val="auto"/>
              </w:rPr>
              <w:t>Taxable REIT subsidiary.</w:t>
            </w:r>
          </w:p>
        </w:tc>
      </w:tr>
      <w:tr>
        <w:trPr>
          <w:trHeight w:val="117"/>
        </w:trPr>
        <w:tc>
          <w:tcPr>
            <w:tcW w:w="1780" w:type="dxa"/>
            <w:vAlign w:val="bottom"/>
            <w:shd w:val="clear" w:color="auto" w:fill="E6ECFF"/>
          </w:tcPr>
          <w:p>
            <w:pPr>
              <w:spacing w:after="0"/>
              <w:rPr>
                <w:sz w:val="10"/>
                <w:szCs w:val="10"/>
                <w:color w:val="auto"/>
              </w:rPr>
            </w:pPr>
          </w:p>
        </w:tc>
        <w:tc>
          <w:tcPr>
            <w:tcW w:w="9460" w:type="dxa"/>
            <w:vAlign w:val="bottom"/>
            <w:shd w:val="clear" w:color="auto" w:fill="E6ECFF"/>
          </w:tcPr>
          <w:p>
            <w:pPr>
              <w:spacing w:after="0"/>
              <w:rPr>
                <w:sz w:val="10"/>
                <w:szCs w:val="10"/>
                <w:color w:val="auto"/>
              </w:rPr>
            </w:pPr>
          </w:p>
        </w:tc>
      </w:tr>
      <w:tr>
        <w:trPr>
          <w:trHeight w:val="205"/>
        </w:trPr>
        <w:tc>
          <w:tcPr>
            <w:tcW w:w="178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1C4787"/>
              </w:rPr>
              <w:t>U.S.</w:t>
            </w:r>
          </w:p>
        </w:tc>
        <w:tc>
          <w:tcPr>
            <w:tcW w:w="9460" w:type="dxa"/>
            <w:vAlign w:val="bottom"/>
          </w:tcPr>
          <w:p>
            <w:pPr>
              <w:ind w:left="560"/>
              <w:spacing w:after="0" w:line="205" w:lineRule="exact"/>
              <w:rPr>
                <w:sz w:val="20"/>
                <w:szCs w:val="20"/>
                <w:color w:val="auto"/>
              </w:rPr>
            </w:pPr>
            <w:r>
              <w:rPr>
                <w:rFonts w:ascii="Calibri" w:cs="Calibri" w:eastAsia="Calibri" w:hAnsi="Calibri"/>
                <w:sz w:val="17"/>
                <w:szCs w:val="17"/>
                <w:color w:val="auto"/>
              </w:rPr>
              <w:t>United States.</w:t>
            </w:r>
          </w:p>
        </w:tc>
      </w:tr>
      <w:tr>
        <w:trPr>
          <w:trHeight w:val="117"/>
        </w:trPr>
        <w:tc>
          <w:tcPr>
            <w:tcW w:w="1780" w:type="dxa"/>
            <w:vAlign w:val="bottom"/>
          </w:tcPr>
          <w:p>
            <w:pPr>
              <w:spacing w:after="0"/>
              <w:rPr>
                <w:sz w:val="10"/>
                <w:szCs w:val="10"/>
                <w:color w:val="auto"/>
              </w:rPr>
            </w:pPr>
          </w:p>
        </w:tc>
        <w:tc>
          <w:tcPr>
            <w:tcW w:w="9460" w:type="dxa"/>
            <w:vAlign w:val="bottom"/>
          </w:tcPr>
          <w:p>
            <w:pPr>
              <w:spacing w:after="0"/>
              <w:rPr>
                <w:sz w:val="10"/>
                <w:szCs w:val="10"/>
                <w:color w:val="auto"/>
              </w:rPr>
            </w:pPr>
          </w:p>
        </w:tc>
      </w:tr>
      <w:tr>
        <w:trPr>
          <w:trHeight w:val="205"/>
        </w:trPr>
        <w:tc>
          <w:tcPr>
            <w:tcW w:w="1780" w:type="dxa"/>
            <w:vAlign w:val="bottom"/>
            <w:shd w:val="clear" w:color="auto" w:fill="E6ECFF"/>
          </w:tcPr>
          <w:p>
            <w:pPr>
              <w:ind w:left="20"/>
              <w:spacing w:after="0" w:line="205" w:lineRule="exact"/>
              <w:rPr>
                <w:sz w:val="20"/>
                <w:szCs w:val="20"/>
                <w:color w:val="auto"/>
              </w:rPr>
            </w:pPr>
            <w:r>
              <w:rPr>
                <w:rFonts w:ascii="Calibri" w:cs="Calibri" w:eastAsia="Calibri" w:hAnsi="Calibri"/>
                <w:sz w:val="17"/>
                <w:szCs w:val="17"/>
                <w:b w:val="1"/>
                <w:bCs w:val="1"/>
                <w:color w:val="1C4787"/>
              </w:rPr>
              <w:t>1940 Act</w:t>
            </w:r>
          </w:p>
        </w:tc>
        <w:tc>
          <w:tcPr>
            <w:tcW w:w="9460" w:type="dxa"/>
            <w:vAlign w:val="bottom"/>
            <w:shd w:val="clear" w:color="auto" w:fill="E6ECFF"/>
          </w:tcPr>
          <w:p>
            <w:pPr>
              <w:ind w:left="560"/>
              <w:spacing w:after="0" w:line="205" w:lineRule="exact"/>
              <w:rPr>
                <w:sz w:val="20"/>
                <w:szCs w:val="20"/>
                <w:color w:val="auto"/>
              </w:rPr>
            </w:pPr>
            <w:r>
              <w:rPr>
                <w:rFonts w:ascii="Calibri" w:cs="Calibri" w:eastAsia="Calibri" w:hAnsi="Calibri"/>
                <w:sz w:val="17"/>
                <w:szCs w:val="17"/>
                <w:color w:val="auto"/>
              </w:rPr>
              <w:t>The Investment Company Act of 1940.</w:t>
            </w:r>
          </w:p>
        </w:tc>
      </w:tr>
      <w:tr>
        <w:trPr>
          <w:trHeight w:val="117"/>
        </w:trPr>
        <w:tc>
          <w:tcPr>
            <w:tcW w:w="1780" w:type="dxa"/>
            <w:vAlign w:val="bottom"/>
            <w:shd w:val="clear" w:color="auto" w:fill="E6ECFF"/>
          </w:tcPr>
          <w:p>
            <w:pPr>
              <w:spacing w:after="0"/>
              <w:rPr>
                <w:sz w:val="10"/>
                <w:szCs w:val="10"/>
                <w:color w:val="auto"/>
              </w:rPr>
            </w:pPr>
          </w:p>
        </w:tc>
        <w:tc>
          <w:tcPr>
            <w:tcW w:w="9460" w:type="dxa"/>
            <w:vAlign w:val="bottom"/>
            <w:shd w:val="clear" w:color="auto" w:fill="E6ECFF"/>
          </w:tcPr>
          <w:p>
            <w:pPr>
              <w:spacing w:after="0"/>
              <w:rPr>
                <w:sz w:val="10"/>
                <w:szCs w:val="10"/>
                <w:color w:val="auto"/>
              </w:rPr>
            </w:pPr>
          </w:p>
        </w:tc>
      </w:tr>
      <w:tr>
        <w:trPr>
          <w:trHeight w:val="1759"/>
        </w:trPr>
        <w:tc>
          <w:tcPr>
            <w:tcW w:w="1780" w:type="dxa"/>
            <w:vAlign w:val="bottom"/>
            <w:tcBorders>
              <w:bottom w:val="single" w:sz="8" w:color="9A9A9A"/>
            </w:tcBorders>
          </w:tcPr>
          <w:p>
            <w:pPr>
              <w:spacing w:after="0"/>
              <w:rPr>
                <w:sz w:val="24"/>
                <w:szCs w:val="24"/>
                <w:color w:val="auto"/>
              </w:rPr>
            </w:pPr>
          </w:p>
        </w:tc>
        <w:tc>
          <w:tcPr>
            <w:tcW w:w="9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-752475</wp:posOffset>
            </wp:positionV>
            <wp:extent cx="458470" cy="5073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21" w:name="page122"/>
    <w:bookmarkEnd w:id="121"/>
    <w:p>
      <w:pPr>
        <w:jc w:val="center"/>
        <w:spacing w:after="0"/>
        <w:rPr>
          <w:sz w:val="20"/>
          <w:szCs w:val="20"/>
          <w:color w:val="auto"/>
        </w:rPr>
      </w:pPr>
      <w:r>
        <w:rPr>
          <w:rFonts w:ascii="Calibri" w:cs="Calibri" w:eastAsia="Calibri" w:hAnsi="Calibri"/>
          <w:sz w:val="19"/>
          <w:szCs w:val="19"/>
          <w:b w:val="1"/>
          <w:bCs w:val="1"/>
          <w:color w:val="1C4787"/>
        </w:rPr>
        <w:t>Part IV</w:t>
      </w:r>
    </w:p>
    <w:p>
      <w:pPr>
        <w:jc w:val="center"/>
        <w:spacing w:after="0"/>
        <w:rPr>
          <w:sz w:val="20"/>
          <w:szCs w:val="20"/>
          <w:color w:val="auto"/>
        </w:rPr>
      </w:pPr>
      <w:r>
        <w:rPr>
          <w:rFonts w:ascii="Calibri" w:cs="Calibri" w:eastAsia="Calibri" w:hAnsi="Calibri"/>
          <w:sz w:val="19"/>
          <w:szCs w:val="19"/>
          <w:b w:val="1"/>
          <w:bCs w:val="1"/>
          <w:color w:val="1C4787"/>
        </w:rPr>
        <w:t>Item 15. Exhibits and Financial Statement Schedules</w:t>
      </w:r>
    </w:p>
    <w:p>
      <w:pPr>
        <w:jc w:val="center"/>
        <w:spacing w:after="0"/>
        <w:rPr>
          <w:sz w:val="20"/>
          <w:szCs w:val="20"/>
          <w:color w:val="auto"/>
        </w:rPr>
      </w:pPr>
      <w:r>
        <w:rPr>
          <w:rFonts w:ascii="Calibri" w:cs="Calibri" w:eastAsia="Calibri" w:hAnsi="Calibri"/>
          <w:sz w:val="19"/>
          <w:szCs w:val="19"/>
          <w:b w:val="1"/>
          <w:bCs w:val="1"/>
          <w:color w:val="1C4787"/>
        </w:rPr>
        <w:t>ARMOUR Residental REIT, Inc.</w:t>
      </w:r>
    </w:p>
    <w:p>
      <w:pPr>
        <w:jc w:val="right"/>
        <w:spacing w:after="0" w:line="233" w:lineRule="auto"/>
        <w:rPr>
          <w:sz w:val="20"/>
          <w:szCs w:val="20"/>
          <w:color w:val="auto"/>
        </w:rPr>
      </w:pPr>
      <w:r>
        <w:rPr>
          <w:rFonts w:ascii="Calibri" w:cs="Calibri" w:eastAsia="Calibri" w:hAnsi="Calibri"/>
          <w:sz w:val="17"/>
          <w:szCs w:val="17"/>
          <w:color w:val="1C4787"/>
        </w:rPr>
        <w:t>120</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(1) Financial Statements</w:t>
      </w:r>
    </w:p>
    <w:p>
      <w:pPr>
        <w:spacing w:after="0" w:line="182" w:lineRule="exact"/>
        <w:rPr>
          <w:sz w:val="20"/>
          <w:szCs w:val="20"/>
          <w:color w:val="auto"/>
        </w:rPr>
      </w:pPr>
    </w:p>
    <w:p>
      <w:pPr>
        <w:jc w:val="both"/>
        <w:ind w:firstLine="619"/>
        <w:spacing w:after="0" w:line="238" w:lineRule="auto"/>
        <w:rPr>
          <w:sz w:val="20"/>
          <w:szCs w:val="20"/>
          <w:color w:val="auto"/>
        </w:rPr>
      </w:pPr>
      <w:r>
        <w:rPr>
          <w:rFonts w:ascii="Calibri" w:cs="Calibri" w:eastAsia="Calibri" w:hAnsi="Calibri"/>
          <w:sz w:val="17"/>
          <w:szCs w:val="17"/>
          <w:color w:val="auto"/>
        </w:rPr>
        <w:t>See Part II, Item 8 – Financial Statements and Supplementary Data. Reference is made to the Index to Consolidated Financial Statements that appears on page 73 of this Annual Report on Form 10-K. The Report of Independent Registered Public Accountng Firm, the Consolidated Financial Statements and the Financial Statement Notes, listed in the Index to Consolidated Financial Statements, which appear beginning on page 74 of this Annual Report on Form 10-K, are incorporated by reference to this Item 15.</w:t>
      </w:r>
    </w:p>
    <w:p>
      <w:pPr>
        <w:spacing w:after="0" w:line="16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1C4787"/>
        </w:rPr>
        <w:t>(2) Financial Statement Schedules</w:t>
      </w:r>
    </w:p>
    <w:p>
      <w:pPr>
        <w:spacing w:after="0" w:line="169" w:lineRule="exact"/>
        <w:rPr>
          <w:sz w:val="20"/>
          <w:szCs w:val="20"/>
          <w:color w:val="auto"/>
        </w:rPr>
      </w:pPr>
    </w:p>
    <w:p>
      <w:pPr>
        <w:jc w:val="both"/>
        <w:ind w:firstLine="619"/>
        <w:spacing w:after="0" w:line="237" w:lineRule="auto"/>
        <w:rPr>
          <w:sz w:val="20"/>
          <w:szCs w:val="20"/>
          <w:color w:val="auto"/>
        </w:rPr>
      </w:pPr>
      <w:r>
        <w:rPr>
          <w:rFonts w:ascii="Calibri" w:cs="Calibri" w:eastAsia="Calibri" w:hAnsi="Calibri"/>
          <w:sz w:val="17"/>
          <w:szCs w:val="17"/>
          <w:color w:val="auto"/>
        </w:rPr>
        <w:t>All supplemental schedules have been omited since the required informaton is not present in amounts sufcient to require submission of the schedule, or because the required informaton is included in the consolidated fnancial statements or notes thereto.</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80" w:type="dxa"/>
            <w:vAlign w:val="bottom"/>
            <w:gridSpan w:val="3"/>
          </w:tcPr>
          <w:p>
            <w:pPr>
              <w:spacing w:after="0"/>
              <w:rPr>
                <w:sz w:val="20"/>
                <w:szCs w:val="20"/>
                <w:color w:val="auto"/>
              </w:rPr>
            </w:pPr>
            <w:r>
              <w:rPr>
                <w:rFonts w:ascii="Calibri" w:cs="Calibri" w:eastAsia="Calibri" w:hAnsi="Calibri"/>
                <w:sz w:val="17"/>
                <w:szCs w:val="17"/>
                <w:b w:val="1"/>
                <w:bCs w:val="1"/>
                <w:color w:val="1C4787"/>
              </w:rPr>
              <w:t>(3) Exhibits</w:t>
            </w:r>
          </w:p>
        </w:tc>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5"/>
        </w:trPr>
        <w:tc>
          <w:tcPr>
            <w:tcW w:w="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Calibri" w:cs="Calibri" w:eastAsia="Calibri" w:hAnsi="Calibri"/>
                <w:sz w:val="17"/>
                <w:szCs w:val="17"/>
                <w:b w:val="1"/>
                <w:bCs w:val="1"/>
                <w:color w:val="1C4787"/>
              </w:rPr>
              <w:t>Exhibit</w:t>
            </w:r>
          </w:p>
        </w:tc>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1060" w:type="dxa"/>
            <w:vAlign w:val="bottom"/>
            <w:gridSpan w:val="2"/>
          </w:tcPr>
          <w:p>
            <w:pPr>
              <w:ind w:left="20"/>
              <w:spacing w:after="0" w:line="205" w:lineRule="exact"/>
              <w:rPr>
                <w:sz w:val="20"/>
                <w:szCs w:val="20"/>
                <w:color w:val="auto"/>
              </w:rPr>
            </w:pPr>
            <w:r>
              <w:rPr>
                <w:rFonts w:ascii="Calibri" w:cs="Calibri" w:eastAsia="Calibri" w:hAnsi="Calibri"/>
                <w:sz w:val="17"/>
                <w:szCs w:val="17"/>
                <w:b w:val="1"/>
                <w:bCs w:val="1"/>
                <w:color w:val="1C4787"/>
              </w:rPr>
              <w:t>Number</w:t>
            </w:r>
          </w:p>
        </w:tc>
        <w:tc>
          <w:tcPr>
            <w:tcW w:w="20" w:type="dxa"/>
            <w:vAlign w:val="bottom"/>
          </w:tcPr>
          <w:p>
            <w:pPr>
              <w:spacing w:after="0"/>
              <w:rPr>
                <w:sz w:val="18"/>
                <w:szCs w:val="18"/>
                <w:color w:val="auto"/>
              </w:rPr>
            </w:pPr>
          </w:p>
        </w:tc>
        <w:tc>
          <w:tcPr>
            <w:tcW w:w="10160" w:type="dxa"/>
            <w:vAlign w:val="bottom"/>
            <w:gridSpan w:val="19"/>
          </w:tcPr>
          <w:p>
            <w:pPr>
              <w:spacing w:after="0"/>
              <w:rPr>
                <w:sz w:val="20"/>
                <w:szCs w:val="20"/>
                <w:color w:val="auto"/>
              </w:rPr>
            </w:pPr>
            <w:r>
              <w:rPr>
                <w:rFonts w:ascii="Calibri" w:cs="Calibri" w:eastAsia="Calibri" w:hAnsi="Calibri"/>
                <w:sz w:val="17"/>
                <w:szCs w:val="17"/>
                <w:b w:val="1"/>
                <w:bCs w:val="1"/>
                <w:color w:val="1C4787"/>
              </w:rPr>
              <w:t>Exhibit Index</w:t>
            </w:r>
          </w:p>
        </w:tc>
      </w:tr>
      <w:tr>
        <w:trPr>
          <w:trHeight w:val="22"/>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40" w:type="dxa"/>
            <w:vAlign w:val="bottom"/>
            <w:tcBorders>
              <w:top w:val="single" w:sz="8" w:color="auto"/>
            </w:tcBorders>
          </w:tcPr>
          <w:p>
            <w:pPr>
              <w:jc w:val="right"/>
              <w:spacing w:after="0" w:line="160" w:lineRule="exact"/>
              <w:rPr>
                <w:sz w:val="20"/>
                <w:szCs w:val="20"/>
                <w:color w:val="auto"/>
              </w:rPr>
            </w:pPr>
            <w:r>
              <w:rPr>
                <w:rFonts w:ascii="Calibri" w:cs="Calibri" w:eastAsia="Calibri" w:hAnsi="Calibri"/>
                <w:sz w:val="17"/>
                <w:szCs w:val="17"/>
                <w:color w:val="auto"/>
              </w:rPr>
              <w:t>3.1</w:t>
            </w: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140" w:type="dxa"/>
            <w:vAlign w:val="bottom"/>
            <w:tcBorders>
              <w:top w:val="single" w:sz="8" w:color="auto"/>
            </w:tcBorders>
            <w:gridSpan w:val="18"/>
          </w:tcPr>
          <w:p>
            <w:pPr>
              <w:spacing w:after="0" w:line="160" w:lineRule="exact"/>
              <w:rPr>
                <w:rFonts w:ascii="Calibri" w:cs="Calibri" w:eastAsia="Calibri" w:hAnsi="Calibri"/>
                <w:sz w:val="17"/>
                <w:szCs w:val="17"/>
                <w:color w:val="0000FF"/>
              </w:rPr>
            </w:pPr>
            <w:hyperlink r:id="rId300">
              <w:r>
                <w:rPr>
                  <w:rFonts w:ascii="Calibri" w:cs="Calibri" w:eastAsia="Calibri" w:hAnsi="Calibri"/>
                  <w:sz w:val="17"/>
                  <w:szCs w:val="17"/>
                  <w:color w:val="0000FF"/>
                </w:rPr>
                <w:t>Artcles of Amendment and Restatement of Artcles of Incorporaton of ARMOUR Residental REIT, Inc. (Incorporated by reference to Exhibit 3.4 to</w:t>
              </w:r>
            </w:hyperlink>
          </w:p>
        </w:tc>
        <w:tc>
          <w:tcPr>
            <w:tcW w:w="2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40" w:type="dxa"/>
            <w:vAlign w:val="bottom"/>
            <w:tcBorders>
              <w:top w:val="single" w:sz="8" w:color="0000FF"/>
              <w:bottom w:val="single" w:sz="8" w:color="0000FF"/>
            </w:tcBorders>
            <w:gridSpan w:val="4"/>
          </w:tcPr>
          <w:p>
            <w:pPr>
              <w:spacing w:after="0" w:line="148" w:lineRule="exact"/>
              <w:rPr>
                <w:rFonts w:ascii="Calibri" w:cs="Calibri" w:eastAsia="Calibri" w:hAnsi="Calibri"/>
                <w:sz w:val="16"/>
                <w:szCs w:val="16"/>
                <w:color w:val="0000FF"/>
              </w:rPr>
            </w:pPr>
            <w:hyperlink r:id="rId300">
              <w:r>
                <w:rPr>
                  <w:rFonts w:ascii="Calibri" w:cs="Calibri" w:eastAsia="Calibri" w:hAnsi="Calibri"/>
                  <w:sz w:val="16"/>
                  <w:szCs w:val="16"/>
                  <w:color w:val="0000FF"/>
                </w:rPr>
                <w:t>ARMOUR's Current Report on Form 8-K fled with the SEC on November 12, 2009)</w:t>
              </w:r>
            </w:hyperlink>
          </w:p>
        </w:tc>
        <w:tc>
          <w:tcPr>
            <w:tcW w:w="4340" w:type="dxa"/>
            <w:vAlign w:val="bottom"/>
            <w:tcBorders>
              <w:top w:val="single" w:sz="8" w:color="0000FF"/>
            </w:tcBorders>
            <w:gridSpan w:val="11"/>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r>
      <w:tr>
        <w:trPr>
          <w:trHeight w:val="212"/>
        </w:trPr>
        <w:tc>
          <w:tcPr>
            <w:tcW w:w="960" w:type="dxa"/>
            <w:vAlign w:val="bottom"/>
            <w:gridSpan w:val="2"/>
          </w:tcPr>
          <w:p>
            <w:pPr>
              <w:jc w:val="right"/>
              <w:spacing w:after="0"/>
              <w:rPr>
                <w:sz w:val="20"/>
                <w:szCs w:val="20"/>
                <w:color w:val="auto"/>
              </w:rPr>
            </w:pPr>
            <w:r>
              <w:rPr>
                <w:rFonts w:ascii="Calibri" w:cs="Calibri" w:eastAsia="Calibri" w:hAnsi="Calibri"/>
                <w:sz w:val="17"/>
                <w:szCs w:val="17"/>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19"/>
          </w:tcPr>
          <w:p>
            <w:pPr>
              <w:spacing w:after="0"/>
              <w:rPr>
                <w:rFonts w:ascii="Calibri" w:cs="Calibri" w:eastAsia="Calibri" w:hAnsi="Calibri"/>
                <w:sz w:val="17"/>
                <w:szCs w:val="17"/>
                <w:color w:val="0000FF"/>
              </w:rPr>
            </w:pPr>
            <w:hyperlink r:id="rId301">
              <w:r>
                <w:rPr>
                  <w:rFonts w:ascii="Calibri" w:cs="Calibri" w:eastAsia="Calibri" w:hAnsi="Calibri"/>
                  <w:sz w:val="17"/>
                  <w:szCs w:val="17"/>
                  <w:color w:val="0000FF"/>
                </w:rPr>
                <w:t>Artcles of Amendment to Artcles of Amendment and Restatement (Incorporated by reference to Exhibit 3.1 to ARMOUR's Current Report on Form</w:t>
              </w:r>
            </w:hyperlink>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60" w:type="dxa"/>
            <w:vAlign w:val="bottom"/>
            <w:tcBorders>
              <w:top w:val="single" w:sz="8" w:color="0000FF"/>
              <w:bottom w:val="single" w:sz="8" w:color="0000FF"/>
            </w:tcBorders>
          </w:tcPr>
          <w:p>
            <w:pPr>
              <w:spacing w:after="0" w:line="148" w:lineRule="exact"/>
              <w:rPr>
                <w:rFonts w:ascii="Calibri" w:cs="Calibri" w:eastAsia="Calibri" w:hAnsi="Calibri"/>
                <w:sz w:val="16"/>
                <w:szCs w:val="16"/>
                <w:color w:val="0000FF"/>
              </w:rPr>
            </w:pPr>
            <w:hyperlink r:id="rId301">
              <w:r>
                <w:rPr>
                  <w:rFonts w:ascii="Calibri" w:cs="Calibri" w:eastAsia="Calibri" w:hAnsi="Calibri"/>
                  <w:sz w:val="16"/>
                  <w:szCs w:val="16"/>
                  <w:color w:val="0000FF"/>
                </w:rPr>
                <w:t>8-K fled with the SEC on August 8, 2011)</w:t>
              </w:r>
            </w:hyperlink>
          </w:p>
        </w:tc>
        <w:tc>
          <w:tcPr>
            <w:tcW w:w="7200" w:type="dxa"/>
            <w:vAlign w:val="bottom"/>
            <w:tcBorders>
              <w:top w:val="single" w:sz="8" w:color="0000FF"/>
            </w:tcBorders>
            <w:gridSpan w:val="16"/>
          </w:tcPr>
          <w:p>
            <w:pPr>
              <w:spacing w:after="0"/>
              <w:rPr>
                <w:sz w:val="12"/>
                <w:szCs w:val="12"/>
                <w:color w:val="auto"/>
              </w:rPr>
            </w:pPr>
          </w:p>
        </w:tc>
        <w:tc>
          <w:tcPr>
            <w:tcW w:w="200" w:type="dxa"/>
            <w:vAlign w:val="bottom"/>
            <w:gridSpan w:val="2"/>
          </w:tcPr>
          <w:p>
            <w:pPr>
              <w:spacing w:after="0"/>
              <w:rPr>
                <w:sz w:val="12"/>
                <w:szCs w:val="12"/>
                <w:color w:val="auto"/>
              </w:rPr>
            </w:pPr>
          </w:p>
        </w:tc>
      </w:tr>
      <w:tr>
        <w:trPr>
          <w:trHeight w:val="212"/>
        </w:trPr>
        <w:tc>
          <w:tcPr>
            <w:tcW w:w="960" w:type="dxa"/>
            <w:vAlign w:val="bottom"/>
            <w:gridSpan w:val="2"/>
          </w:tcPr>
          <w:p>
            <w:pPr>
              <w:jc w:val="right"/>
              <w:spacing w:after="0"/>
              <w:rPr>
                <w:sz w:val="20"/>
                <w:szCs w:val="20"/>
                <w:color w:val="auto"/>
              </w:rPr>
            </w:pPr>
            <w:r>
              <w:rPr>
                <w:rFonts w:ascii="Calibri" w:cs="Calibri" w:eastAsia="Calibri" w:hAnsi="Calibri"/>
                <w:sz w:val="17"/>
                <w:szCs w:val="17"/>
                <w:color w:val="auto"/>
              </w:rPr>
              <w:t>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19"/>
          </w:tcPr>
          <w:p>
            <w:pPr>
              <w:spacing w:after="0"/>
              <w:rPr>
                <w:rFonts w:ascii="Calibri" w:cs="Calibri" w:eastAsia="Calibri" w:hAnsi="Calibri"/>
                <w:sz w:val="17"/>
                <w:szCs w:val="17"/>
                <w:color w:val="0000FF"/>
              </w:rPr>
            </w:pPr>
            <w:hyperlink r:id="rId302">
              <w:r>
                <w:rPr>
                  <w:rFonts w:ascii="Calibri" w:cs="Calibri" w:eastAsia="Calibri" w:hAnsi="Calibri"/>
                  <w:sz w:val="17"/>
                  <w:szCs w:val="17"/>
                  <w:color w:val="0000FF"/>
                </w:rPr>
                <w:t>Artcles of Amendment to Artcles of Amendment and Restatement (Incorporated by reference to Exhibit 3.1 to ARMOUR's Current Report on Form</w:t>
              </w:r>
            </w:hyperlink>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2"/>
          </w:tcPr>
          <w:p>
            <w:pPr>
              <w:spacing w:after="0" w:line="148" w:lineRule="exact"/>
              <w:rPr>
                <w:rFonts w:ascii="Calibri" w:cs="Calibri" w:eastAsia="Calibri" w:hAnsi="Calibri"/>
                <w:sz w:val="16"/>
                <w:szCs w:val="16"/>
                <w:color w:val="0000FF"/>
              </w:rPr>
            </w:pPr>
            <w:hyperlink r:id="rId302">
              <w:r>
                <w:rPr>
                  <w:rFonts w:ascii="Calibri" w:cs="Calibri" w:eastAsia="Calibri" w:hAnsi="Calibri"/>
                  <w:sz w:val="16"/>
                  <w:szCs w:val="16"/>
                  <w:color w:val="0000FF"/>
                </w:rPr>
                <w:t>8-K fled with the SEC on December 1, 2011)</w:t>
              </w:r>
            </w:hyperlink>
          </w:p>
        </w:tc>
        <w:tc>
          <w:tcPr>
            <w:tcW w:w="6960" w:type="dxa"/>
            <w:vAlign w:val="bottom"/>
            <w:tcBorders>
              <w:top w:val="single" w:sz="8" w:color="0000FF"/>
            </w:tcBorders>
            <w:gridSpan w:val="15"/>
          </w:tcPr>
          <w:p>
            <w:pPr>
              <w:spacing w:after="0"/>
              <w:rPr>
                <w:sz w:val="12"/>
                <w:szCs w:val="12"/>
                <w:color w:val="auto"/>
              </w:rPr>
            </w:pPr>
          </w:p>
        </w:tc>
        <w:tc>
          <w:tcPr>
            <w:tcW w:w="200" w:type="dxa"/>
            <w:vAlign w:val="bottom"/>
            <w:gridSpan w:val="2"/>
          </w:tcPr>
          <w:p>
            <w:pPr>
              <w:spacing w:after="0"/>
              <w:rPr>
                <w:sz w:val="12"/>
                <w:szCs w:val="12"/>
                <w:color w:val="auto"/>
              </w:rPr>
            </w:pPr>
          </w:p>
        </w:tc>
      </w:tr>
      <w:tr>
        <w:trPr>
          <w:trHeight w:val="212"/>
        </w:trPr>
        <w:tc>
          <w:tcPr>
            <w:tcW w:w="960" w:type="dxa"/>
            <w:vAlign w:val="bottom"/>
            <w:gridSpan w:val="2"/>
          </w:tcPr>
          <w:p>
            <w:pPr>
              <w:jc w:val="right"/>
              <w:spacing w:after="0"/>
              <w:rPr>
                <w:sz w:val="20"/>
                <w:szCs w:val="20"/>
                <w:color w:val="auto"/>
              </w:rPr>
            </w:pPr>
            <w:r>
              <w:rPr>
                <w:rFonts w:ascii="Calibri" w:cs="Calibri" w:eastAsia="Calibri" w:hAnsi="Calibri"/>
                <w:sz w:val="17"/>
                <w:szCs w:val="17"/>
                <w:color w:val="auto"/>
              </w:rPr>
              <w:t>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19"/>
          </w:tcPr>
          <w:p>
            <w:pPr>
              <w:spacing w:after="0"/>
              <w:rPr>
                <w:rFonts w:ascii="Calibri" w:cs="Calibri" w:eastAsia="Calibri" w:hAnsi="Calibri"/>
                <w:sz w:val="17"/>
                <w:szCs w:val="17"/>
                <w:color w:val="0000FF"/>
              </w:rPr>
            </w:pPr>
            <w:hyperlink r:id="rId303">
              <w:r>
                <w:rPr>
                  <w:rFonts w:ascii="Calibri" w:cs="Calibri" w:eastAsia="Calibri" w:hAnsi="Calibri"/>
                  <w:sz w:val="17"/>
                  <w:szCs w:val="17"/>
                  <w:color w:val="0000FF"/>
                </w:rPr>
                <w:t>Artcles of Amendment to Artcles of Amendment and Restatement of ARMOUR Residental REIT, Inc. (Incorporated by reference to Exhibit 3.3 to</w:t>
              </w:r>
            </w:hyperlink>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2"/>
          </w:tcPr>
          <w:p>
            <w:pPr>
              <w:spacing w:after="0" w:line="148" w:lineRule="exact"/>
              <w:rPr>
                <w:rFonts w:ascii="Calibri" w:cs="Calibri" w:eastAsia="Calibri" w:hAnsi="Calibri"/>
                <w:sz w:val="16"/>
                <w:szCs w:val="16"/>
                <w:color w:val="0000FF"/>
              </w:rPr>
            </w:pPr>
            <w:hyperlink r:id="rId303">
              <w:r>
                <w:rPr>
                  <w:rFonts w:ascii="Calibri" w:cs="Calibri" w:eastAsia="Calibri" w:hAnsi="Calibri"/>
                  <w:sz w:val="16"/>
                  <w:szCs w:val="16"/>
                  <w:color w:val="0000FF"/>
                </w:rPr>
                <w:t>ARMOUR's Quarterly Report on Form 10-Q fled with the SEC on November 1, 2012)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20" w:type="dxa"/>
            <w:vAlign w:val="bottom"/>
            <w:gridSpan w:val="3"/>
          </w:tcPr>
          <w:p>
            <w:pPr>
              <w:spacing w:after="0"/>
              <w:rPr>
                <w:sz w:val="12"/>
                <w:szCs w:val="12"/>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12"/>
        </w:trPr>
        <w:tc>
          <w:tcPr>
            <w:tcW w:w="960" w:type="dxa"/>
            <w:vAlign w:val="bottom"/>
            <w:gridSpan w:val="2"/>
          </w:tcPr>
          <w:p>
            <w:pPr>
              <w:jc w:val="right"/>
              <w:spacing w:after="0"/>
              <w:rPr>
                <w:sz w:val="20"/>
                <w:szCs w:val="20"/>
                <w:color w:val="auto"/>
              </w:rPr>
            </w:pPr>
            <w:r>
              <w:rPr>
                <w:rFonts w:ascii="Calibri" w:cs="Calibri" w:eastAsia="Calibri" w:hAnsi="Calibri"/>
                <w:sz w:val="17"/>
                <w:szCs w:val="17"/>
                <w:color w:val="auto"/>
              </w:rPr>
              <w:t>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19"/>
          </w:tcPr>
          <w:p>
            <w:pPr>
              <w:spacing w:after="0"/>
              <w:rPr>
                <w:rFonts w:ascii="Calibri" w:cs="Calibri" w:eastAsia="Calibri" w:hAnsi="Calibri"/>
                <w:sz w:val="17"/>
                <w:szCs w:val="17"/>
                <w:color w:val="0000FF"/>
              </w:rPr>
            </w:pPr>
            <w:hyperlink r:id="rId304">
              <w:r>
                <w:rPr>
                  <w:rFonts w:ascii="Calibri" w:cs="Calibri" w:eastAsia="Calibri" w:hAnsi="Calibri"/>
                  <w:sz w:val="17"/>
                  <w:szCs w:val="17"/>
                  <w:color w:val="0000FF"/>
                </w:rPr>
                <w:t>Artcles of Amendment to the Artcles of Amendment and Restatement of ARMOUR Residental REIT, Inc, efectve July 31, 2015 (Incorporated by</w:t>
              </w:r>
            </w:hyperlink>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13"/>
          </w:tcPr>
          <w:p>
            <w:pPr>
              <w:spacing w:after="0" w:line="148" w:lineRule="exact"/>
              <w:rPr>
                <w:rFonts w:ascii="Calibri" w:cs="Calibri" w:eastAsia="Calibri" w:hAnsi="Calibri"/>
                <w:sz w:val="16"/>
                <w:szCs w:val="16"/>
                <w:color w:val="0000FF"/>
              </w:rPr>
            </w:pPr>
            <w:hyperlink r:id="rId304">
              <w:r>
                <w:rPr>
                  <w:rFonts w:ascii="Calibri" w:cs="Calibri" w:eastAsia="Calibri" w:hAnsi="Calibri"/>
                  <w:sz w:val="16"/>
                  <w:szCs w:val="16"/>
                  <w:color w:val="0000FF"/>
                </w:rPr>
                <w:t>reference to Exhibit 3.1 to ARMOUR's Current Report on Form 8-K fled with the SEC on August 3, 2015)</w:t>
              </w:r>
            </w:hyperlink>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20" w:type="dxa"/>
            <w:vAlign w:val="bottom"/>
            <w:gridSpan w:val="3"/>
          </w:tcPr>
          <w:p>
            <w:pPr>
              <w:spacing w:after="0"/>
              <w:rPr>
                <w:sz w:val="12"/>
                <w:szCs w:val="12"/>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12"/>
        </w:trPr>
        <w:tc>
          <w:tcPr>
            <w:tcW w:w="960" w:type="dxa"/>
            <w:vAlign w:val="bottom"/>
            <w:gridSpan w:val="2"/>
          </w:tcPr>
          <w:p>
            <w:pPr>
              <w:jc w:val="right"/>
              <w:spacing w:after="0"/>
              <w:rPr>
                <w:sz w:val="20"/>
                <w:szCs w:val="20"/>
                <w:color w:val="auto"/>
              </w:rPr>
            </w:pPr>
            <w:r>
              <w:rPr>
                <w:rFonts w:ascii="Calibri" w:cs="Calibri" w:eastAsia="Calibri" w:hAnsi="Calibri"/>
                <w:sz w:val="17"/>
                <w:szCs w:val="17"/>
                <w:color w:val="auto"/>
              </w:rPr>
              <w:t>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19"/>
          </w:tcPr>
          <w:p>
            <w:pPr>
              <w:spacing w:after="0"/>
              <w:rPr>
                <w:rFonts w:ascii="Calibri" w:cs="Calibri" w:eastAsia="Calibri" w:hAnsi="Calibri"/>
                <w:sz w:val="17"/>
                <w:szCs w:val="17"/>
                <w:color w:val="0000FF"/>
              </w:rPr>
            </w:pPr>
            <w:hyperlink r:id="rId305">
              <w:r>
                <w:rPr>
                  <w:rFonts w:ascii="Calibri" w:cs="Calibri" w:eastAsia="Calibri" w:hAnsi="Calibri"/>
                  <w:sz w:val="17"/>
                  <w:szCs w:val="17"/>
                  <w:color w:val="0000FF"/>
                </w:rPr>
                <w:t>Artcles of Amendment to the Artcles of Amendment and Restatement of ARMOUR Residental REIT, Inc, efectve July 31, 2015 (Incorporated by</w:t>
              </w:r>
            </w:hyperlink>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13"/>
          </w:tcPr>
          <w:p>
            <w:pPr>
              <w:spacing w:after="0" w:line="148" w:lineRule="exact"/>
              <w:rPr>
                <w:rFonts w:ascii="Calibri" w:cs="Calibri" w:eastAsia="Calibri" w:hAnsi="Calibri"/>
                <w:sz w:val="16"/>
                <w:szCs w:val="16"/>
                <w:color w:val="0000FF"/>
              </w:rPr>
            </w:pPr>
            <w:hyperlink r:id="rId305">
              <w:r>
                <w:rPr>
                  <w:rFonts w:ascii="Calibri" w:cs="Calibri" w:eastAsia="Calibri" w:hAnsi="Calibri"/>
                  <w:sz w:val="16"/>
                  <w:szCs w:val="16"/>
                  <w:color w:val="0000FF"/>
                </w:rPr>
                <w:t>reference to Exhibit 3.2 to ARMOUR's Current Report on Form 8-K fled with the SEC on August 3, 2015)</w:t>
              </w:r>
            </w:hyperlink>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20" w:type="dxa"/>
            <w:vAlign w:val="bottom"/>
            <w:gridSpan w:val="3"/>
          </w:tcPr>
          <w:p>
            <w:pPr>
              <w:spacing w:after="0"/>
              <w:rPr>
                <w:sz w:val="12"/>
                <w:szCs w:val="12"/>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12"/>
        </w:trPr>
        <w:tc>
          <w:tcPr>
            <w:tcW w:w="960" w:type="dxa"/>
            <w:vAlign w:val="bottom"/>
            <w:gridSpan w:val="2"/>
          </w:tcPr>
          <w:p>
            <w:pPr>
              <w:jc w:val="right"/>
              <w:spacing w:after="0"/>
              <w:rPr>
                <w:sz w:val="20"/>
                <w:szCs w:val="20"/>
                <w:color w:val="auto"/>
              </w:rPr>
            </w:pPr>
            <w:r>
              <w:rPr>
                <w:rFonts w:ascii="Calibri" w:cs="Calibri" w:eastAsia="Calibri" w:hAnsi="Calibri"/>
                <w:sz w:val="17"/>
                <w:szCs w:val="17"/>
                <w:color w:val="auto"/>
              </w:rPr>
              <w:t>3.7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19"/>
          </w:tcPr>
          <w:p>
            <w:pPr>
              <w:spacing w:after="0"/>
              <w:rPr>
                <w:rFonts w:ascii="Calibri" w:cs="Calibri" w:eastAsia="Calibri" w:hAnsi="Calibri"/>
                <w:sz w:val="17"/>
                <w:szCs w:val="17"/>
                <w:color w:val="0000FF"/>
              </w:rPr>
            </w:pPr>
            <w:hyperlink r:id="rId306">
              <w:r>
                <w:rPr>
                  <w:rFonts w:ascii="Calibri" w:cs="Calibri" w:eastAsia="Calibri" w:hAnsi="Calibri"/>
                  <w:sz w:val="17"/>
                  <w:szCs w:val="17"/>
                  <w:color w:val="0000FF"/>
                </w:rPr>
                <w:t>Artcles Supplementary of 7.00% Series C Cumulatve Redeemable Preferred Stock (incorporated by reference to Exhibit 3.11 to ARMOUR's</w:t>
              </w:r>
            </w:hyperlink>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tcBorders>
            <w:gridSpan w:val="11"/>
          </w:tcPr>
          <w:p>
            <w:pPr>
              <w:spacing w:after="0" w:line="148" w:lineRule="exact"/>
              <w:rPr>
                <w:rFonts w:ascii="Calibri" w:cs="Calibri" w:eastAsia="Calibri" w:hAnsi="Calibri"/>
                <w:sz w:val="16"/>
                <w:szCs w:val="16"/>
                <w:color w:val="0000FF"/>
              </w:rPr>
            </w:pPr>
            <w:hyperlink r:id="rId306">
              <w:r>
                <w:rPr>
                  <w:rFonts w:ascii="Calibri" w:cs="Calibri" w:eastAsia="Calibri" w:hAnsi="Calibri"/>
                  <w:sz w:val="16"/>
                  <w:szCs w:val="16"/>
                  <w:color w:val="0000FF"/>
                </w:rPr>
                <w:t>Registraton Statement on Form 8-A (Reg. No. 001-34766), fled with the SEC on January 28, 2020)</w:t>
              </w:r>
            </w:hyperlink>
          </w:p>
        </w:tc>
        <w:tc>
          <w:tcPr>
            <w:tcW w:w="46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220" w:type="dxa"/>
            <w:vAlign w:val="bottom"/>
            <w:gridSpan w:val="3"/>
          </w:tcPr>
          <w:p>
            <w:pPr>
              <w:spacing w:after="0"/>
              <w:rPr>
                <w:sz w:val="12"/>
                <w:szCs w:val="12"/>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12"/>
        </w:trPr>
        <w:tc>
          <w:tcPr>
            <w:tcW w:w="960" w:type="dxa"/>
            <w:vAlign w:val="bottom"/>
            <w:gridSpan w:val="2"/>
          </w:tcPr>
          <w:p>
            <w:pPr>
              <w:jc w:val="right"/>
              <w:spacing w:after="0"/>
              <w:rPr>
                <w:sz w:val="20"/>
                <w:szCs w:val="20"/>
                <w:color w:val="auto"/>
              </w:rPr>
            </w:pPr>
            <w:r>
              <w:rPr>
                <w:rFonts w:ascii="Calibri" w:cs="Calibri" w:eastAsia="Calibri" w:hAnsi="Calibri"/>
                <w:sz w:val="17"/>
                <w:szCs w:val="17"/>
                <w:color w:val="auto"/>
              </w:rPr>
              <w:t>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19"/>
          </w:tcPr>
          <w:p>
            <w:pPr>
              <w:spacing w:after="0"/>
              <w:rPr>
                <w:rFonts w:ascii="Calibri" w:cs="Calibri" w:eastAsia="Calibri" w:hAnsi="Calibri"/>
                <w:sz w:val="17"/>
                <w:szCs w:val="17"/>
                <w:color w:val="0000FF"/>
              </w:rPr>
            </w:pPr>
            <w:hyperlink r:id="rId307">
              <w:r>
                <w:rPr>
                  <w:rFonts w:ascii="Calibri" w:cs="Calibri" w:eastAsia="Calibri" w:hAnsi="Calibri"/>
                  <w:sz w:val="17"/>
                  <w:szCs w:val="17"/>
                  <w:color w:val="0000FF"/>
                </w:rPr>
                <w:t>Artcles of Amendment to Artcles of Amendment and Restatement of ARMOUR Residental REIT, Inc., efectve August 20, 2021, (Incorporated by</w:t>
              </w:r>
            </w:hyperlink>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4"/>
          </w:tcPr>
          <w:p>
            <w:pPr>
              <w:spacing w:after="0" w:line="148" w:lineRule="exact"/>
              <w:rPr>
                <w:rFonts w:ascii="Calibri" w:cs="Calibri" w:eastAsia="Calibri" w:hAnsi="Calibri"/>
                <w:sz w:val="16"/>
                <w:szCs w:val="16"/>
                <w:color w:val="0000FF"/>
              </w:rPr>
            </w:pPr>
            <w:hyperlink r:id="rId307">
              <w:r>
                <w:rPr>
                  <w:rFonts w:ascii="Calibri" w:cs="Calibri" w:eastAsia="Calibri" w:hAnsi="Calibri"/>
                  <w:sz w:val="16"/>
                  <w:szCs w:val="16"/>
                  <w:color w:val="0000FF"/>
                </w:rPr>
                <w:t>reference to Exhibit 3.1 to ARMOUR's Current Report on Form 8-K fled with the SEC on August 20, 2021)</w:t>
              </w:r>
            </w:hyperlink>
          </w:p>
        </w:tc>
        <w:tc>
          <w:tcPr>
            <w:tcW w:w="100" w:type="dxa"/>
            <w:vAlign w:val="bottom"/>
            <w:gridSpan w:val="2"/>
          </w:tcPr>
          <w:p>
            <w:pPr>
              <w:spacing w:after="0"/>
              <w:rPr>
                <w:sz w:val="12"/>
                <w:szCs w:val="12"/>
                <w:color w:val="auto"/>
              </w:rPr>
            </w:pPr>
          </w:p>
        </w:tc>
        <w:tc>
          <w:tcPr>
            <w:tcW w:w="220" w:type="dxa"/>
            <w:vAlign w:val="bottom"/>
            <w:gridSpan w:val="3"/>
          </w:tcPr>
          <w:p>
            <w:pPr>
              <w:spacing w:after="0"/>
              <w:rPr>
                <w:sz w:val="12"/>
                <w:szCs w:val="12"/>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12"/>
        </w:trPr>
        <w:tc>
          <w:tcPr>
            <w:tcW w:w="960" w:type="dxa"/>
            <w:vAlign w:val="bottom"/>
            <w:gridSpan w:val="2"/>
          </w:tcPr>
          <w:p>
            <w:pPr>
              <w:jc w:val="right"/>
              <w:spacing w:after="0"/>
              <w:rPr>
                <w:sz w:val="20"/>
                <w:szCs w:val="20"/>
                <w:color w:val="auto"/>
              </w:rPr>
            </w:pPr>
            <w:r>
              <w:rPr>
                <w:rFonts w:ascii="Calibri" w:cs="Calibri" w:eastAsia="Calibri" w:hAnsi="Calibri"/>
                <w:sz w:val="17"/>
                <w:szCs w:val="17"/>
                <w:color w:val="auto"/>
              </w:rPr>
              <w:t>3.9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19"/>
          </w:tcPr>
          <w:p>
            <w:pPr>
              <w:spacing w:after="0"/>
              <w:rPr>
                <w:rFonts w:ascii="Calibri" w:cs="Calibri" w:eastAsia="Calibri" w:hAnsi="Calibri"/>
                <w:sz w:val="17"/>
                <w:szCs w:val="17"/>
                <w:color w:val="0000FF"/>
              </w:rPr>
            </w:pPr>
            <w:hyperlink r:id="rId308">
              <w:r>
                <w:rPr>
                  <w:rFonts w:ascii="Calibri" w:cs="Calibri" w:eastAsia="Calibri" w:hAnsi="Calibri"/>
                  <w:sz w:val="17"/>
                  <w:szCs w:val="17"/>
                  <w:color w:val="0000FF"/>
                </w:rPr>
                <w:t>Artcles of Amendment (incorporated by reference to Exhibit 3.1 to ARMOUR's Current Report on Form 8-K, fled on July 27, 2022)</w:t>
              </w:r>
            </w:hyperlink>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9"/>
        </w:trPr>
        <w:tc>
          <w:tcPr>
            <w:tcW w:w="960" w:type="dxa"/>
            <w:vAlign w:val="bottom"/>
            <w:gridSpan w:val="2"/>
          </w:tcPr>
          <w:p>
            <w:pPr>
              <w:jc w:val="right"/>
              <w:spacing w:after="0" w:line="199" w:lineRule="exact"/>
              <w:rPr>
                <w:sz w:val="20"/>
                <w:szCs w:val="20"/>
                <w:color w:val="auto"/>
              </w:rPr>
            </w:pPr>
            <w:r>
              <w:rPr>
                <w:rFonts w:ascii="Calibri" w:cs="Calibri" w:eastAsia="Calibri" w:hAnsi="Calibri"/>
                <w:sz w:val="17"/>
                <w:szCs w:val="17"/>
                <w:color w:val="auto"/>
              </w:rPr>
              <w:t>3.10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60" w:type="dxa"/>
            <w:vAlign w:val="bottom"/>
            <w:gridSpan w:val="19"/>
          </w:tcPr>
          <w:p>
            <w:pPr>
              <w:spacing w:after="0" w:line="199" w:lineRule="exact"/>
              <w:rPr>
                <w:rFonts w:ascii="Calibri" w:cs="Calibri" w:eastAsia="Calibri" w:hAnsi="Calibri"/>
                <w:sz w:val="17"/>
                <w:szCs w:val="17"/>
                <w:color w:val="0000FF"/>
              </w:rPr>
            </w:pPr>
            <w:hyperlink r:id="rId309">
              <w:r>
                <w:rPr>
                  <w:rFonts w:ascii="Calibri" w:cs="Calibri" w:eastAsia="Calibri" w:hAnsi="Calibri"/>
                  <w:sz w:val="17"/>
                  <w:szCs w:val="17"/>
                  <w:color w:val="0000FF"/>
                </w:rPr>
                <w:t>Artcles of Amendment to Artcles of Amendment and Restatement of ARMOUR Residental REIT, Inc., efectve February 14, 2023 (incorporated by</w:t>
              </w:r>
            </w:hyperlink>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6"/>
          </w:tcPr>
          <w:p>
            <w:pPr>
              <w:spacing w:after="0" w:line="148" w:lineRule="exact"/>
              <w:rPr>
                <w:rFonts w:ascii="Calibri" w:cs="Calibri" w:eastAsia="Calibri" w:hAnsi="Calibri"/>
                <w:sz w:val="16"/>
                <w:szCs w:val="16"/>
                <w:color w:val="0000FF"/>
              </w:rPr>
            </w:pPr>
            <w:hyperlink r:id="rId309">
              <w:r>
                <w:rPr>
                  <w:rFonts w:ascii="Calibri" w:cs="Calibri" w:eastAsia="Calibri" w:hAnsi="Calibri"/>
                  <w:sz w:val="16"/>
                  <w:szCs w:val="16"/>
                  <w:color w:val="0000FF"/>
                </w:rPr>
                <w:t>reference to Exhibit 3.10 to ARMOUR’s Annual Report on Form 10-K, fled February 15, 2023)</w:t>
              </w:r>
            </w:hyperlink>
          </w:p>
        </w:tc>
        <w:tc>
          <w:tcPr>
            <w:tcW w:w="220" w:type="dxa"/>
            <w:vAlign w:val="bottom"/>
            <w:gridSpan w:val="3"/>
          </w:tcPr>
          <w:p>
            <w:pPr>
              <w:spacing w:after="0"/>
              <w:rPr>
                <w:sz w:val="12"/>
                <w:szCs w:val="12"/>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3880" w:type="dxa"/>
            <w:vAlign w:val="bottom"/>
            <w:gridSpan w:val="13"/>
          </w:tcPr>
          <w:p>
            <w:pPr>
              <w:spacing w:after="0" w:line="20" w:lineRule="exact"/>
              <w:rPr>
                <w:sz w:val="1"/>
                <w:szCs w:val="1"/>
                <w:color w:val="auto"/>
              </w:rPr>
            </w:pPr>
          </w:p>
        </w:tc>
      </w:tr>
      <w:tr>
        <w:trPr>
          <w:trHeight w:val="212"/>
        </w:trPr>
        <w:tc>
          <w:tcPr>
            <w:tcW w:w="960" w:type="dxa"/>
            <w:vAlign w:val="bottom"/>
            <w:gridSpan w:val="2"/>
          </w:tcPr>
          <w:p>
            <w:pPr>
              <w:jc w:val="right"/>
              <w:spacing w:after="0"/>
              <w:rPr>
                <w:sz w:val="20"/>
                <w:szCs w:val="20"/>
                <w:color w:val="auto"/>
              </w:rPr>
            </w:pPr>
            <w:r>
              <w:rPr>
                <w:rFonts w:ascii="Calibri" w:cs="Calibri" w:eastAsia="Calibri" w:hAnsi="Calibri"/>
                <w:sz w:val="17"/>
                <w:szCs w:val="17"/>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19"/>
          </w:tcPr>
          <w:p>
            <w:pPr>
              <w:spacing w:after="0"/>
              <w:rPr>
                <w:rFonts w:ascii="Calibri" w:cs="Calibri" w:eastAsia="Calibri" w:hAnsi="Calibri"/>
                <w:sz w:val="17"/>
                <w:szCs w:val="17"/>
                <w:color w:val="0000FF"/>
              </w:rPr>
            </w:pPr>
            <w:hyperlink r:id="rId310">
              <w:r>
                <w:rPr>
                  <w:rFonts w:ascii="Calibri" w:cs="Calibri" w:eastAsia="Calibri" w:hAnsi="Calibri"/>
                  <w:sz w:val="17"/>
                  <w:szCs w:val="17"/>
                  <w:color w:val="0000FF"/>
                </w:rPr>
                <w:t>Artcles of Amendment to Artcles of Amendment and Restatement of ARMOUR Residental REIT, Inc. (Incorporated by reference to Exhibit 3.1 to</w:t>
              </w:r>
            </w:hyperlink>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2"/>
          </w:tcPr>
          <w:p>
            <w:pPr>
              <w:spacing w:after="0" w:line="148" w:lineRule="exact"/>
              <w:rPr>
                <w:rFonts w:ascii="Calibri" w:cs="Calibri" w:eastAsia="Calibri" w:hAnsi="Calibri"/>
                <w:sz w:val="16"/>
                <w:szCs w:val="16"/>
                <w:color w:val="0000FF"/>
              </w:rPr>
            </w:pPr>
            <w:hyperlink r:id="rId310">
              <w:r>
                <w:rPr>
                  <w:rFonts w:ascii="Calibri" w:cs="Calibri" w:eastAsia="Calibri" w:hAnsi="Calibri"/>
                  <w:sz w:val="16"/>
                  <w:szCs w:val="16"/>
                  <w:color w:val="0000FF"/>
                </w:rPr>
                <w:t>ARMOUR's Current Report on Form 8-K fled with the SEC on October 2, 2023)</w:t>
              </w:r>
            </w:hyperlink>
          </w:p>
        </w:tc>
        <w:tc>
          <w:tcPr>
            <w:tcW w:w="360" w:type="dxa"/>
            <w:vAlign w:val="bottom"/>
            <w:gridSpan w:val="7"/>
          </w:tcPr>
          <w:p>
            <w:pPr>
              <w:spacing w:after="0"/>
              <w:rPr>
                <w:sz w:val="12"/>
                <w:szCs w:val="12"/>
                <w:color w:val="auto"/>
              </w:rPr>
            </w:pPr>
          </w:p>
        </w:tc>
      </w:tr>
      <w:tr>
        <w:trPr>
          <w:trHeight w:val="1958"/>
        </w:trPr>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-752475</wp:posOffset>
            </wp:positionV>
            <wp:extent cx="458470" cy="5073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3">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2"/>
        </w:trPr>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20" w:type="dxa"/>
            <w:vAlign w:val="bottom"/>
            <w:gridSpan w:val="28"/>
          </w:tcPr>
          <w:p>
            <w:pPr>
              <w:jc w:val="center"/>
              <w:ind w:right="3520"/>
              <w:spacing w:after="0"/>
              <w:rPr>
                <w:sz w:val="20"/>
                <w:szCs w:val="20"/>
                <w:color w:val="auto"/>
              </w:rPr>
            </w:pPr>
            <w:r>
              <w:rPr>
                <w:rFonts w:ascii="Calibri" w:cs="Calibri" w:eastAsia="Calibri" w:hAnsi="Calibri"/>
                <w:sz w:val="19"/>
                <w:szCs w:val="19"/>
                <w:b w:val="1"/>
                <w:bCs w:val="1"/>
                <w:color w:val="1C4787"/>
              </w:rPr>
              <w:t>ARMOUR Residental REIT, Inc.</w:t>
            </w:r>
          </w:p>
        </w:tc>
      </w:tr>
      <w:tr>
        <w:trPr>
          <w:trHeight w:val="226"/>
        </w:trPr>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900" w:type="dxa"/>
            <w:vAlign w:val="bottom"/>
            <w:gridSpan w:val="30"/>
          </w:tcPr>
          <w:p>
            <w:pPr>
              <w:jc w:val="center"/>
              <w:ind w:right="3340"/>
              <w:spacing w:after="0" w:line="226" w:lineRule="exact"/>
              <w:rPr>
                <w:sz w:val="20"/>
                <w:szCs w:val="20"/>
                <w:color w:val="auto"/>
              </w:rPr>
            </w:pPr>
            <w:r>
              <w:rPr>
                <w:rFonts w:ascii="Calibri" w:cs="Calibri" w:eastAsia="Calibri" w:hAnsi="Calibri"/>
                <w:sz w:val="19"/>
                <w:szCs w:val="19"/>
                <w:b w:val="1"/>
                <w:bCs w:val="1"/>
                <w:color w:val="1C4787"/>
              </w:rPr>
              <w:t>Exhibits and Financial Statement Schedules (contnued)</w:t>
            </w:r>
          </w:p>
        </w:tc>
      </w:tr>
      <w:tr>
        <w:trPr>
          <w:trHeight w:val="215"/>
        </w:trPr>
        <w:tc>
          <w:tcPr>
            <w:tcW w:w="1100" w:type="dxa"/>
            <w:vAlign w:val="bottom"/>
          </w:tcPr>
          <w:p>
            <w:pPr>
              <w:spacing w:after="0"/>
              <w:rPr>
                <w:sz w:val="18"/>
                <w:szCs w:val="18"/>
                <w:color w:val="auto"/>
              </w:rPr>
            </w:pPr>
          </w:p>
        </w:tc>
        <w:tc>
          <w:tcPr>
            <w:tcW w:w="10140" w:type="dxa"/>
            <w:vAlign w:val="bottom"/>
            <w:gridSpan w:val="34"/>
          </w:tcPr>
          <w:p>
            <w:pPr>
              <w:ind w:left="9900"/>
              <w:spacing w:after="0"/>
              <w:rPr>
                <w:sz w:val="20"/>
                <w:szCs w:val="20"/>
                <w:color w:val="auto"/>
              </w:rPr>
            </w:pPr>
            <w:r>
              <w:rPr>
                <w:rFonts w:ascii="Calibri" w:cs="Calibri" w:eastAsia="Calibri" w:hAnsi="Calibri"/>
                <w:sz w:val="17"/>
                <w:szCs w:val="17"/>
                <w:color w:val="1C4787"/>
                <w:w w:val="84"/>
              </w:rPr>
              <w:t>121</w:t>
            </w:r>
          </w:p>
        </w:tc>
      </w:tr>
      <w:tr>
        <w:trPr>
          <w:trHeight w:val="770"/>
        </w:trPr>
        <w:tc>
          <w:tcPr>
            <w:tcW w:w="1100" w:type="dxa"/>
            <w:vAlign w:val="bottom"/>
          </w:tcPr>
          <w:p>
            <w:pPr>
              <w:jc w:val="right"/>
              <w:ind w:right="114"/>
              <w:spacing w:after="0"/>
              <w:rPr>
                <w:sz w:val="20"/>
                <w:szCs w:val="20"/>
                <w:color w:val="auto"/>
              </w:rPr>
            </w:pPr>
            <w:r>
              <w:rPr>
                <w:rFonts w:ascii="Calibri" w:cs="Calibri" w:eastAsia="Calibri" w:hAnsi="Calibri"/>
                <w:sz w:val="17"/>
                <w:szCs w:val="17"/>
                <w:color w:val="auto"/>
              </w:rPr>
              <w:t>3.12</w:t>
            </w:r>
          </w:p>
        </w:tc>
        <w:tc>
          <w:tcPr>
            <w:tcW w:w="10140" w:type="dxa"/>
            <w:vAlign w:val="bottom"/>
            <w:gridSpan w:val="34"/>
          </w:tcPr>
          <w:p>
            <w:pPr>
              <w:spacing w:after="0"/>
              <w:rPr>
                <w:rFonts w:ascii="Calibri" w:cs="Calibri" w:eastAsia="Calibri" w:hAnsi="Calibri"/>
                <w:sz w:val="17"/>
                <w:szCs w:val="17"/>
                <w:color w:val="0000FF"/>
                <w:w w:val="99"/>
              </w:rPr>
            </w:pPr>
            <w:hyperlink r:id="rId314">
              <w:r>
                <w:rPr>
                  <w:rFonts w:ascii="Calibri" w:cs="Calibri" w:eastAsia="Calibri" w:hAnsi="Calibri"/>
                  <w:sz w:val="17"/>
                  <w:szCs w:val="17"/>
                  <w:color w:val="0000FF"/>
                  <w:w w:val="99"/>
                </w:rPr>
                <w:t>Artcles of Amendment to the Artcles of Amendment and Restatement of ARMOUR Residental REIT, Inc. (Incorporated by reference to Exhibit 3.2 to</w:t>
              </w:r>
            </w:hyperlink>
          </w:p>
        </w:tc>
      </w:tr>
      <w:tr>
        <w:trPr>
          <w:trHeight w:val="160"/>
        </w:trPr>
        <w:tc>
          <w:tcPr>
            <w:tcW w:w="1100" w:type="dxa"/>
            <w:vAlign w:val="bottom"/>
          </w:tcPr>
          <w:p>
            <w:pPr>
              <w:spacing w:after="0"/>
              <w:rPr>
                <w:sz w:val="13"/>
                <w:szCs w:val="13"/>
                <w:color w:val="auto"/>
              </w:rPr>
            </w:pPr>
          </w:p>
        </w:tc>
        <w:tc>
          <w:tcPr>
            <w:tcW w:w="10080" w:type="dxa"/>
            <w:vAlign w:val="bottom"/>
            <w:tcBorders>
              <w:top w:val="single" w:sz="8" w:color="0000FF"/>
            </w:tcBorders>
            <w:gridSpan w:val="31"/>
          </w:tcPr>
          <w:p>
            <w:pPr>
              <w:spacing w:after="0" w:line="160" w:lineRule="exact"/>
              <w:rPr>
                <w:rFonts w:ascii="Calibri" w:cs="Calibri" w:eastAsia="Calibri" w:hAnsi="Calibri"/>
                <w:sz w:val="17"/>
                <w:szCs w:val="17"/>
                <w:color w:val="0000FF"/>
              </w:rPr>
            </w:pPr>
            <w:hyperlink r:id="rId314">
              <w:r>
                <w:rPr>
                  <w:rFonts w:ascii="Calibri" w:cs="Calibri" w:eastAsia="Calibri" w:hAnsi="Calibri"/>
                  <w:sz w:val="17"/>
                  <w:szCs w:val="17"/>
                  <w:color w:val="0000FF"/>
                </w:rPr>
                <w:t>ARMOUR's Current Report on Form 8-K fled with the SEC on October 2,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4.1</w:t>
            </w:r>
          </w:p>
        </w:tc>
        <w:tc>
          <w:tcPr>
            <w:tcW w:w="10140" w:type="dxa"/>
            <w:vAlign w:val="bottom"/>
            <w:gridSpan w:val="34"/>
          </w:tcPr>
          <w:p>
            <w:pPr>
              <w:spacing w:after="0" w:line="199" w:lineRule="exact"/>
              <w:rPr>
                <w:sz w:val="20"/>
                <w:szCs w:val="20"/>
                <w:color w:val="auto"/>
              </w:rPr>
            </w:pPr>
            <w:r>
              <w:rPr>
                <w:rFonts w:ascii="Calibri" w:cs="Calibri" w:eastAsia="Calibri" w:hAnsi="Calibri"/>
                <w:sz w:val="17"/>
                <w:szCs w:val="17"/>
                <w:color w:val="0000FF"/>
              </w:rPr>
              <w:t xml:space="preserve">Descripton of securites registered pursuant to Secton 12 of the Securites Exchange Act of 1934 </w:t>
            </w:r>
            <w:r>
              <w:rPr>
                <w:rFonts w:ascii="Calibri" w:cs="Calibri" w:eastAsia="Calibri" w:hAnsi="Calibri"/>
                <w:sz w:val="17"/>
                <w:szCs w:val="17"/>
                <w:color w:val="000000"/>
              </w:rPr>
              <w:t>†</w:t>
            </w:r>
          </w:p>
        </w:tc>
      </w:tr>
      <w:tr>
        <w:trPr>
          <w:trHeight w:val="20"/>
        </w:trPr>
        <w:tc>
          <w:tcPr>
            <w:tcW w:w="1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4.2</w:t>
            </w:r>
          </w:p>
        </w:tc>
        <w:tc>
          <w:tcPr>
            <w:tcW w:w="10140" w:type="dxa"/>
            <w:vAlign w:val="bottom"/>
            <w:gridSpan w:val="34"/>
          </w:tcPr>
          <w:p>
            <w:pPr>
              <w:spacing w:after="0" w:line="199" w:lineRule="exact"/>
              <w:rPr>
                <w:rFonts w:ascii="Calibri" w:cs="Calibri" w:eastAsia="Calibri" w:hAnsi="Calibri"/>
                <w:sz w:val="17"/>
                <w:szCs w:val="17"/>
                <w:color w:val="0000FF"/>
                <w:w w:val="99"/>
              </w:rPr>
            </w:pPr>
            <w:hyperlink r:id="rId315">
              <w:r>
                <w:rPr>
                  <w:rFonts w:ascii="Calibri" w:cs="Calibri" w:eastAsia="Calibri" w:hAnsi="Calibri"/>
                  <w:sz w:val="17"/>
                  <w:szCs w:val="17"/>
                  <w:color w:val="0000FF"/>
                  <w:w w:val="99"/>
                </w:rPr>
                <w:t>Specimen Common Stock Certfcate of ARMOUR Residental REIT, Inc. (incorporated by reference to Exhibit 4.2 of ARMOUR's Registraton Statement</w:t>
              </w:r>
            </w:hyperlink>
          </w:p>
        </w:tc>
      </w:tr>
      <w:tr>
        <w:trPr>
          <w:trHeight w:val="160"/>
        </w:trPr>
        <w:tc>
          <w:tcPr>
            <w:tcW w:w="1100" w:type="dxa"/>
            <w:vAlign w:val="bottom"/>
          </w:tcPr>
          <w:p>
            <w:pPr>
              <w:spacing w:after="0"/>
              <w:rPr>
                <w:sz w:val="13"/>
                <w:szCs w:val="13"/>
                <w:color w:val="auto"/>
              </w:rPr>
            </w:pPr>
          </w:p>
        </w:tc>
        <w:tc>
          <w:tcPr>
            <w:tcW w:w="10100" w:type="dxa"/>
            <w:vAlign w:val="bottom"/>
            <w:tcBorders>
              <w:top w:val="single" w:sz="8" w:color="0000FF"/>
            </w:tcBorders>
            <w:gridSpan w:val="32"/>
          </w:tcPr>
          <w:p>
            <w:pPr>
              <w:spacing w:after="0" w:line="160" w:lineRule="exact"/>
              <w:rPr>
                <w:rFonts w:ascii="Calibri" w:cs="Calibri" w:eastAsia="Calibri" w:hAnsi="Calibri"/>
                <w:sz w:val="17"/>
                <w:szCs w:val="17"/>
                <w:color w:val="0000FF"/>
              </w:rPr>
            </w:pPr>
            <w:hyperlink r:id="rId315">
              <w:r>
                <w:rPr>
                  <w:rFonts w:ascii="Calibri" w:cs="Calibri" w:eastAsia="Calibri" w:hAnsi="Calibri"/>
                  <w:sz w:val="17"/>
                  <w:szCs w:val="17"/>
                  <w:color w:val="0000FF"/>
                </w:rPr>
                <w:t>on Form S-4 (Reg. No. 333-160870))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4.3</w:t>
            </w:r>
          </w:p>
        </w:tc>
        <w:tc>
          <w:tcPr>
            <w:tcW w:w="10140" w:type="dxa"/>
            <w:vAlign w:val="bottom"/>
            <w:gridSpan w:val="34"/>
          </w:tcPr>
          <w:p>
            <w:pPr>
              <w:spacing w:after="0" w:line="199" w:lineRule="exact"/>
              <w:rPr>
                <w:rFonts w:ascii="Calibri" w:cs="Calibri" w:eastAsia="Calibri" w:hAnsi="Calibri"/>
                <w:sz w:val="17"/>
                <w:szCs w:val="17"/>
                <w:color w:val="0000FF"/>
              </w:rPr>
            </w:pPr>
            <w:hyperlink r:id="rId316">
              <w:r>
                <w:rPr>
                  <w:rFonts w:ascii="Calibri" w:cs="Calibri" w:eastAsia="Calibri" w:hAnsi="Calibri"/>
                  <w:sz w:val="17"/>
                  <w:szCs w:val="17"/>
                  <w:color w:val="0000FF"/>
                </w:rPr>
                <w:t>Specimen 7.00% Series C Cumulatve Redeemable Preferred Stock Certfcate of ARMOUR Residental REIT, Inc. (incorporated by reference to Exhibit</w:t>
              </w:r>
            </w:hyperlink>
          </w:p>
        </w:tc>
      </w:tr>
      <w:tr>
        <w:trPr>
          <w:trHeight w:val="160"/>
        </w:trPr>
        <w:tc>
          <w:tcPr>
            <w:tcW w:w="1100" w:type="dxa"/>
            <w:vAlign w:val="bottom"/>
          </w:tcPr>
          <w:p>
            <w:pPr>
              <w:spacing w:after="0"/>
              <w:rPr>
                <w:sz w:val="13"/>
                <w:szCs w:val="13"/>
                <w:color w:val="auto"/>
              </w:rPr>
            </w:pPr>
          </w:p>
        </w:tc>
        <w:tc>
          <w:tcPr>
            <w:tcW w:w="10040" w:type="dxa"/>
            <w:vAlign w:val="bottom"/>
            <w:tcBorders>
              <w:top w:val="single" w:sz="8" w:color="0000FF"/>
            </w:tcBorders>
            <w:gridSpan w:val="29"/>
          </w:tcPr>
          <w:p>
            <w:pPr>
              <w:spacing w:after="0" w:line="160" w:lineRule="exact"/>
              <w:rPr>
                <w:rFonts w:ascii="Calibri" w:cs="Calibri" w:eastAsia="Calibri" w:hAnsi="Calibri"/>
                <w:sz w:val="17"/>
                <w:szCs w:val="17"/>
                <w:color w:val="0000FF"/>
              </w:rPr>
            </w:pPr>
            <w:hyperlink r:id="rId316">
              <w:r>
                <w:rPr>
                  <w:rFonts w:ascii="Calibri" w:cs="Calibri" w:eastAsia="Calibri" w:hAnsi="Calibri"/>
                  <w:sz w:val="17"/>
                  <w:szCs w:val="17"/>
                  <w:color w:val="0000FF"/>
                </w:rPr>
                <w:t>4.</w:t>
              </w:r>
              <w:r>
                <w:rPr>
                  <w:rFonts w:ascii="Calibri" w:cs="Calibri" w:eastAsia="Calibri" w:hAnsi="Calibri"/>
                  <w:sz w:val="17"/>
                  <w:szCs w:val="17"/>
                  <w:u w:val="single" w:color="auto"/>
                  <w:color w:val="0000FF"/>
                </w:rPr>
                <w:t>3</w:t>
              </w:r>
              <w:r>
                <w:rPr>
                  <w:rFonts w:ascii="Calibri" w:cs="Calibri" w:eastAsia="Calibri" w:hAnsi="Calibri"/>
                  <w:sz w:val="17"/>
                  <w:szCs w:val="17"/>
                  <w:color w:val="0000FF"/>
                </w:rPr>
                <w:t xml:space="preserve"> to ARMOUR's Registraton Statement on Form 8-A (Reg. No. 001-34766) fled with the SEC on January 28, 2020</w:t>
              </w:r>
              <w:r>
                <w:rPr>
                  <w:rFonts w:ascii="Calibri" w:cs="Calibri" w:eastAsia="Calibri" w:hAnsi="Calibri"/>
                  <w:sz w:val="17"/>
                  <w:szCs w:val="17"/>
                  <w:color w:val="000000"/>
                </w:rPr>
                <w: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10.1</w:t>
            </w:r>
          </w:p>
        </w:tc>
        <w:tc>
          <w:tcPr>
            <w:tcW w:w="10140" w:type="dxa"/>
            <w:vAlign w:val="bottom"/>
            <w:gridSpan w:val="34"/>
          </w:tcPr>
          <w:p>
            <w:pPr>
              <w:spacing w:after="0" w:line="199" w:lineRule="exact"/>
              <w:rPr>
                <w:rFonts w:ascii="Calibri" w:cs="Calibri" w:eastAsia="Calibri" w:hAnsi="Calibri"/>
                <w:sz w:val="17"/>
                <w:szCs w:val="17"/>
                <w:color w:val="0000FF"/>
              </w:rPr>
            </w:pPr>
            <w:hyperlink r:id="rId317">
              <w:r>
                <w:rPr>
                  <w:rFonts w:ascii="Calibri" w:cs="Calibri" w:eastAsia="Calibri" w:hAnsi="Calibri"/>
                  <w:sz w:val="17"/>
                  <w:szCs w:val="17"/>
                  <w:color w:val="0000FF"/>
                </w:rPr>
                <w:t>ARMOUR Residental REIT, Inc.'s Third Amended and Restated 2009 Stock Incentve Plan (incorporated by reference to Appendix A to ARMOUR's</w:t>
              </w:r>
            </w:hyperlink>
          </w:p>
        </w:tc>
      </w:tr>
      <w:tr>
        <w:trPr>
          <w:trHeight w:val="160"/>
        </w:trPr>
        <w:tc>
          <w:tcPr>
            <w:tcW w:w="1100" w:type="dxa"/>
            <w:vAlign w:val="bottom"/>
          </w:tcPr>
          <w:p>
            <w:pPr>
              <w:spacing w:after="0"/>
              <w:rPr>
                <w:sz w:val="13"/>
                <w:szCs w:val="13"/>
                <w:color w:val="auto"/>
              </w:rPr>
            </w:pPr>
          </w:p>
        </w:tc>
        <w:tc>
          <w:tcPr>
            <w:tcW w:w="9780" w:type="dxa"/>
            <w:vAlign w:val="bottom"/>
            <w:tcBorders>
              <w:top w:val="single" w:sz="8" w:color="0000FF"/>
            </w:tcBorders>
            <w:gridSpan w:val="22"/>
          </w:tcPr>
          <w:p>
            <w:pPr>
              <w:spacing w:after="0" w:line="160" w:lineRule="exact"/>
              <w:rPr>
                <w:rFonts w:ascii="Calibri" w:cs="Calibri" w:eastAsia="Calibri" w:hAnsi="Calibri"/>
                <w:sz w:val="17"/>
                <w:szCs w:val="17"/>
                <w:color w:val="0000FF"/>
              </w:rPr>
            </w:pPr>
            <w:hyperlink r:id="rId317">
              <w:r>
                <w:rPr>
                  <w:rFonts w:ascii="Calibri" w:cs="Calibri" w:eastAsia="Calibri" w:hAnsi="Calibri"/>
                  <w:sz w:val="17"/>
                  <w:szCs w:val="17"/>
                  <w:color w:val="0000FF"/>
                </w:rPr>
                <w:t>Defnitve Proxy Statement on Schedule 14A, fled April 1, 2021)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10.2</w:t>
            </w:r>
          </w:p>
        </w:tc>
        <w:tc>
          <w:tcPr>
            <w:tcW w:w="10140" w:type="dxa"/>
            <w:vAlign w:val="bottom"/>
            <w:gridSpan w:val="34"/>
          </w:tcPr>
          <w:p>
            <w:pPr>
              <w:spacing w:after="0" w:line="199" w:lineRule="exact"/>
              <w:rPr>
                <w:rFonts w:ascii="Calibri" w:cs="Calibri" w:eastAsia="Calibri" w:hAnsi="Calibri"/>
                <w:sz w:val="17"/>
                <w:szCs w:val="17"/>
                <w:color w:val="0000FF"/>
                <w:w w:val="99"/>
              </w:rPr>
            </w:pPr>
            <w:hyperlink r:id="rId318">
              <w:r>
                <w:rPr>
                  <w:rFonts w:ascii="Calibri" w:cs="Calibri" w:eastAsia="Calibri" w:hAnsi="Calibri"/>
                  <w:sz w:val="17"/>
                  <w:szCs w:val="17"/>
                  <w:color w:val="0000FF"/>
                  <w:w w:val="99"/>
                </w:rPr>
                <w:t>Fourth Amended and Restated Equity Sales Agreement, dated January 17, 2023, by and among ARMOUR Residental REIT, Inc. and ARMOUR Capital</w:t>
              </w:r>
            </w:hyperlink>
          </w:p>
        </w:tc>
      </w:tr>
      <w:tr>
        <w:trPr>
          <w:trHeight w:val="160"/>
        </w:trPr>
        <w:tc>
          <w:tcPr>
            <w:tcW w:w="1100" w:type="dxa"/>
            <w:vAlign w:val="bottom"/>
          </w:tcPr>
          <w:p>
            <w:pPr>
              <w:spacing w:after="0"/>
              <w:rPr>
                <w:sz w:val="13"/>
                <w:szCs w:val="13"/>
                <w:color w:val="auto"/>
              </w:rPr>
            </w:pPr>
          </w:p>
        </w:tc>
        <w:tc>
          <w:tcPr>
            <w:tcW w:w="10020" w:type="dxa"/>
            <w:vAlign w:val="bottom"/>
            <w:tcBorders>
              <w:top w:val="single" w:sz="8" w:color="0000FF"/>
            </w:tcBorders>
            <w:gridSpan w:val="28"/>
          </w:tcPr>
          <w:p>
            <w:pPr>
              <w:spacing w:after="0" w:line="160" w:lineRule="exact"/>
              <w:rPr>
                <w:rFonts w:ascii="Calibri" w:cs="Calibri" w:eastAsia="Calibri" w:hAnsi="Calibri"/>
                <w:sz w:val="17"/>
                <w:szCs w:val="17"/>
                <w:color w:val="0000FF"/>
              </w:rPr>
            </w:pPr>
            <w:hyperlink r:id="rId318">
              <w:r>
                <w:rPr>
                  <w:rFonts w:ascii="Calibri" w:cs="Calibri" w:eastAsia="Calibri" w:hAnsi="Calibri"/>
                  <w:sz w:val="17"/>
                  <w:szCs w:val="17"/>
                  <w:color w:val="0000FF"/>
                </w:rPr>
                <w:t>Management LP, and BUCKLER Securites LLC, JMP Securites LLC, Ladenburg Thalmann &amp; Co. Inc., B. Riley Securites, Inc., and JonesTrading</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1100" w:type="dxa"/>
            <w:vAlign w:val="bottom"/>
          </w:tcPr>
          <w:p>
            <w:pPr>
              <w:spacing w:after="0"/>
              <w:rPr>
                <w:sz w:val="12"/>
                <w:szCs w:val="12"/>
                <w:color w:val="auto"/>
              </w:rPr>
            </w:pPr>
          </w:p>
        </w:tc>
        <w:tc>
          <w:tcPr>
            <w:tcW w:w="9180" w:type="dxa"/>
            <w:vAlign w:val="bottom"/>
            <w:tcBorders>
              <w:top w:val="single" w:sz="8" w:color="0000FF"/>
              <w:bottom w:val="single" w:sz="8" w:color="0000FF"/>
            </w:tcBorders>
            <w:gridSpan w:val="16"/>
          </w:tcPr>
          <w:p>
            <w:pPr>
              <w:spacing w:after="0" w:line="148" w:lineRule="exact"/>
              <w:rPr>
                <w:rFonts w:ascii="Calibri" w:cs="Calibri" w:eastAsia="Calibri" w:hAnsi="Calibri"/>
                <w:sz w:val="16"/>
                <w:szCs w:val="16"/>
                <w:color w:val="0000FF"/>
              </w:rPr>
            </w:pPr>
            <w:hyperlink r:id="rId318">
              <w:r>
                <w:rPr>
                  <w:rFonts w:ascii="Calibri" w:cs="Calibri" w:eastAsia="Calibri" w:hAnsi="Calibri"/>
                  <w:sz w:val="16"/>
                  <w:szCs w:val="16"/>
                  <w:color w:val="0000FF"/>
                </w:rPr>
                <w:t>Insttutonal Services LLC (incorporated by reference to Exhibit 1.1 to ARMOUR’s Current Report on Form 8-K, fled on January 17, 2023)</w:t>
              </w:r>
            </w:hyperlink>
          </w:p>
        </w:tc>
        <w:tc>
          <w:tcPr>
            <w:tcW w:w="24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10.3</w:t>
            </w:r>
          </w:p>
        </w:tc>
        <w:tc>
          <w:tcPr>
            <w:tcW w:w="9880" w:type="dxa"/>
            <w:vAlign w:val="bottom"/>
            <w:tcBorders>
              <w:bottom w:val="single" w:sz="8" w:color="0000FF"/>
            </w:tcBorders>
            <w:gridSpan w:val="24"/>
          </w:tcPr>
          <w:p>
            <w:pPr>
              <w:spacing w:after="0" w:line="199" w:lineRule="exact"/>
              <w:rPr>
                <w:rFonts w:ascii="Calibri" w:cs="Calibri" w:eastAsia="Calibri" w:hAnsi="Calibri"/>
                <w:sz w:val="17"/>
                <w:szCs w:val="17"/>
                <w:color w:val="0000FF"/>
                <w:w w:val="98"/>
              </w:rPr>
            </w:pPr>
            <w:hyperlink r:id="rId319">
              <w:r>
                <w:rPr>
                  <w:rFonts w:ascii="Calibri" w:cs="Calibri" w:eastAsia="Calibri" w:hAnsi="Calibri"/>
                  <w:sz w:val="17"/>
                  <w:szCs w:val="17"/>
                  <w:color w:val="0000FF"/>
                  <w:w w:val="98"/>
                </w:rPr>
                <w:t>First Amended and Restated Sub-Management Agreement, dated February 23, 2015, by and among Staton Bell Blank Check LLC, ARMOUR Capital</w:t>
              </w:r>
            </w:hyperlink>
          </w:p>
        </w:tc>
        <w:tc>
          <w:tcPr>
            <w:tcW w:w="260" w:type="dxa"/>
            <w:vAlign w:val="bottom"/>
            <w:gridSpan w:val="10"/>
          </w:tcPr>
          <w:p>
            <w:pPr>
              <w:spacing w:after="0"/>
              <w:rPr>
                <w:sz w:val="17"/>
                <w:szCs w:val="17"/>
                <w:color w:val="auto"/>
              </w:rPr>
            </w:pPr>
          </w:p>
        </w:tc>
      </w:tr>
      <w:tr>
        <w:trPr>
          <w:trHeight w:val="160"/>
        </w:trPr>
        <w:tc>
          <w:tcPr>
            <w:tcW w:w="1100" w:type="dxa"/>
            <w:vAlign w:val="bottom"/>
          </w:tcPr>
          <w:p>
            <w:pPr>
              <w:spacing w:after="0"/>
              <w:rPr>
                <w:sz w:val="13"/>
                <w:szCs w:val="13"/>
                <w:color w:val="auto"/>
              </w:rPr>
            </w:pPr>
          </w:p>
        </w:tc>
        <w:tc>
          <w:tcPr>
            <w:tcW w:w="10140" w:type="dxa"/>
            <w:vAlign w:val="bottom"/>
            <w:gridSpan w:val="34"/>
          </w:tcPr>
          <w:p>
            <w:pPr>
              <w:spacing w:after="0" w:line="160" w:lineRule="exact"/>
              <w:rPr>
                <w:rFonts w:ascii="Calibri" w:cs="Calibri" w:eastAsia="Calibri" w:hAnsi="Calibri"/>
                <w:sz w:val="17"/>
                <w:szCs w:val="17"/>
                <w:color w:val="0000FF"/>
              </w:rPr>
            </w:pPr>
            <w:hyperlink r:id="rId319">
              <w:r>
                <w:rPr>
                  <w:rFonts w:ascii="Calibri" w:cs="Calibri" w:eastAsia="Calibri" w:hAnsi="Calibri"/>
                  <w:sz w:val="17"/>
                  <w:szCs w:val="17"/>
                  <w:color w:val="0000FF"/>
                </w:rPr>
                <w:t>Management LP and ARMOUR Residental REIT, Inc. (Incorporated by reference to Exhibit 10.6 to ARMOUR's Annual Report on Form 10-K fled with</w:t>
              </w:r>
            </w:hyperlink>
          </w:p>
        </w:tc>
      </w:tr>
      <w:tr>
        <w:trPr>
          <w:trHeight w:val="148"/>
        </w:trPr>
        <w:tc>
          <w:tcPr>
            <w:tcW w:w="1100" w:type="dxa"/>
            <w:vAlign w:val="bottom"/>
          </w:tcPr>
          <w:p>
            <w:pPr>
              <w:spacing w:after="0"/>
              <w:rPr>
                <w:sz w:val="12"/>
                <w:szCs w:val="12"/>
                <w:color w:val="auto"/>
              </w:rPr>
            </w:pPr>
          </w:p>
        </w:tc>
        <w:tc>
          <w:tcPr>
            <w:tcW w:w="9980" w:type="dxa"/>
            <w:vAlign w:val="bottom"/>
            <w:tcBorders>
              <w:top w:val="single" w:sz="8" w:color="0000FF"/>
            </w:tcBorders>
            <w:gridSpan w:val="26"/>
          </w:tcPr>
          <w:p>
            <w:pPr>
              <w:spacing w:after="0" w:line="148" w:lineRule="exact"/>
              <w:rPr>
                <w:rFonts w:ascii="Calibri" w:cs="Calibri" w:eastAsia="Calibri" w:hAnsi="Calibri"/>
                <w:sz w:val="16"/>
                <w:szCs w:val="16"/>
                <w:color w:val="0000FF"/>
              </w:rPr>
            </w:pPr>
            <w:hyperlink r:id="rId319">
              <w:r>
                <w:rPr>
                  <w:rFonts w:ascii="Calibri" w:cs="Calibri" w:eastAsia="Calibri" w:hAnsi="Calibri"/>
                  <w:sz w:val="16"/>
                  <w:szCs w:val="16"/>
                  <w:color w:val="0000FF"/>
                </w:rPr>
                <w:t>the SEC on February 24, 2015)</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10.4</w:t>
            </w:r>
          </w:p>
        </w:tc>
        <w:tc>
          <w:tcPr>
            <w:tcW w:w="10140" w:type="dxa"/>
            <w:vAlign w:val="bottom"/>
            <w:gridSpan w:val="34"/>
          </w:tcPr>
          <w:p>
            <w:pPr>
              <w:spacing w:after="0" w:line="199" w:lineRule="exact"/>
              <w:rPr>
                <w:rFonts w:ascii="Calibri" w:cs="Calibri" w:eastAsia="Calibri" w:hAnsi="Calibri"/>
                <w:sz w:val="17"/>
                <w:szCs w:val="17"/>
                <w:color w:val="0000FF"/>
              </w:rPr>
            </w:pPr>
            <w:hyperlink r:id="rId320">
              <w:r>
                <w:rPr>
                  <w:rFonts w:ascii="Calibri" w:cs="Calibri" w:eastAsia="Calibri" w:hAnsi="Calibri"/>
                  <w:sz w:val="17"/>
                  <w:szCs w:val="17"/>
                  <w:color w:val="0000FF"/>
                </w:rPr>
                <w:t>Equity Sales Agreement, dated January 29, 2020, among ARMOUR Residental REIT, Inc., ARMOUR Capital Management LP, B. Riley FBR, Inc. and</w:t>
              </w:r>
            </w:hyperlink>
          </w:p>
        </w:tc>
      </w:tr>
      <w:tr>
        <w:trPr>
          <w:trHeight w:val="160"/>
        </w:trPr>
        <w:tc>
          <w:tcPr>
            <w:tcW w:w="1100" w:type="dxa"/>
            <w:vAlign w:val="bottom"/>
          </w:tcPr>
          <w:p>
            <w:pPr>
              <w:spacing w:after="0"/>
              <w:rPr>
                <w:sz w:val="13"/>
                <w:szCs w:val="13"/>
                <w:color w:val="auto"/>
              </w:rPr>
            </w:pPr>
          </w:p>
        </w:tc>
        <w:tc>
          <w:tcPr>
            <w:tcW w:w="9760" w:type="dxa"/>
            <w:vAlign w:val="bottom"/>
            <w:tcBorders>
              <w:top w:val="single" w:sz="8" w:color="0000FF"/>
            </w:tcBorders>
            <w:gridSpan w:val="21"/>
          </w:tcPr>
          <w:p>
            <w:pPr>
              <w:spacing w:after="0" w:line="160" w:lineRule="exact"/>
              <w:rPr>
                <w:rFonts w:ascii="Calibri" w:cs="Calibri" w:eastAsia="Calibri" w:hAnsi="Calibri"/>
                <w:sz w:val="17"/>
                <w:szCs w:val="17"/>
                <w:color w:val="0000FF"/>
                <w:w w:val="98"/>
              </w:rPr>
            </w:pPr>
            <w:hyperlink r:id="rId320">
              <w:r>
                <w:rPr>
                  <w:rFonts w:ascii="Calibri" w:cs="Calibri" w:eastAsia="Calibri" w:hAnsi="Calibri"/>
                  <w:sz w:val="17"/>
                  <w:szCs w:val="17"/>
                  <w:color w:val="0000FF"/>
                  <w:w w:val="98"/>
                </w:rPr>
                <w:t>BUCKLER Securites LLC (incorporated by reference to Exhibit 1.1 to the Current Report on Form 8-K, fled by ARMOUR Residental REIT, Inc. with</w:t>
              </w:r>
            </w:hyperlink>
          </w:p>
        </w:tc>
        <w:tc>
          <w:tcPr>
            <w:tcW w:w="380" w:type="dxa"/>
            <w:vAlign w:val="bottom"/>
            <w:gridSpan w:val="13"/>
          </w:tcPr>
          <w:p>
            <w:pPr>
              <w:ind w:left="40"/>
              <w:spacing w:after="0" w:line="160" w:lineRule="exact"/>
              <w:rPr>
                <w:rFonts w:ascii="Calibri" w:cs="Calibri" w:eastAsia="Calibri" w:hAnsi="Calibri"/>
                <w:sz w:val="17"/>
                <w:szCs w:val="17"/>
                <w:color w:val="0000FF"/>
              </w:rPr>
            </w:pPr>
            <w:hyperlink r:id="rId320">
              <w:r>
                <w:rPr>
                  <w:rFonts w:ascii="Calibri" w:cs="Calibri" w:eastAsia="Calibri" w:hAnsi="Calibri"/>
                  <w:sz w:val="17"/>
                  <w:szCs w:val="17"/>
                  <w:color w:val="0000FF"/>
                </w:rPr>
                <w:t>the</w:t>
              </w:r>
            </w:hyperlink>
          </w:p>
        </w:tc>
      </w:tr>
      <w:tr>
        <w:trPr>
          <w:trHeight w:val="148"/>
        </w:trPr>
        <w:tc>
          <w:tcPr>
            <w:tcW w:w="11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2"/>
          </w:tcPr>
          <w:p>
            <w:pPr>
              <w:spacing w:after="0" w:line="148" w:lineRule="exact"/>
              <w:rPr>
                <w:rFonts w:ascii="Calibri" w:cs="Calibri" w:eastAsia="Calibri" w:hAnsi="Calibri"/>
                <w:sz w:val="16"/>
                <w:szCs w:val="16"/>
                <w:color w:val="0000FF"/>
              </w:rPr>
            </w:pPr>
            <w:hyperlink r:id="rId320">
              <w:r>
                <w:rPr>
                  <w:rFonts w:ascii="Calibri" w:cs="Calibri" w:eastAsia="Calibri" w:hAnsi="Calibri"/>
                  <w:sz w:val="16"/>
                  <w:szCs w:val="16"/>
                  <w:color w:val="0000FF"/>
                </w:rPr>
                <w:t>SEC on January 31, 2020)</w:t>
              </w:r>
            </w:hyperlink>
          </w:p>
        </w:tc>
        <w:tc>
          <w:tcPr>
            <w:tcW w:w="8360" w:type="dxa"/>
            <w:vAlign w:val="bottom"/>
            <w:tcBorders>
              <w:top w:val="single" w:sz="8" w:color="0000FF"/>
            </w:tcBorders>
            <w:gridSpan w:val="28"/>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10.5</w:t>
            </w:r>
          </w:p>
        </w:tc>
        <w:tc>
          <w:tcPr>
            <w:tcW w:w="9740" w:type="dxa"/>
            <w:vAlign w:val="bottom"/>
            <w:tcBorders>
              <w:bottom w:val="single" w:sz="8" w:color="0000FF"/>
            </w:tcBorders>
            <w:gridSpan w:val="20"/>
          </w:tcPr>
          <w:p>
            <w:pPr>
              <w:spacing w:after="0" w:line="199" w:lineRule="exact"/>
              <w:rPr>
                <w:rFonts w:ascii="Calibri" w:cs="Calibri" w:eastAsia="Calibri" w:hAnsi="Calibri"/>
                <w:sz w:val="17"/>
                <w:szCs w:val="17"/>
                <w:color w:val="0000FF"/>
                <w:w w:val="98"/>
              </w:rPr>
            </w:pPr>
            <w:hyperlink r:id="rId321">
              <w:r>
                <w:rPr>
                  <w:rFonts w:ascii="Calibri" w:cs="Calibri" w:eastAsia="Calibri" w:hAnsi="Calibri"/>
                  <w:sz w:val="17"/>
                  <w:szCs w:val="17"/>
                  <w:color w:val="0000FF"/>
                  <w:w w:val="98"/>
                </w:rPr>
                <w:t>Equity Sales Agreement, dated July 26, 2023, by and among ARMOUR Residental REIT, Inc. and ARMOUR Capital Management LP, and BUCKLER</w:t>
              </w:r>
            </w:hyperlink>
          </w:p>
        </w:tc>
        <w:tc>
          <w:tcPr>
            <w:tcW w:w="400" w:type="dxa"/>
            <w:vAlign w:val="bottom"/>
            <w:gridSpan w:val="14"/>
          </w:tcPr>
          <w:p>
            <w:pPr>
              <w:spacing w:after="0"/>
              <w:rPr>
                <w:sz w:val="17"/>
                <w:szCs w:val="17"/>
                <w:color w:val="auto"/>
              </w:rPr>
            </w:pPr>
          </w:p>
        </w:tc>
      </w:tr>
      <w:tr>
        <w:trPr>
          <w:trHeight w:val="160"/>
        </w:trPr>
        <w:tc>
          <w:tcPr>
            <w:tcW w:w="1100" w:type="dxa"/>
            <w:vAlign w:val="bottom"/>
          </w:tcPr>
          <w:p>
            <w:pPr>
              <w:spacing w:after="0"/>
              <w:rPr>
                <w:sz w:val="13"/>
                <w:szCs w:val="13"/>
                <w:color w:val="auto"/>
              </w:rPr>
            </w:pPr>
          </w:p>
        </w:tc>
        <w:tc>
          <w:tcPr>
            <w:tcW w:w="10140" w:type="dxa"/>
            <w:vAlign w:val="bottom"/>
            <w:gridSpan w:val="34"/>
          </w:tcPr>
          <w:p>
            <w:pPr>
              <w:spacing w:after="0" w:line="160" w:lineRule="exact"/>
              <w:rPr>
                <w:rFonts w:ascii="Calibri" w:cs="Calibri" w:eastAsia="Calibri" w:hAnsi="Calibri"/>
                <w:sz w:val="17"/>
                <w:szCs w:val="17"/>
                <w:color w:val="0000FF"/>
              </w:rPr>
            </w:pPr>
            <w:hyperlink r:id="rId321">
              <w:r>
                <w:rPr>
                  <w:rFonts w:ascii="Calibri" w:cs="Calibri" w:eastAsia="Calibri" w:hAnsi="Calibri"/>
                  <w:sz w:val="17"/>
                  <w:szCs w:val="17"/>
                  <w:color w:val="0000FF"/>
                </w:rPr>
                <w:t>Securites LLC, JonesTrading Insttutonal Services LLC, JMP Securites LLC, Ladenburg Thalmann &amp; Co. Inc., and B. Riley Securites, Inc. (Incorporated</w:t>
              </w:r>
            </w:hyperlink>
          </w:p>
        </w:tc>
      </w:tr>
      <w:tr>
        <w:trPr>
          <w:trHeight w:val="148"/>
        </w:trPr>
        <w:tc>
          <w:tcPr>
            <w:tcW w:w="1100" w:type="dxa"/>
            <w:vAlign w:val="bottom"/>
          </w:tcPr>
          <w:p>
            <w:pPr>
              <w:spacing w:after="0"/>
              <w:rPr>
                <w:sz w:val="12"/>
                <w:szCs w:val="12"/>
                <w:color w:val="auto"/>
              </w:rPr>
            </w:pPr>
          </w:p>
        </w:tc>
        <w:tc>
          <w:tcPr>
            <w:tcW w:w="10000" w:type="dxa"/>
            <w:vAlign w:val="bottom"/>
            <w:tcBorders>
              <w:top w:val="single" w:sz="8" w:color="0000FF"/>
            </w:tcBorders>
            <w:gridSpan w:val="27"/>
          </w:tcPr>
          <w:p>
            <w:pPr>
              <w:spacing w:after="0" w:line="148" w:lineRule="exact"/>
              <w:rPr>
                <w:rFonts w:ascii="Calibri" w:cs="Calibri" w:eastAsia="Calibri" w:hAnsi="Calibri"/>
                <w:sz w:val="16"/>
                <w:szCs w:val="16"/>
                <w:color w:val="0000FF"/>
              </w:rPr>
            </w:pPr>
            <w:hyperlink r:id="rId321">
              <w:r>
                <w:rPr>
                  <w:rFonts w:ascii="Calibri" w:cs="Calibri" w:eastAsia="Calibri" w:hAnsi="Calibri"/>
                  <w:sz w:val="16"/>
                  <w:szCs w:val="16"/>
                  <w:color w:val="0000FF"/>
                </w:rPr>
                <w:t>by reference to Exhibit 10.1 to ARMOUR's Quarterly Report on Form 10-Q fled with the SEC on July 26, 2023)</w:t>
              </w:r>
            </w:hyperlink>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10.6</w:t>
            </w:r>
          </w:p>
        </w:tc>
        <w:tc>
          <w:tcPr>
            <w:tcW w:w="10140" w:type="dxa"/>
            <w:vAlign w:val="bottom"/>
            <w:gridSpan w:val="34"/>
          </w:tcPr>
          <w:p>
            <w:pPr>
              <w:spacing w:after="0" w:line="199" w:lineRule="exact"/>
              <w:rPr>
                <w:rFonts w:ascii="Calibri" w:cs="Calibri" w:eastAsia="Calibri" w:hAnsi="Calibri"/>
                <w:sz w:val="17"/>
                <w:szCs w:val="17"/>
                <w:color w:val="0000FF"/>
              </w:rPr>
            </w:pPr>
            <w:hyperlink r:id="rId322">
              <w:r>
                <w:rPr>
                  <w:rFonts w:ascii="Calibri" w:cs="Calibri" w:eastAsia="Calibri" w:hAnsi="Calibri"/>
                  <w:sz w:val="17"/>
                  <w:szCs w:val="17"/>
                  <w:color w:val="0000FF"/>
                </w:rPr>
                <w:t>Amendment No. 1, dated October 25, 2023, by and among ARMOUR Residental REIT, Inc. and ARMOUR Capital Management LP, and BUCKLER</w:t>
              </w:r>
            </w:hyperlink>
          </w:p>
        </w:tc>
      </w:tr>
      <w:tr>
        <w:trPr>
          <w:trHeight w:val="160"/>
        </w:trPr>
        <w:tc>
          <w:tcPr>
            <w:tcW w:w="1100" w:type="dxa"/>
            <w:vAlign w:val="bottom"/>
          </w:tcPr>
          <w:p>
            <w:pPr>
              <w:spacing w:after="0"/>
              <w:rPr>
                <w:sz w:val="13"/>
                <w:szCs w:val="13"/>
                <w:color w:val="auto"/>
              </w:rPr>
            </w:pPr>
          </w:p>
        </w:tc>
        <w:tc>
          <w:tcPr>
            <w:tcW w:w="9680" w:type="dxa"/>
            <w:vAlign w:val="bottom"/>
            <w:tcBorders>
              <w:top w:val="single" w:sz="8" w:color="0000FF"/>
            </w:tcBorders>
            <w:gridSpan w:val="19"/>
          </w:tcPr>
          <w:p>
            <w:pPr>
              <w:spacing w:after="0" w:line="160" w:lineRule="exact"/>
              <w:rPr>
                <w:rFonts w:ascii="Calibri" w:cs="Calibri" w:eastAsia="Calibri" w:hAnsi="Calibri"/>
                <w:sz w:val="17"/>
                <w:szCs w:val="17"/>
                <w:color w:val="0000FF"/>
              </w:rPr>
            </w:pPr>
            <w:hyperlink r:id="rId322">
              <w:r>
                <w:rPr>
                  <w:rFonts w:ascii="Calibri" w:cs="Calibri" w:eastAsia="Calibri" w:hAnsi="Calibri"/>
                  <w:sz w:val="17"/>
                  <w:szCs w:val="17"/>
                  <w:color w:val="0000FF"/>
                </w:rPr>
                <w:t>Securites LLC, JonesTrading Insttutonal Services LLC, Citzens JMP Securites, LLC, Ladenburg Thalmann &amp; Co. Inc., B. Riley Securites, Inc. and</w:t>
              </w:r>
            </w:hyperlink>
          </w:p>
        </w:tc>
        <w:tc>
          <w:tcPr>
            <w:tcW w:w="18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1100" w:type="dxa"/>
            <w:vAlign w:val="bottom"/>
          </w:tcPr>
          <w:p>
            <w:pPr>
              <w:spacing w:after="0"/>
              <w:rPr>
                <w:sz w:val="12"/>
                <w:szCs w:val="12"/>
                <w:color w:val="auto"/>
              </w:rPr>
            </w:pPr>
          </w:p>
        </w:tc>
        <w:tc>
          <w:tcPr>
            <w:tcW w:w="9620" w:type="dxa"/>
            <w:vAlign w:val="bottom"/>
            <w:tcBorders>
              <w:top w:val="single" w:sz="8" w:color="0000FF"/>
            </w:tcBorders>
            <w:gridSpan w:val="18"/>
          </w:tcPr>
          <w:p>
            <w:pPr>
              <w:spacing w:after="0" w:line="148" w:lineRule="exact"/>
              <w:rPr>
                <w:rFonts w:ascii="Calibri" w:cs="Calibri" w:eastAsia="Calibri" w:hAnsi="Calibri"/>
                <w:sz w:val="16"/>
                <w:szCs w:val="16"/>
                <w:color w:val="0000FF"/>
              </w:rPr>
            </w:pPr>
            <w:hyperlink r:id="rId322">
              <w:r>
                <w:rPr>
                  <w:rFonts w:ascii="Calibri" w:cs="Calibri" w:eastAsia="Calibri" w:hAnsi="Calibri"/>
                  <w:sz w:val="16"/>
                  <w:szCs w:val="16"/>
                  <w:color w:val="0000FF"/>
                </w:rPr>
                <w:t>StockBlock Securites LLC (Incorporated by reference to Exhibit 10.2 to the Quarterly Report on Form 10-Q, fled by ARMOUR Residental REIT,</w:t>
              </w:r>
            </w:hyperlink>
          </w:p>
        </w:tc>
        <w:tc>
          <w:tcPr>
            <w:tcW w:w="520" w:type="dxa"/>
            <w:vAlign w:val="bottom"/>
            <w:gridSpan w:val="16"/>
          </w:tcPr>
          <w:p>
            <w:pPr>
              <w:spacing w:after="0" w:line="148" w:lineRule="exact"/>
              <w:rPr>
                <w:rFonts w:ascii="Calibri" w:cs="Calibri" w:eastAsia="Calibri" w:hAnsi="Calibri"/>
                <w:sz w:val="16"/>
                <w:szCs w:val="16"/>
                <w:color w:val="0000FF"/>
              </w:rPr>
            </w:pPr>
            <w:hyperlink r:id="rId322">
              <w:r>
                <w:rPr>
                  <w:rFonts w:ascii="Calibri" w:cs="Calibri" w:eastAsia="Calibri" w:hAnsi="Calibri"/>
                  <w:sz w:val="16"/>
                  <w:szCs w:val="16"/>
                  <w:color w:val="0000FF"/>
                </w:rPr>
                <w:t>Inc.</w:t>
              </w:r>
            </w:hyperlink>
          </w:p>
        </w:tc>
      </w:tr>
      <w:tr>
        <w:trPr>
          <w:trHeight w:val="148"/>
        </w:trPr>
        <w:tc>
          <w:tcPr>
            <w:tcW w:w="1100" w:type="dxa"/>
            <w:vAlign w:val="bottom"/>
          </w:tcPr>
          <w:p>
            <w:pPr>
              <w:spacing w:after="0"/>
              <w:rPr>
                <w:sz w:val="12"/>
                <w:szCs w:val="12"/>
                <w:color w:val="auto"/>
              </w:rPr>
            </w:pPr>
          </w:p>
        </w:tc>
        <w:tc>
          <w:tcPr>
            <w:tcW w:w="9860" w:type="dxa"/>
            <w:vAlign w:val="bottom"/>
            <w:tcBorders>
              <w:top w:val="single" w:sz="8" w:color="0000FF"/>
            </w:tcBorders>
            <w:gridSpan w:val="23"/>
          </w:tcPr>
          <w:p>
            <w:pPr>
              <w:spacing w:after="0" w:line="148" w:lineRule="exact"/>
              <w:rPr>
                <w:rFonts w:ascii="Calibri" w:cs="Calibri" w:eastAsia="Calibri" w:hAnsi="Calibri"/>
                <w:sz w:val="16"/>
                <w:szCs w:val="16"/>
                <w:color w:val="0000FF"/>
              </w:rPr>
            </w:pPr>
            <w:hyperlink r:id="rId322">
              <w:r>
                <w:rPr>
                  <w:rFonts w:ascii="Calibri" w:cs="Calibri" w:eastAsia="Calibri" w:hAnsi="Calibri"/>
                  <w:sz w:val="16"/>
                  <w:szCs w:val="16"/>
                  <w:color w:val="0000FF"/>
                </w:rPr>
                <w:t>with the SEC on October 25, 2023)</w:t>
              </w:r>
            </w:hyperlink>
          </w:p>
        </w:tc>
        <w:tc>
          <w:tcPr>
            <w:tcW w:w="10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40" w:type="dxa"/>
            <w:vAlign w:val="bottom"/>
            <w:gridSpan w:val="1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10.7</w:t>
            </w:r>
          </w:p>
        </w:tc>
        <w:tc>
          <w:tcPr>
            <w:tcW w:w="10140" w:type="dxa"/>
            <w:vAlign w:val="bottom"/>
            <w:gridSpan w:val="34"/>
          </w:tcPr>
          <w:p>
            <w:pPr>
              <w:spacing w:after="0" w:line="199" w:lineRule="exact"/>
              <w:rPr>
                <w:rFonts w:ascii="Calibri" w:cs="Calibri" w:eastAsia="Calibri" w:hAnsi="Calibri"/>
                <w:sz w:val="17"/>
                <w:szCs w:val="17"/>
                <w:color w:val="0000FF"/>
                <w:w w:val="99"/>
              </w:rPr>
            </w:pPr>
            <w:hyperlink r:id="rId323">
              <w:r>
                <w:rPr>
                  <w:rFonts w:ascii="Calibri" w:cs="Calibri" w:eastAsia="Calibri" w:hAnsi="Calibri"/>
                  <w:sz w:val="17"/>
                  <w:szCs w:val="17"/>
                  <w:color w:val="0000FF"/>
                  <w:w w:val="99"/>
                </w:rPr>
                <w:t>Eighth Amended and Restated Management Agreement, dated and efectve as of February 14, 2023, by and between ARMOUR Residental REIT, Inc.</w:t>
              </w:r>
            </w:hyperlink>
          </w:p>
        </w:tc>
      </w:tr>
      <w:tr>
        <w:trPr>
          <w:trHeight w:val="160"/>
        </w:trPr>
        <w:tc>
          <w:tcPr>
            <w:tcW w:w="1100" w:type="dxa"/>
            <w:vAlign w:val="bottom"/>
          </w:tcPr>
          <w:p>
            <w:pPr>
              <w:spacing w:after="0"/>
              <w:rPr>
                <w:sz w:val="13"/>
                <w:szCs w:val="13"/>
                <w:color w:val="auto"/>
              </w:rPr>
            </w:pPr>
          </w:p>
        </w:tc>
        <w:tc>
          <w:tcPr>
            <w:tcW w:w="10120" w:type="dxa"/>
            <w:vAlign w:val="bottom"/>
            <w:tcBorders>
              <w:top w:val="single" w:sz="8" w:color="0000FF"/>
            </w:tcBorders>
            <w:gridSpan w:val="33"/>
          </w:tcPr>
          <w:p>
            <w:pPr>
              <w:spacing w:after="0" w:line="160" w:lineRule="exact"/>
              <w:rPr>
                <w:rFonts w:ascii="Calibri" w:cs="Calibri" w:eastAsia="Calibri" w:hAnsi="Calibri"/>
                <w:sz w:val="17"/>
                <w:szCs w:val="17"/>
                <w:color w:val="0000FF"/>
                <w:w w:val="99"/>
              </w:rPr>
            </w:pPr>
            <w:hyperlink r:id="rId323">
              <w:r>
                <w:rPr>
                  <w:rFonts w:ascii="Calibri" w:cs="Calibri" w:eastAsia="Calibri" w:hAnsi="Calibri"/>
                  <w:sz w:val="17"/>
                  <w:szCs w:val="17"/>
                  <w:color w:val="0000FF"/>
                  <w:w w:val="99"/>
                </w:rPr>
                <w:t>and ARMOUR Capital Management LP †(incorporated by reference to Exhibit 10.2 to ARMOUR’s Annual Report on Form 10-K, fled on February 15,</w:t>
              </w:r>
            </w:hyperlink>
          </w:p>
        </w:tc>
        <w:tc>
          <w:tcPr>
            <w:tcW w:w="20" w:type="dxa"/>
            <w:vAlign w:val="bottom"/>
          </w:tcPr>
          <w:p>
            <w:pPr>
              <w:spacing w:after="0"/>
              <w:rPr>
                <w:sz w:val="13"/>
                <w:szCs w:val="13"/>
                <w:color w:val="auto"/>
              </w:rPr>
            </w:pPr>
          </w:p>
        </w:tc>
      </w:tr>
      <w:tr>
        <w:trPr>
          <w:trHeight w:val="148"/>
        </w:trPr>
        <w:tc>
          <w:tcPr>
            <w:tcW w:w="1100" w:type="dxa"/>
            <w:vAlign w:val="bottom"/>
          </w:tcPr>
          <w:p>
            <w:pPr>
              <w:spacing w:after="0"/>
              <w:rPr>
                <w:sz w:val="12"/>
                <w:szCs w:val="12"/>
                <w:color w:val="auto"/>
              </w:rPr>
            </w:pPr>
          </w:p>
        </w:tc>
        <w:tc>
          <w:tcPr>
            <w:tcW w:w="380" w:type="dxa"/>
            <w:vAlign w:val="bottom"/>
            <w:tcBorders>
              <w:top w:val="single" w:sz="8" w:color="0000FF"/>
              <w:bottom w:val="single" w:sz="8" w:color="0000FF"/>
            </w:tcBorders>
          </w:tcPr>
          <w:p>
            <w:pPr>
              <w:spacing w:after="0" w:line="148" w:lineRule="exact"/>
              <w:rPr>
                <w:rFonts w:ascii="Calibri" w:cs="Calibri" w:eastAsia="Calibri" w:hAnsi="Calibri"/>
                <w:sz w:val="16"/>
                <w:szCs w:val="16"/>
                <w:color w:val="0000FF"/>
                <w:w w:val="96"/>
              </w:rPr>
            </w:pPr>
            <w:hyperlink r:id="rId323">
              <w:r>
                <w:rPr>
                  <w:rFonts w:ascii="Calibri" w:cs="Calibri" w:eastAsia="Calibri" w:hAnsi="Calibri"/>
                  <w:sz w:val="16"/>
                  <w:szCs w:val="16"/>
                  <w:color w:val="0000FF"/>
                  <w:w w:val="96"/>
                </w:rPr>
                <w:t>2023)</w:t>
              </w:r>
            </w:hyperlink>
          </w:p>
        </w:tc>
        <w:tc>
          <w:tcPr>
            <w:tcW w:w="13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4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23.1</w:t>
            </w:r>
          </w:p>
        </w:tc>
        <w:tc>
          <w:tcPr>
            <w:tcW w:w="10140" w:type="dxa"/>
            <w:vAlign w:val="bottom"/>
            <w:gridSpan w:val="34"/>
          </w:tcPr>
          <w:p>
            <w:pPr>
              <w:spacing w:after="0" w:line="199" w:lineRule="exact"/>
              <w:rPr>
                <w:sz w:val="20"/>
                <w:szCs w:val="20"/>
                <w:color w:val="auto"/>
              </w:rPr>
            </w:pPr>
            <w:r>
              <w:rPr>
                <w:rFonts w:ascii="Calibri" w:cs="Calibri" w:eastAsia="Calibri" w:hAnsi="Calibri"/>
                <w:sz w:val="17"/>
                <w:szCs w:val="17"/>
                <w:color w:val="0000FF"/>
              </w:rPr>
              <w:t xml:space="preserve">Consent of Deloite &amp; Touche LLP </w:t>
            </w:r>
            <w:r>
              <w:rPr>
                <w:rFonts w:ascii="Calibri" w:cs="Calibri" w:eastAsia="Calibri" w:hAnsi="Calibri"/>
                <w:sz w:val="17"/>
                <w:szCs w:val="17"/>
                <w:color w:val="000000"/>
              </w:rPr>
              <w:t>†</w:t>
            </w:r>
          </w:p>
        </w:tc>
      </w:tr>
      <w:tr>
        <w:trPr>
          <w:trHeight w:val="20"/>
        </w:trPr>
        <w:tc>
          <w:tcPr>
            <w:tcW w:w="1100" w:type="dxa"/>
            <w:vAlign w:val="bottom"/>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20" w:type="dxa"/>
            <w:vAlign w:val="bottom"/>
            <w:gridSpan w:val="22"/>
          </w:tcPr>
          <w:p>
            <w:pPr>
              <w:spacing w:after="0" w:line="20" w:lineRule="exact"/>
              <w:rPr>
                <w:sz w:val="1"/>
                <w:szCs w:val="1"/>
                <w:color w:val="auto"/>
              </w:rPr>
            </w:pP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31.1</w:t>
            </w:r>
          </w:p>
        </w:tc>
        <w:tc>
          <w:tcPr>
            <w:tcW w:w="10140" w:type="dxa"/>
            <w:vAlign w:val="bottom"/>
            <w:gridSpan w:val="34"/>
          </w:tcPr>
          <w:p>
            <w:pPr>
              <w:spacing w:after="0" w:line="199" w:lineRule="exact"/>
              <w:rPr>
                <w:sz w:val="20"/>
                <w:szCs w:val="20"/>
                <w:color w:val="auto"/>
              </w:rPr>
            </w:pPr>
            <w:r>
              <w:rPr>
                <w:rFonts w:ascii="Calibri" w:cs="Calibri" w:eastAsia="Calibri" w:hAnsi="Calibri"/>
                <w:sz w:val="17"/>
                <w:szCs w:val="17"/>
                <w:color w:val="0000FF"/>
              </w:rPr>
              <w:t xml:space="preserve">Certfcaton of Chief Executve Ofcer Pursuant to SEC Rule 13a-14(a)/15d-14(a) </w:t>
            </w:r>
            <w:r>
              <w:rPr>
                <w:rFonts w:ascii="Calibri" w:cs="Calibri" w:eastAsia="Calibri" w:hAnsi="Calibri"/>
                <w:sz w:val="17"/>
                <w:szCs w:val="17"/>
                <w:color w:val="000000"/>
              </w:rPr>
              <w:t>†</w:t>
            </w:r>
          </w:p>
        </w:tc>
      </w:tr>
      <w:tr>
        <w:trPr>
          <w:trHeight w:val="20"/>
        </w:trPr>
        <w:tc>
          <w:tcPr>
            <w:tcW w:w="1100" w:type="dxa"/>
            <w:vAlign w:val="bottom"/>
          </w:tcPr>
          <w:p>
            <w:pPr>
              <w:spacing w:after="0" w:line="20" w:lineRule="exact"/>
              <w:rPr>
                <w:sz w:val="1"/>
                <w:szCs w:val="1"/>
                <w:color w:val="auto"/>
              </w:rPr>
            </w:pPr>
          </w:p>
        </w:tc>
        <w:tc>
          <w:tcPr>
            <w:tcW w:w="4440" w:type="dxa"/>
            <w:vAlign w:val="bottom"/>
            <w:gridSpan w:val="8"/>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20" w:type="dxa"/>
            <w:vAlign w:val="bottom"/>
            <w:gridSpan w:val="22"/>
          </w:tcPr>
          <w:p>
            <w:pPr>
              <w:spacing w:after="0" w:line="20" w:lineRule="exact"/>
              <w:rPr>
                <w:sz w:val="1"/>
                <w:szCs w:val="1"/>
                <w:color w:val="auto"/>
              </w:rPr>
            </w:pP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31.2</w:t>
            </w:r>
          </w:p>
        </w:tc>
        <w:tc>
          <w:tcPr>
            <w:tcW w:w="10140" w:type="dxa"/>
            <w:vAlign w:val="bottom"/>
            <w:gridSpan w:val="34"/>
          </w:tcPr>
          <w:p>
            <w:pPr>
              <w:spacing w:after="0" w:line="199" w:lineRule="exact"/>
              <w:rPr>
                <w:sz w:val="20"/>
                <w:szCs w:val="20"/>
                <w:color w:val="auto"/>
              </w:rPr>
            </w:pPr>
            <w:r>
              <w:rPr>
                <w:rFonts w:ascii="Calibri" w:cs="Calibri" w:eastAsia="Calibri" w:hAnsi="Calibri"/>
                <w:sz w:val="17"/>
                <w:szCs w:val="17"/>
                <w:color w:val="0000FF"/>
              </w:rPr>
              <w:t xml:space="preserve">Certfcaton of Chief Financial Ofcer Pursuant to SEC Rule 13a14(a)/15d-14(a) </w:t>
            </w:r>
            <w:r>
              <w:rPr>
                <w:rFonts w:ascii="Calibri" w:cs="Calibri" w:eastAsia="Calibri" w:hAnsi="Calibri"/>
                <w:sz w:val="17"/>
                <w:szCs w:val="17"/>
                <w:color w:val="000000"/>
              </w:rPr>
              <w:t>†</w:t>
            </w: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32.1</w:t>
            </w:r>
          </w:p>
        </w:tc>
        <w:tc>
          <w:tcPr>
            <w:tcW w:w="5340" w:type="dxa"/>
            <w:vAlign w:val="bottom"/>
            <w:tcBorders>
              <w:top w:val="single" w:sz="8" w:color="0000FF"/>
            </w:tcBorders>
            <w:gridSpan w:val="10"/>
          </w:tcPr>
          <w:p>
            <w:pPr>
              <w:spacing w:after="0" w:line="199" w:lineRule="exact"/>
              <w:rPr>
                <w:sz w:val="20"/>
                <w:szCs w:val="20"/>
                <w:color w:val="auto"/>
              </w:rPr>
            </w:pPr>
            <w:r>
              <w:rPr>
                <w:rFonts w:ascii="Calibri" w:cs="Calibri" w:eastAsia="Calibri" w:hAnsi="Calibri"/>
                <w:sz w:val="17"/>
                <w:szCs w:val="17"/>
                <w:color w:val="0000FF"/>
              </w:rPr>
              <w:t xml:space="preserve">Certfcaton of Chief Executve Ofcer Pursuant to 18 U.S.C. §1350 </w:t>
            </w:r>
            <w:r>
              <w:rPr>
                <w:rFonts w:ascii="Calibri" w:cs="Calibri" w:eastAsia="Calibri" w:hAnsi="Calibri"/>
                <w:sz w:val="17"/>
                <w:szCs w:val="17"/>
                <w:color w:val="000000"/>
              </w:rPr>
              <w:t>††</w:t>
            </w:r>
          </w:p>
        </w:tc>
        <w:tc>
          <w:tcPr>
            <w:tcW w:w="4800" w:type="dxa"/>
            <w:vAlign w:val="bottom"/>
            <w:gridSpan w:val="24"/>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440" w:type="dxa"/>
            <w:vAlign w:val="bottom"/>
            <w:gridSpan w:val="8"/>
            <w:shd w:val="clear" w:color="auto" w:fill="0000FF"/>
          </w:tcPr>
          <w:p>
            <w:pPr>
              <w:spacing w:after="0" w:line="20" w:lineRule="exact"/>
              <w:rPr>
                <w:sz w:val="1"/>
                <w:szCs w:val="1"/>
                <w:color w:val="auto"/>
              </w:rPr>
            </w:pPr>
          </w:p>
        </w:tc>
        <w:tc>
          <w:tcPr>
            <w:tcW w:w="1680" w:type="dxa"/>
            <w:vAlign w:val="bottom"/>
            <w:tcBorders>
              <w:left w:val="single" w:sz="8" w:color="0000FF"/>
            </w:tcBorders>
            <w:gridSpan w:val="4"/>
          </w:tcPr>
          <w:p>
            <w:pPr>
              <w:spacing w:after="0" w:line="20" w:lineRule="exact"/>
              <w:rPr>
                <w:sz w:val="1"/>
                <w:szCs w:val="1"/>
                <w:color w:val="auto"/>
              </w:rPr>
            </w:pPr>
          </w:p>
        </w:tc>
        <w:tc>
          <w:tcPr>
            <w:tcW w:w="4020" w:type="dxa"/>
            <w:vAlign w:val="bottom"/>
            <w:gridSpan w:val="22"/>
          </w:tcPr>
          <w:p>
            <w:pPr>
              <w:spacing w:after="0" w:line="20" w:lineRule="exact"/>
              <w:rPr>
                <w:sz w:val="1"/>
                <w:szCs w:val="1"/>
                <w:color w:val="auto"/>
              </w:rPr>
            </w:pP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32.2</w:t>
            </w:r>
          </w:p>
        </w:tc>
        <w:tc>
          <w:tcPr>
            <w:tcW w:w="10140" w:type="dxa"/>
            <w:vAlign w:val="bottom"/>
            <w:gridSpan w:val="34"/>
          </w:tcPr>
          <w:p>
            <w:pPr>
              <w:spacing w:after="0" w:line="199" w:lineRule="exact"/>
              <w:rPr>
                <w:sz w:val="20"/>
                <w:szCs w:val="20"/>
                <w:color w:val="auto"/>
              </w:rPr>
            </w:pPr>
            <w:r>
              <w:rPr>
                <w:rFonts w:ascii="Calibri" w:cs="Calibri" w:eastAsia="Calibri" w:hAnsi="Calibri"/>
                <w:sz w:val="17"/>
                <w:szCs w:val="17"/>
                <w:color w:val="0000FF"/>
              </w:rPr>
              <w:t xml:space="preserve">Certfcaton of Chief Financial Ofcer Pursuant to 18 U.S.C. §1350 </w:t>
            </w:r>
            <w:r>
              <w:rPr>
                <w:rFonts w:ascii="Calibri" w:cs="Calibri" w:eastAsia="Calibri" w:hAnsi="Calibri"/>
                <w:sz w:val="17"/>
                <w:szCs w:val="17"/>
                <w:color w:val="000000"/>
              </w:rPr>
              <w:t>††</w:t>
            </w:r>
          </w:p>
        </w:tc>
      </w:tr>
      <w:tr>
        <w:trPr>
          <w:trHeight w:val="20"/>
        </w:trPr>
        <w:tc>
          <w:tcPr>
            <w:tcW w:w="1100" w:type="dxa"/>
            <w:vAlign w:val="bottom"/>
          </w:tcPr>
          <w:p>
            <w:pPr>
              <w:spacing w:after="0" w:line="20" w:lineRule="exact"/>
              <w:rPr>
                <w:sz w:val="1"/>
                <w:szCs w:val="1"/>
                <w:color w:val="auto"/>
              </w:rPr>
            </w:pPr>
          </w:p>
        </w:tc>
        <w:tc>
          <w:tcPr>
            <w:tcW w:w="4440" w:type="dxa"/>
            <w:vAlign w:val="bottom"/>
            <w:gridSpan w:val="8"/>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20" w:type="dxa"/>
            <w:vAlign w:val="bottom"/>
            <w:gridSpan w:val="22"/>
          </w:tcPr>
          <w:p>
            <w:pPr>
              <w:spacing w:after="0" w:line="20" w:lineRule="exact"/>
              <w:rPr>
                <w:sz w:val="1"/>
                <w:szCs w:val="1"/>
                <w:color w:val="auto"/>
              </w:rPr>
            </w:pPr>
          </w:p>
        </w:tc>
      </w:tr>
      <w:tr>
        <w:trPr>
          <w:trHeight w:val="199"/>
        </w:trPr>
        <w:tc>
          <w:tcPr>
            <w:tcW w:w="1100" w:type="dxa"/>
            <w:vAlign w:val="bottom"/>
          </w:tcPr>
          <w:p>
            <w:pPr>
              <w:jc w:val="right"/>
              <w:ind w:right="114"/>
              <w:spacing w:after="0" w:line="199" w:lineRule="exact"/>
              <w:rPr>
                <w:sz w:val="20"/>
                <w:szCs w:val="20"/>
                <w:color w:val="auto"/>
              </w:rPr>
            </w:pPr>
            <w:r>
              <w:rPr>
                <w:rFonts w:ascii="Calibri" w:cs="Calibri" w:eastAsia="Calibri" w:hAnsi="Calibri"/>
                <w:sz w:val="17"/>
                <w:szCs w:val="17"/>
                <w:color w:val="auto"/>
              </w:rPr>
              <w:t>97.1</w:t>
            </w:r>
          </w:p>
        </w:tc>
        <w:tc>
          <w:tcPr>
            <w:tcW w:w="10140" w:type="dxa"/>
            <w:vAlign w:val="bottom"/>
            <w:gridSpan w:val="34"/>
          </w:tcPr>
          <w:p>
            <w:pPr>
              <w:spacing w:after="0" w:line="199" w:lineRule="exact"/>
              <w:rPr>
                <w:sz w:val="20"/>
                <w:szCs w:val="20"/>
                <w:color w:val="auto"/>
              </w:rPr>
            </w:pPr>
            <w:r>
              <w:rPr>
                <w:rFonts w:ascii="Calibri" w:cs="Calibri" w:eastAsia="Calibri" w:hAnsi="Calibri"/>
                <w:sz w:val="17"/>
                <w:szCs w:val="17"/>
                <w:color w:val="0000FF"/>
              </w:rPr>
              <w:t>ARMOUR Residental REIT, Inc. Policy Regarding the Mandatory Recovery of Compensaton</w:t>
            </w:r>
          </w:p>
        </w:tc>
      </w:tr>
      <w:tr>
        <w:trPr>
          <w:trHeight w:val="20"/>
        </w:trPr>
        <w:tc>
          <w:tcPr>
            <w:tcW w:w="1100" w:type="dxa"/>
            <w:vAlign w:val="bottom"/>
          </w:tcPr>
          <w:p>
            <w:pPr>
              <w:spacing w:after="0" w:line="20" w:lineRule="exact"/>
              <w:rPr>
                <w:sz w:val="1"/>
                <w:szCs w:val="1"/>
                <w:color w:val="auto"/>
              </w:rPr>
            </w:pPr>
          </w:p>
        </w:tc>
        <w:tc>
          <w:tcPr>
            <w:tcW w:w="6120" w:type="dxa"/>
            <w:vAlign w:val="bottom"/>
            <w:gridSpan w:val="12"/>
            <w:shd w:val="clear" w:color="auto" w:fill="0000FF"/>
          </w:tcPr>
          <w:p>
            <w:pPr>
              <w:spacing w:after="0" w:line="20" w:lineRule="exact"/>
              <w:rPr>
                <w:sz w:val="1"/>
                <w:szCs w:val="1"/>
                <w:color w:val="auto"/>
              </w:rPr>
            </w:pPr>
          </w:p>
        </w:tc>
        <w:tc>
          <w:tcPr>
            <w:tcW w:w="4020" w:type="dxa"/>
            <w:vAlign w:val="bottom"/>
            <w:gridSpan w:val="22"/>
          </w:tcPr>
          <w:p>
            <w:pPr>
              <w:spacing w:after="0" w:line="20" w:lineRule="exact"/>
              <w:rPr>
                <w:sz w:val="1"/>
                <w:szCs w:val="1"/>
                <w:color w:val="auto"/>
              </w:rPr>
            </w:pPr>
          </w:p>
        </w:tc>
      </w:tr>
      <w:tr>
        <w:trPr>
          <w:trHeight w:val="204"/>
        </w:trPr>
        <w:tc>
          <w:tcPr>
            <w:tcW w:w="1100" w:type="dxa"/>
            <w:vAlign w:val="bottom"/>
          </w:tcPr>
          <w:p>
            <w:pPr>
              <w:jc w:val="right"/>
              <w:ind w:right="74"/>
              <w:spacing w:after="0" w:line="204" w:lineRule="exact"/>
              <w:rPr>
                <w:sz w:val="20"/>
                <w:szCs w:val="20"/>
                <w:color w:val="auto"/>
              </w:rPr>
            </w:pPr>
            <w:r>
              <w:rPr>
                <w:rFonts w:ascii="Calibri" w:cs="Calibri" w:eastAsia="Calibri" w:hAnsi="Calibri"/>
                <w:sz w:val="17"/>
                <w:szCs w:val="17"/>
                <w:color w:val="auto"/>
              </w:rPr>
              <w:t>101.INS</w:t>
            </w:r>
          </w:p>
        </w:tc>
        <w:tc>
          <w:tcPr>
            <w:tcW w:w="10140" w:type="dxa"/>
            <w:vAlign w:val="bottom"/>
            <w:gridSpan w:val="34"/>
          </w:tcPr>
          <w:p>
            <w:pPr>
              <w:spacing w:after="0" w:line="204" w:lineRule="exact"/>
              <w:rPr>
                <w:sz w:val="20"/>
                <w:szCs w:val="20"/>
                <w:color w:val="auto"/>
              </w:rPr>
            </w:pPr>
            <w:r>
              <w:rPr>
                <w:rFonts w:ascii="Calibri" w:cs="Calibri" w:eastAsia="Calibri" w:hAnsi="Calibri"/>
                <w:sz w:val="17"/>
                <w:szCs w:val="17"/>
                <w:color w:val="auto"/>
                <w:w w:val="99"/>
              </w:rPr>
              <w:t>XBRL Instance Document - the instance document does not appear in the Interactve Data File because its XBRL tags are embedded within the Inline</w:t>
            </w:r>
          </w:p>
        </w:tc>
      </w:tr>
      <w:tr>
        <w:trPr>
          <w:trHeight w:val="205"/>
        </w:trPr>
        <w:tc>
          <w:tcPr>
            <w:tcW w:w="1100" w:type="dxa"/>
            <w:vAlign w:val="bottom"/>
          </w:tcPr>
          <w:p>
            <w:pPr>
              <w:spacing w:after="0"/>
              <w:rPr>
                <w:sz w:val="17"/>
                <w:szCs w:val="17"/>
                <w:color w:val="auto"/>
              </w:rPr>
            </w:pPr>
          </w:p>
        </w:tc>
        <w:tc>
          <w:tcPr>
            <w:tcW w:w="10140" w:type="dxa"/>
            <w:vAlign w:val="bottom"/>
            <w:gridSpan w:val="34"/>
          </w:tcPr>
          <w:p>
            <w:pPr>
              <w:spacing w:after="0" w:line="205" w:lineRule="exact"/>
              <w:rPr>
                <w:sz w:val="20"/>
                <w:szCs w:val="20"/>
                <w:color w:val="auto"/>
              </w:rPr>
            </w:pPr>
            <w:r>
              <w:rPr>
                <w:rFonts w:ascii="Calibri" w:cs="Calibri" w:eastAsia="Calibri" w:hAnsi="Calibri"/>
                <w:sz w:val="17"/>
                <w:szCs w:val="17"/>
                <w:color w:val="auto"/>
              </w:rPr>
              <w:t>XBRL document</w:t>
            </w:r>
          </w:p>
        </w:tc>
      </w:tr>
      <w:tr>
        <w:trPr>
          <w:trHeight w:val="219"/>
        </w:trPr>
        <w:tc>
          <w:tcPr>
            <w:tcW w:w="1100" w:type="dxa"/>
            <w:vAlign w:val="bottom"/>
          </w:tcPr>
          <w:p>
            <w:pPr>
              <w:jc w:val="right"/>
              <w:ind w:right="74"/>
              <w:spacing w:after="0"/>
              <w:rPr>
                <w:sz w:val="20"/>
                <w:szCs w:val="20"/>
                <w:color w:val="auto"/>
              </w:rPr>
            </w:pPr>
            <w:r>
              <w:rPr>
                <w:rFonts w:ascii="Calibri" w:cs="Calibri" w:eastAsia="Calibri" w:hAnsi="Calibri"/>
                <w:sz w:val="17"/>
                <w:szCs w:val="17"/>
                <w:color w:val="auto"/>
              </w:rPr>
              <w:t>101.SCH</w:t>
            </w:r>
          </w:p>
        </w:tc>
        <w:tc>
          <w:tcPr>
            <w:tcW w:w="10140" w:type="dxa"/>
            <w:vAlign w:val="bottom"/>
            <w:gridSpan w:val="34"/>
          </w:tcPr>
          <w:p>
            <w:pPr>
              <w:spacing w:after="0"/>
              <w:rPr>
                <w:sz w:val="20"/>
                <w:szCs w:val="20"/>
                <w:color w:val="auto"/>
              </w:rPr>
            </w:pPr>
            <w:r>
              <w:rPr>
                <w:rFonts w:ascii="Calibri" w:cs="Calibri" w:eastAsia="Calibri" w:hAnsi="Calibri"/>
                <w:sz w:val="17"/>
                <w:szCs w:val="17"/>
                <w:color w:val="auto"/>
              </w:rPr>
              <w:t>XBRL Taxonomy Extension Schema Document †</w:t>
            </w:r>
          </w:p>
        </w:tc>
      </w:tr>
      <w:tr>
        <w:trPr>
          <w:trHeight w:val="219"/>
        </w:trPr>
        <w:tc>
          <w:tcPr>
            <w:tcW w:w="1100" w:type="dxa"/>
            <w:vAlign w:val="bottom"/>
          </w:tcPr>
          <w:p>
            <w:pPr>
              <w:jc w:val="right"/>
              <w:ind w:right="74"/>
              <w:spacing w:after="0"/>
              <w:rPr>
                <w:sz w:val="20"/>
                <w:szCs w:val="20"/>
                <w:color w:val="auto"/>
              </w:rPr>
            </w:pPr>
            <w:r>
              <w:rPr>
                <w:rFonts w:ascii="Calibri" w:cs="Calibri" w:eastAsia="Calibri" w:hAnsi="Calibri"/>
                <w:sz w:val="17"/>
                <w:szCs w:val="17"/>
                <w:color w:val="auto"/>
              </w:rPr>
              <w:t>101.CAL</w:t>
            </w:r>
          </w:p>
        </w:tc>
        <w:tc>
          <w:tcPr>
            <w:tcW w:w="10140" w:type="dxa"/>
            <w:vAlign w:val="bottom"/>
            <w:gridSpan w:val="34"/>
          </w:tcPr>
          <w:p>
            <w:pPr>
              <w:spacing w:after="0"/>
              <w:rPr>
                <w:sz w:val="20"/>
                <w:szCs w:val="20"/>
                <w:color w:val="auto"/>
              </w:rPr>
            </w:pPr>
            <w:r>
              <w:rPr>
                <w:rFonts w:ascii="Calibri" w:cs="Calibri" w:eastAsia="Calibri" w:hAnsi="Calibri"/>
                <w:sz w:val="17"/>
                <w:szCs w:val="17"/>
                <w:color w:val="auto"/>
              </w:rPr>
              <w:t>XBRL Taxonomy Extension Calculaton Linkbase Document †</w:t>
            </w:r>
          </w:p>
        </w:tc>
      </w:tr>
      <w:tr>
        <w:trPr>
          <w:trHeight w:val="219"/>
        </w:trPr>
        <w:tc>
          <w:tcPr>
            <w:tcW w:w="1100" w:type="dxa"/>
            <w:vAlign w:val="bottom"/>
          </w:tcPr>
          <w:p>
            <w:pPr>
              <w:jc w:val="right"/>
              <w:ind w:right="74"/>
              <w:spacing w:after="0"/>
              <w:rPr>
                <w:sz w:val="20"/>
                <w:szCs w:val="20"/>
                <w:color w:val="auto"/>
              </w:rPr>
            </w:pPr>
            <w:r>
              <w:rPr>
                <w:rFonts w:ascii="Calibri" w:cs="Calibri" w:eastAsia="Calibri" w:hAnsi="Calibri"/>
                <w:sz w:val="17"/>
                <w:szCs w:val="17"/>
                <w:color w:val="auto"/>
              </w:rPr>
              <w:t>101.DEF</w:t>
            </w:r>
          </w:p>
        </w:tc>
        <w:tc>
          <w:tcPr>
            <w:tcW w:w="10140" w:type="dxa"/>
            <w:vAlign w:val="bottom"/>
            <w:gridSpan w:val="34"/>
          </w:tcPr>
          <w:p>
            <w:pPr>
              <w:spacing w:after="0"/>
              <w:rPr>
                <w:sz w:val="20"/>
                <w:szCs w:val="20"/>
                <w:color w:val="auto"/>
              </w:rPr>
            </w:pPr>
            <w:r>
              <w:rPr>
                <w:rFonts w:ascii="Calibri" w:cs="Calibri" w:eastAsia="Calibri" w:hAnsi="Calibri"/>
                <w:sz w:val="17"/>
                <w:szCs w:val="17"/>
                <w:color w:val="auto"/>
              </w:rPr>
              <w:t>XBRL Taxonomy Extension Defniton Linkbase Document †</w:t>
            </w:r>
          </w:p>
        </w:tc>
      </w:tr>
      <w:tr>
        <w:trPr>
          <w:trHeight w:val="1936"/>
        </w:trPr>
        <w:tc>
          <w:tcPr>
            <w:tcW w:w="1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-752475</wp:posOffset>
            </wp:positionV>
            <wp:extent cx="458470" cy="5073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23" w:name="page124"/>
    <w:bookmarkEnd w:id="123"/>
    <w:p>
      <w:pPr>
        <w:jc w:val="center"/>
        <w:ind w:right="380"/>
        <w:spacing w:after="0"/>
        <w:rPr>
          <w:sz w:val="20"/>
          <w:szCs w:val="20"/>
          <w:color w:val="auto"/>
        </w:rPr>
      </w:pPr>
      <w:r>
        <w:rPr>
          <w:rFonts w:ascii="Calibri" w:cs="Calibri" w:eastAsia="Calibri" w:hAnsi="Calibri"/>
          <w:sz w:val="19"/>
          <w:szCs w:val="19"/>
          <w:b w:val="1"/>
          <w:bCs w:val="1"/>
          <w:color w:val="1C4787"/>
        </w:rPr>
        <w:t>ARMOUR Residental REIT, Inc.</w:t>
      </w:r>
    </w:p>
    <w:p>
      <w:pPr>
        <w:jc w:val="center"/>
        <w:ind w:right="380"/>
        <w:spacing w:after="0" w:line="226" w:lineRule="auto"/>
        <w:rPr>
          <w:sz w:val="20"/>
          <w:szCs w:val="20"/>
          <w:color w:val="auto"/>
        </w:rPr>
      </w:pPr>
      <w:r>
        <w:rPr>
          <w:rFonts w:ascii="Calibri" w:cs="Calibri" w:eastAsia="Calibri" w:hAnsi="Calibri"/>
          <w:sz w:val="19"/>
          <w:szCs w:val="19"/>
          <w:b w:val="1"/>
          <w:bCs w:val="1"/>
          <w:color w:val="1C4787"/>
        </w:rPr>
        <w:t>Exhibits and Financial Statement Schedules (contnued)</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122</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0" w:type="dxa"/>
            <w:vAlign w:val="bottom"/>
          </w:tcPr>
          <w:p>
            <w:pPr>
              <w:spacing w:after="0"/>
              <w:rPr>
                <w:sz w:val="20"/>
                <w:szCs w:val="20"/>
                <w:color w:val="auto"/>
              </w:rPr>
            </w:pPr>
            <w:r>
              <w:rPr>
                <w:rFonts w:ascii="Calibri" w:cs="Calibri" w:eastAsia="Calibri" w:hAnsi="Calibri"/>
                <w:sz w:val="17"/>
                <w:szCs w:val="17"/>
                <w:color w:val="auto"/>
              </w:rPr>
              <w:t>101.LAB</w:t>
            </w:r>
          </w:p>
        </w:tc>
        <w:tc>
          <w:tcPr>
            <w:tcW w:w="4240" w:type="dxa"/>
            <w:vAlign w:val="bottom"/>
          </w:tcPr>
          <w:p>
            <w:pPr>
              <w:ind w:left="80"/>
              <w:spacing w:after="0"/>
              <w:rPr>
                <w:sz w:val="20"/>
                <w:szCs w:val="20"/>
                <w:color w:val="auto"/>
              </w:rPr>
            </w:pPr>
            <w:r>
              <w:rPr>
                <w:rFonts w:ascii="Calibri" w:cs="Calibri" w:eastAsia="Calibri" w:hAnsi="Calibri"/>
                <w:sz w:val="17"/>
                <w:szCs w:val="17"/>
                <w:color w:val="auto"/>
              </w:rPr>
              <w:t>XBRL Taxonomy Extension Label Linkbase Document †</w:t>
            </w:r>
          </w:p>
        </w:tc>
      </w:tr>
      <w:tr>
        <w:trPr>
          <w:trHeight w:val="219"/>
        </w:trPr>
        <w:tc>
          <w:tcPr>
            <w:tcW w:w="640" w:type="dxa"/>
            <w:vAlign w:val="bottom"/>
          </w:tcPr>
          <w:p>
            <w:pPr>
              <w:spacing w:after="0"/>
              <w:rPr>
                <w:sz w:val="20"/>
                <w:szCs w:val="20"/>
                <w:color w:val="auto"/>
              </w:rPr>
            </w:pPr>
            <w:r>
              <w:rPr>
                <w:rFonts w:ascii="Calibri" w:cs="Calibri" w:eastAsia="Calibri" w:hAnsi="Calibri"/>
                <w:sz w:val="17"/>
                <w:szCs w:val="17"/>
                <w:color w:val="auto"/>
              </w:rPr>
              <w:t>101.PRE</w:t>
            </w:r>
          </w:p>
        </w:tc>
        <w:tc>
          <w:tcPr>
            <w:tcW w:w="4240" w:type="dxa"/>
            <w:vAlign w:val="bottom"/>
          </w:tcPr>
          <w:p>
            <w:pPr>
              <w:ind w:left="80"/>
              <w:spacing w:after="0"/>
              <w:rPr>
                <w:sz w:val="20"/>
                <w:szCs w:val="20"/>
                <w:color w:val="auto"/>
              </w:rPr>
            </w:pPr>
            <w:r>
              <w:rPr>
                <w:rFonts w:ascii="Calibri" w:cs="Calibri" w:eastAsia="Calibri" w:hAnsi="Calibri"/>
                <w:sz w:val="17"/>
                <w:szCs w:val="17"/>
                <w:color w:val="auto"/>
                <w:w w:val="98"/>
              </w:rPr>
              <w:t>XBRL Taxonomy Extension Presentaton Linkbase Document †</w:t>
            </w:r>
          </w:p>
        </w:tc>
      </w:tr>
    </w:tbl>
    <w:p>
      <w:pPr>
        <w:spacing w:after="0" w:line="12" w:lineRule="exact"/>
        <w:rPr>
          <w:sz w:val="20"/>
          <w:szCs w:val="20"/>
          <w:color w:val="auto"/>
        </w:rPr>
      </w:pPr>
    </w:p>
    <w:p>
      <w:pPr>
        <w:ind w:left="720" w:hanging="461"/>
        <w:spacing w:after="0"/>
        <w:tabs>
          <w:tab w:leader="none" w:pos="720" w:val="left"/>
        </w:tabs>
        <w:numPr>
          <w:ilvl w:val="0"/>
          <w:numId w:val="45"/>
        </w:numPr>
        <w:rPr>
          <w:rFonts w:ascii="Calibri" w:cs="Calibri" w:eastAsia="Calibri" w:hAnsi="Calibri"/>
          <w:sz w:val="17"/>
          <w:szCs w:val="17"/>
          <w:color w:val="auto"/>
        </w:rPr>
      </w:pPr>
      <w:r>
        <w:rPr>
          <w:rFonts w:ascii="Calibri" w:cs="Calibri" w:eastAsia="Calibri" w:hAnsi="Calibri"/>
          <w:sz w:val="17"/>
          <w:szCs w:val="17"/>
          <w:color w:val="auto"/>
        </w:rPr>
        <w:t>Cover Page Interactve Data (formated as Inline XBRL and contained in Exhibit 101)</w:t>
      </w:r>
    </w:p>
    <w:p>
      <w:pPr>
        <w:spacing w:after="0" w:line="11" w:lineRule="exact"/>
        <w:rPr>
          <w:rFonts w:ascii="Calibri" w:cs="Calibri" w:eastAsia="Calibri" w:hAnsi="Calibri"/>
          <w:sz w:val="17"/>
          <w:szCs w:val="17"/>
          <w:color w:val="auto"/>
        </w:rPr>
      </w:pPr>
    </w:p>
    <w:p>
      <w:pPr>
        <w:ind w:left="720" w:hanging="243"/>
        <w:spacing w:after="0"/>
        <w:tabs>
          <w:tab w:leader="none" w:pos="720" w:val="left"/>
        </w:tabs>
        <w:numPr>
          <w:ilvl w:val="1"/>
          <w:numId w:val="45"/>
        </w:numPr>
        <w:rPr>
          <w:rFonts w:ascii="Calibri" w:cs="Calibri" w:eastAsia="Calibri" w:hAnsi="Calibri"/>
          <w:sz w:val="17"/>
          <w:szCs w:val="17"/>
          <w:color w:val="auto"/>
        </w:rPr>
      </w:pPr>
      <w:r>
        <w:rPr>
          <w:rFonts w:ascii="Calibri" w:cs="Calibri" w:eastAsia="Calibri" w:hAnsi="Calibri"/>
          <w:sz w:val="17"/>
          <w:szCs w:val="17"/>
          <w:color w:val="auto"/>
        </w:rPr>
        <w:t>Filed herewith.</w:t>
      </w:r>
    </w:p>
    <w:p>
      <w:pPr>
        <w:spacing w:after="0" w:line="12" w:lineRule="exact"/>
        <w:rPr>
          <w:sz w:val="20"/>
          <w:szCs w:val="20"/>
          <w:color w:val="auto"/>
        </w:rPr>
      </w:pPr>
    </w:p>
    <w:p>
      <w:pPr>
        <w:ind w:left="400"/>
        <w:spacing w:after="0"/>
        <w:tabs>
          <w:tab w:leader="none" w:pos="700" w:val="left"/>
        </w:tabs>
        <w:rPr>
          <w:sz w:val="20"/>
          <w:szCs w:val="20"/>
          <w:color w:val="auto"/>
        </w:rPr>
      </w:pPr>
      <w:r>
        <w:rPr>
          <w:rFonts w:ascii="Calibri" w:cs="Calibri" w:eastAsia="Calibri" w:hAnsi="Calibri"/>
          <w:sz w:val="17"/>
          <w:szCs w:val="17"/>
          <w:color w:val="auto"/>
        </w:rPr>
        <w:t>††</w:t>
      </w:r>
      <w:r>
        <w:rPr>
          <w:sz w:val="20"/>
          <w:szCs w:val="20"/>
          <w:color w:val="auto"/>
        </w:rPr>
        <w:tab/>
      </w:r>
      <w:r>
        <w:rPr>
          <w:rFonts w:ascii="Calibri" w:cs="Calibri" w:eastAsia="Calibri" w:hAnsi="Calibri"/>
          <w:sz w:val="16"/>
          <w:szCs w:val="16"/>
          <w:color w:val="auto"/>
        </w:rPr>
        <w:t>Furnished herewith.</w:t>
      </w:r>
    </w:p>
    <w:p>
      <w:pPr>
        <w:spacing w:after="0" w:line="12" w:lineRule="exact"/>
        <w:rPr>
          <w:sz w:val="20"/>
          <w:szCs w:val="20"/>
          <w:color w:val="auto"/>
        </w:rPr>
      </w:pPr>
    </w:p>
    <w:p>
      <w:pPr>
        <w:ind w:left="300"/>
        <w:spacing w:after="0"/>
        <w:tabs>
          <w:tab w:leader="none" w:pos="700" w:val="left"/>
        </w:tabs>
        <w:rPr>
          <w:sz w:val="20"/>
          <w:szCs w:val="20"/>
          <w:color w:val="auto"/>
        </w:rPr>
      </w:pPr>
      <w:r>
        <w:rPr>
          <w:rFonts w:ascii="Calibri" w:cs="Calibri" w:eastAsia="Calibri" w:hAnsi="Calibri"/>
          <w:sz w:val="17"/>
          <w:szCs w:val="17"/>
          <w:color w:val="auto"/>
        </w:rPr>
        <w:t>†††</w:t>
      </w:r>
      <w:r>
        <w:rPr>
          <w:sz w:val="20"/>
          <w:szCs w:val="20"/>
          <w:color w:val="auto"/>
        </w:rPr>
        <w:tab/>
      </w:r>
      <w:r>
        <w:rPr>
          <w:rFonts w:ascii="Calibri" w:cs="Calibri" w:eastAsia="Calibri" w:hAnsi="Calibri"/>
          <w:sz w:val="16"/>
          <w:szCs w:val="16"/>
          <w:color w:val="auto"/>
        </w:rPr>
        <w:t>Management contract or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1212850</wp:posOffset>
            </wp:positionV>
            <wp:extent cx="7164070" cy="419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6440805</wp:posOffset>
            </wp:positionH>
            <wp:positionV relativeFrom="paragraph">
              <wp:posOffset>488950</wp:posOffset>
            </wp:positionV>
            <wp:extent cx="458470" cy="5073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8">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0860"/>
          </w:cols>
          <w:pgMar w:left="700" w:top="920" w:right="339" w:bottom="1440" w:gutter="0" w:footer="0" w:header="0"/>
        </w:sectPr>
      </w:pPr>
    </w:p>
    <w:bookmarkStart w:id="124" w:name="page125"/>
    <w:bookmarkEnd w:id="124"/>
    <w:p>
      <w:pPr>
        <w:ind w:left="3340"/>
        <w:spacing w:after="0"/>
        <w:rPr>
          <w:sz w:val="20"/>
          <w:szCs w:val="20"/>
          <w:color w:val="auto"/>
        </w:rPr>
      </w:pPr>
      <w:r>
        <w:rPr>
          <w:rFonts w:ascii="Calibri" w:cs="Calibri" w:eastAsia="Calibri" w:hAnsi="Calibri"/>
          <w:sz w:val="19"/>
          <w:szCs w:val="19"/>
          <w:b w:val="1"/>
          <w:bCs w:val="1"/>
          <w:color w:val="1C4787"/>
        </w:rPr>
        <w:t>Item 16. Form 10-K Summary</w:t>
      </w:r>
    </w:p>
    <w:p>
      <w:pPr>
        <w:ind w:left="3280"/>
        <w:spacing w:after="0"/>
        <w:rPr>
          <w:sz w:val="20"/>
          <w:szCs w:val="20"/>
          <w:color w:val="auto"/>
        </w:rPr>
      </w:pPr>
      <w:r>
        <w:rPr>
          <w:rFonts w:ascii="Calibri" w:cs="Calibri" w:eastAsia="Calibri" w:hAnsi="Calibri"/>
          <w:sz w:val="19"/>
          <w:szCs w:val="19"/>
          <w:b w:val="1"/>
          <w:bCs w:val="1"/>
          <w:color w:val="1C4787"/>
        </w:rPr>
        <w:t>ARMOUR Residental REIT, Inc.</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7"/>
          <w:szCs w:val="17"/>
          <w:color w:val="1C4787"/>
        </w:rPr>
        <w:t>123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00"/>
        <w:spacing w:after="0"/>
        <w:rPr>
          <w:sz w:val="20"/>
          <w:szCs w:val="20"/>
          <w:color w:val="auto"/>
        </w:rPr>
      </w:pPr>
      <w:r>
        <w:rPr>
          <w:rFonts w:ascii="Calibri" w:cs="Calibri" w:eastAsia="Calibri" w:hAnsi="Calibri"/>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1417955</wp:posOffset>
            </wp:positionV>
            <wp:extent cx="7164070" cy="41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5970905</wp:posOffset>
            </wp:positionH>
            <wp:positionV relativeFrom="paragraph">
              <wp:posOffset>693420</wp:posOffset>
            </wp:positionV>
            <wp:extent cx="458470" cy="5073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0">
                      <a:extLst>
                        <a:ext uri="{28A0092B-C50C-407E-A947-70E740481C1C}"/>
                      </a:extLst>
                    </a:blip>
                    <a:srcRect/>
                    <a:stretch>
                      <a:fillRect/>
                    </a:stretch>
                  </pic:blipFill>
                  <pic:spPr bwMode="auto">
                    <a:xfrm>
                      <a:off x="0" y="0"/>
                      <a:ext cx="458470" cy="507365"/>
                    </a:xfrm>
                    <a:prstGeom prst="rect">
                      <a:avLst/>
                    </a:prstGeom>
                    <a:noFill/>
                  </pic:spPr>
                </pic:pic>
              </a:graphicData>
            </a:graphic>
          </wp:anchor>
        </w:drawing>
      </w:r>
    </w:p>
    <w:p>
      <w:pPr>
        <w:sectPr>
          <w:pgSz w:w="11900" w:h="16838" w:orient="portrait"/>
          <w:cols w:equalWidth="0" w:num="1">
            <w:col w:w="10120"/>
          </w:cols>
          <w:pgMar w:left="1440" w:top="740" w:right="339" w:bottom="1440" w:gutter="0" w:footer="0" w:header="0"/>
        </w:sectPr>
      </w:pPr>
    </w:p>
    <w:bookmarkStart w:id="125" w:name="page126"/>
    <w:bookmarkEnd w:id="125"/>
    <w:p>
      <w:pPr>
        <w:jc w:val="right"/>
        <w:spacing w:after="0"/>
        <w:rPr>
          <w:sz w:val="20"/>
          <w:szCs w:val="20"/>
          <w:color w:val="auto"/>
        </w:rPr>
      </w:pPr>
      <w:r>
        <w:rPr>
          <w:rFonts w:ascii="Calibri" w:cs="Calibri" w:eastAsia="Calibri" w:hAnsi="Calibri"/>
          <w:sz w:val="17"/>
          <w:szCs w:val="17"/>
          <w:color w:val="1C4787"/>
        </w:rPr>
        <w:t>II-1</w:t>
      </w:r>
    </w:p>
    <w:p>
      <w:pPr>
        <w:spacing w:after="0" w:line="179" w:lineRule="exact"/>
        <w:rPr>
          <w:sz w:val="20"/>
          <w:szCs w:val="20"/>
          <w:color w:val="auto"/>
        </w:rPr>
      </w:pPr>
    </w:p>
    <w:p>
      <w:pPr>
        <w:ind w:left="5500"/>
        <w:spacing w:after="0"/>
        <w:rPr>
          <w:sz w:val="20"/>
          <w:szCs w:val="20"/>
          <w:color w:val="auto"/>
        </w:rPr>
      </w:pPr>
      <w:r>
        <w:rPr>
          <w:rFonts w:ascii="Calibri" w:cs="Calibri" w:eastAsia="Calibri" w:hAnsi="Calibri"/>
          <w:sz w:val="17"/>
          <w:szCs w:val="17"/>
          <w:b w:val="1"/>
          <w:bCs w:val="1"/>
          <w:color w:val="1C4787"/>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619"/>
        <w:spacing w:after="0" w:line="237" w:lineRule="auto"/>
        <w:rPr>
          <w:sz w:val="20"/>
          <w:szCs w:val="20"/>
          <w:color w:val="auto"/>
        </w:rPr>
      </w:pPr>
      <w:r>
        <w:rPr>
          <w:rFonts w:ascii="Calibri" w:cs="Calibri" w:eastAsia="Calibri" w:hAnsi="Calibri"/>
          <w:sz w:val="17"/>
          <w:szCs w:val="17"/>
          <w:color w:val="auto"/>
        </w:rPr>
        <w:t>Pursuant to the requirements of Secton 13 or 15(d) of the Securites Exchange Act of 1934, the registrant has duly caused this report to be signed on its behalf by the undersigned thereunto duly authorized.</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740" w:type="dxa"/>
            <w:vAlign w:val="bottom"/>
          </w:tcPr>
          <w:p>
            <w:pPr>
              <w:spacing w:after="0"/>
              <w:rPr>
                <w:sz w:val="20"/>
                <w:szCs w:val="20"/>
                <w:color w:val="auto"/>
              </w:rPr>
            </w:pPr>
            <w:r>
              <w:rPr>
                <w:rFonts w:ascii="Calibri" w:cs="Calibri" w:eastAsia="Calibri" w:hAnsi="Calibri"/>
                <w:sz w:val="17"/>
                <w:szCs w:val="17"/>
                <w:color w:val="auto"/>
              </w:rPr>
              <w:t>Date:</w:t>
            </w:r>
          </w:p>
        </w:tc>
        <w:tc>
          <w:tcPr>
            <w:tcW w:w="5600" w:type="dxa"/>
            <w:vAlign w:val="bottom"/>
          </w:tcPr>
          <w:p>
            <w:pPr>
              <w:ind w:left="380"/>
              <w:spacing w:after="0"/>
              <w:rPr>
                <w:sz w:val="20"/>
                <w:szCs w:val="20"/>
                <w:color w:val="auto"/>
              </w:rPr>
            </w:pPr>
            <w:r>
              <w:rPr>
                <w:rFonts w:ascii="Calibri" w:cs="Calibri" w:eastAsia="Calibri" w:hAnsi="Calibri"/>
                <w:sz w:val="17"/>
                <w:szCs w:val="17"/>
                <w:color w:val="auto"/>
              </w:rPr>
              <w:t>March 15, 2024</w:t>
            </w:r>
          </w:p>
        </w:tc>
        <w:tc>
          <w:tcPr>
            <w:tcW w:w="4860" w:type="dxa"/>
            <w:vAlign w:val="bottom"/>
          </w:tcPr>
          <w:p>
            <w:pPr>
              <w:spacing w:after="0"/>
              <w:rPr>
                <w:sz w:val="20"/>
                <w:szCs w:val="20"/>
                <w:color w:val="auto"/>
              </w:rPr>
            </w:pPr>
            <w:r>
              <w:rPr>
                <w:rFonts w:ascii="Calibri" w:cs="Calibri" w:eastAsia="Calibri" w:hAnsi="Calibri"/>
                <w:sz w:val="17"/>
                <w:szCs w:val="17"/>
                <w:color w:val="auto"/>
              </w:rPr>
              <w:t>ARMOUR RESIDENTIAL REIT, INC.</w:t>
            </w:r>
          </w:p>
        </w:tc>
      </w:tr>
      <w:tr>
        <w:trPr>
          <w:trHeight w:val="219"/>
        </w:trPr>
        <w:tc>
          <w:tcPr>
            <w:tcW w:w="7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Calibri" w:cs="Calibri" w:eastAsia="Calibri" w:hAnsi="Calibri"/>
                <w:sz w:val="17"/>
                <w:szCs w:val="17"/>
                <w:color w:val="auto"/>
              </w:rPr>
              <w:t>/s/ Gordon M. Harper</w:t>
            </w:r>
          </w:p>
        </w:tc>
      </w:tr>
      <w:tr>
        <w:trPr>
          <w:trHeight w:val="22"/>
        </w:trPr>
        <w:tc>
          <w:tcPr>
            <w:tcW w:w="7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r>
      <w:tr>
        <w:trPr>
          <w:trHeight w:val="198"/>
        </w:trPr>
        <w:tc>
          <w:tcPr>
            <w:tcW w:w="74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4860" w:type="dxa"/>
            <w:vAlign w:val="bottom"/>
          </w:tcPr>
          <w:p>
            <w:pPr>
              <w:spacing w:after="0" w:line="198" w:lineRule="exact"/>
              <w:rPr>
                <w:sz w:val="20"/>
                <w:szCs w:val="20"/>
                <w:color w:val="auto"/>
              </w:rPr>
            </w:pPr>
            <w:r>
              <w:rPr>
                <w:rFonts w:ascii="Calibri" w:cs="Calibri" w:eastAsia="Calibri" w:hAnsi="Calibri"/>
                <w:sz w:val="17"/>
                <w:szCs w:val="17"/>
                <w:color w:val="auto"/>
              </w:rPr>
              <w:t>Gordon M. Harper</w:t>
            </w:r>
          </w:p>
        </w:tc>
      </w:tr>
      <w:tr>
        <w:trPr>
          <w:trHeight w:val="211"/>
        </w:trPr>
        <w:tc>
          <w:tcPr>
            <w:tcW w:w="7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Calibri" w:cs="Calibri" w:eastAsia="Calibri" w:hAnsi="Calibri"/>
                <w:sz w:val="17"/>
                <w:szCs w:val="17"/>
                <w:color w:val="auto"/>
              </w:rPr>
              <w:t>Chief Financial Ofcer</w:t>
            </w: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firstLine="619"/>
        <w:spacing w:after="0" w:line="237" w:lineRule="auto"/>
        <w:rPr>
          <w:sz w:val="20"/>
          <w:szCs w:val="20"/>
          <w:color w:val="auto"/>
        </w:rPr>
      </w:pPr>
      <w:r>
        <w:rPr>
          <w:rFonts w:ascii="Calibri" w:cs="Calibri" w:eastAsia="Calibri" w:hAnsi="Calibri"/>
          <w:sz w:val="17"/>
          <w:szCs w:val="17"/>
          <w:color w:val="auto"/>
        </w:rPr>
        <w:t>Pursuant to the requirements of the Securites Exchange Act of 1934, this report has been signed below by the following persons on behalf of the registrant and in the capacites and on the dates indicated:</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2640" w:type="dxa"/>
            <w:vAlign w:val="bottom"/>
          </w:tcPr>
          <w:p>
            <w:pPr>
              <w:ind w:left="980"/>
              <w:spacing w:after="0"/>
              <w:rPr>
                <w:sz w:val="20"/>
                <w:szCs w:val="20"/>
                <w:color w:val="auto"/>
              </w:rPr>
            </w:pPr>
            <w:r>
              <w:rPr>
                <w:rFonts w:ascii="Calibri" w:cs="Calibri" w:eastAsia="Calibri" w:hAnsi="Calibri"/>
                <w:sz w:val="17"/>
                <w:szCs w:val="17"/>
                <w:b w:val="1"/>
                <w:bCs w:val="1"/>
                <w:color w:val="auto"/>
              </w:rPr>
              <w:t>Signature</w:t>
            </w:r>
          </w:p>
        </w:tc>
        <w:tc>
          <w:tcPr>
            <w:tcW w:w="120" w:type="dxa"/>
            <w:vAlign w:val="bottom"/>
          </w:tcPr>
          <w:p>
            <w:pPr>
              <w:spacing w:after="0"/>
              <w:rPr>
                <w:sz w:val="18"/>
                <w:szCs w:val="18"/>
                <w:color w:val="auto"/>
              </w:rPr>
            </w:pPr>
          </w:p>
        </w:tc>
        <w:tc>
          <w:tcPr>
            <w:tcW w:w="6360" w:type="dxa"/>
            <w:vAlign w:val="bottom"/>
            <w:gridSpan w:val="2"/>
          </w:tcPr>
          <w:p>
            <w:pPr>
              <w:ind w:left="2960"/>
              <w:spacing w:after="0"/>
              <w:rPr>
                <w:sz w:val="20"/>
                <w:szCs w:val="20"/>
                <w:color w:val="auto"/>
              </w:rPr>
            </w:pPr>
            <w:r>
              <w:rPr>
                <w:rFonts w:ascii="Calibri" w:cs="Calibri" w:eastAsia="Calibri" w:hAnsi="Calibri"/>
                <w:sz w:val="17"/>
                <w:szCs w:val="17"/>
                <w:b w:val="1"/>
                <w:bCs w:val="1"/>
                <w:color w:val="auto"/>
              </w:rPr>
              <w:t>Title</w:t>
            </w:r>
          </w:p>
        </w:tc>
        <w:tc>
          <w:tcPr>
            <w:tcW w:w="2100" w:type="dxa"/>
            <w:vAlign w:val="bottom"/>
          </w:tcPr>
          <w:p>
            <w:pPr>
              <w:ind w:left="880"/>
              <w:spacing w:after="0"/>
              <w:rPr>
                <w:sz w:val="20"/>
                <w:szCs w:val="20"/>
                <w:color w:val="auto"/>
              </w:rPr>
            </w:pPr>
            <w:r>
              <w:rPr>
                <w:rFonts w:ascii="Calibri" w:cs="Calibri" w:eastAsia="Calibri" w:hAnsi="Calibri"/>
                <w:sz w:val="17"/>
                <w:szCs w:val="17"/>
                <w:b w:val="1"/>
                <w:bCs w:val="1"/>
                <w:color w:val="auto"/>
              </w:rPr>
              <w:t>Date</w:t>
            </w:r>
          </w:p>
        </w:tc>
        <w:tc>
          <w:tcPr>
            <w:tcW w:w="0" w:type="dxa"/>
            <w:vAlign w:val="bottom"/>
          </w:tcPr>
          <w:p>
            <w:pPr>
              <w:spacing w:after="0"/>
              <w:rPr>
                <w:sz w:val="1"/>
                <w:szCs w:val="1"/>
                <w:color w:val="auto"/>
              </w:rPr>
            </w:pP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9"/>
        </w:trPr>
        <w:tc>
          <w:tcPr>
            <w:tcW w:w="2640" w:type="dxa"/>
            <w:vAlign w:val="bottom"/>
          </w:tcPr>
          <w:p>
            <w:pPr>
              <w:ind w:left="20"/>
              <w:spacing w:after="0"/>
              <w:rPr>
                <w:sz w:val="20"/>
                <w:szCs w:val="20"/>
                <w:color w:val="auto"/>
              </w:rPr>
            </w:pPr>
            <w:r>
              <w:rPr>
                <w:rFonts w:ascii="Calibri" w:cs="Calibri" w:eastAsia="Calibri" w:hAnsi="Calibri"/>
                <w:sz w:val="17"/>
                <w:szCs w:val="17"/>
                <w:color w:val="auto"/>
              </w:rPr>
              <w:t>/s/ Scot J. Ulm</w:t>
            </w:r>
          </w:p>
        </w:tc>
        <w:tc>
          <w:tcPr>
            <w:tcW w:w="120" w:type="dxa"/>
            <w:vAlign w:val="bottom"/>
          </w:tcPr>
          <w:p>
            <w:pPr>
              <w:spacing w:after="0"/>
              <w:rPr>
                <w:sz w:val="24"/>
                <w:szCs w:val="24"/>
                <w:color w:val="auto"/>
              </w:rPr>
            </w:pPr>
          </w:p>
        </w:tc>
        <w:tc>
          <w:tcPr>
            <w:tcW w:w="6360" w:type="dxa"/>
            <w:vAlign w:val="bottom"/>
            <w:gridSpan w:val="2"/>
          </w:tcPr>
          <w:p>
            <w:pPr>
              <w:ind w:left="20"/>
              <w:spacing w:after="0"/>
              <w:rPr>
                <w:sz w:val="20"/>
                <w:szCs w:val="20"/>
                <w:color w:val="auto"/>
              </w:rPr>
            </w:pPr>
            <w:r>
              <w:rPr>
                <w:rFonts w:ascii="Calibri" w:cs="Calibri" w:eastAsia="Calibri" w:hAnsi="Calibri"/>
                <w:sz w:val="17"/>
                <w:szCs w:val="17"/>
                <w:color w:val="auto"/>
              </w:rPr>
              <w:t>Chief Executve Ofcer, Head of Risk Management and Vice Chairman</w:t>
            </w:r>
          </w:p>
        </w:tc>
        <w:tc>
          <w:tcPr>
            <w:tcW w:w="2100" w:type="dxa"/>
            <w:vAlign w:val="bottom"/>
          </w:tcPr>
          <w:p>
            <w:pPr>
              <w:spacing w:after="0"/>
              <w:rPr>
                <w:sz w:val="20"/>
                <w:szCs w:val="20"/>
                <w:color w:val="auto"/>
              </w:rPr>
            </w:pPr>
            <w:r>
              <w:rPr>
                <w:rFonts w:ascii="Calibri" w:cs="Calibri" w:eastAsia="Calibri" w:hAnsi="Calibri"/>
                <w:sz w:val="17"/>
                <w:szCs w:val="17"/>
                <w:color w:val="auto"/>
              </w:rPr>
              <w:t>March 15, 2024</w:t>
            </w:r>
          </w:p>
        </w:tc>
        <w:tc>
          <w:tcPr>
            <w:tcW w:w="0" w:type="dxa"/>
            <w:vAlign w:val="bottom"/>
          </w:tcPr>
          <w:p>
            <w:pPr>
              <w:spacing w:after="0"/>
              <w:rPr>
                <w:sz w:val="1"/>
                <w:szCs w:val="1"/>
                <w:color w:val="auto"/>
              </w:rPr>
            </w:pP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360" w:type="dxa"/>
            <w:vAlign w:val="bottom"/>
            <w:gridSpan w:val="2"/>
            <w:vMerge w:val="restart"/>
          </w:tcPr>
          <w:p>
            <w:pPr>
              <w:ind w:left="20"/>
              <w:spacing w:after="0"/>
              <w:rPr>
                <w:sz w:val="20"/>
                <w:szCs w:val="20"/>
                <w:color w:val="auto"/>
              </w:rPr>
            </w:pPr>
            <w:r>
              <w:rPr>
                <w:rFonts w:ascii="Calibri" w:cs="Calibri" w:eastAsia="Calibri" w:hAnsi="Calibri"/>
                <w:sz w:val="17"/>
                <w:szCs w:val="17"/>
                <w:color w:val="auto"/>
              </w:rPr>
              <w:t>(Principal Executve Ofcer)</w:t>
            </w: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line="198" w:lineRule="exact"/>
              <w:rPr>
                <w:sz w:val="20"/>
                <w:szCs w:val="20"/>
                <w:color w:val="auto"/>
              </w:rPr>
            </w:pPr>
            <w:r>
              <w:rPr>
                <w:rFonts w:ascii="Calibri" w:cs="Calibri" w:eastAsia="Calibri" w:hAnsi="Calibri"/>
                <w:sz w:val="17"/>
                <w:szCs w:val="17"/>
                <w:color w:val="auto"/>
              </w:rPr>
              <w:t>Scot J. Ulm</w:t>
            </w:r>
          </w:p>
        </w:tc>
        <w:tc>
          <w:tcPr>
            <w:tcW w:w="120" w:type="dxa"/>
            <w:vAlign w:val="bottom"/>
          </w:tcPr>
          <w:p>
            <w:pPr>
              <w:spacing w:after="0"/>
              <w:rPr>
                <w:sz w:val="17"/>
                <w:szCs w:val="17"/>
                <w:color w:val="auto"/>
              </w:rPr>
            </w:pPr>
          </w:p>
        </w:tc>
        <w:tc>
          <w:tcPr>
            <w:tcW w:w="6360" w:type="dxa"/>
            <w:vAlign w:val="bottom"/>
            <w:gridSpan w:val="2"/>
            <w:vMerge w:val="continue"/>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640" w:type="dxa"/>
            <w:vAlign w:val="bottom"/>
          </w:tcPr>
          <w:p>
            <w:pPr>
              <w:ind w:left="20"/>
              <w:spacing w:after="0"/>
              <w:rPr>
                <w:sz w:val="20"/>
                <w:szCs w:val="20"/>
                <w:color w:val="auto"/>
              </w:rPr>
            </w:pPr>
            <w:r>
              <w:rPr>
                <w:rFonts w:ascii="Calibri" w:cs="Calibri" w:eastAsia="Calibri" w:hAnsi="Calibri"/>
                <w:sz w:val="17"/>
                <w:szCs w:val="17"/>
                <w:color w:val="auto"/>
              </w:rPr>
              <w:t>/s/ Gordon M. Harper</w:t>
            </w:r>
          </w:p>
        </w:tc>
        <w:tc>
          <w:tcPr>
            <w:tcW w:w="120" w:type="dxa"/>
            <w:vAlign w:val="bottom"/>
          </w:tcPr>
          <w:p>
            <w:pPr>
              <w:spacing w:after="0"/>
              <w:rPr>
                <w:sz w:val="24"/>
                <w:szCs w:val="24"/>
                <w:color w:val="auto"/>
              </w:rPr>
            </w:pPr>
          </w:p>
        </w:tc>
        <w:tc>
          <w:tcPr>
            <w:tcW w:w="6360" w:type="dxa"/>
            <w:vAlign w:val="bottom"/>
            <w:gridSpan w:val="2"/>
          </w:tcPr>
          <w:p>
            <w:pPr>
              <w:ind w:left="20"/>
              <w:spacing w:after="0"/>
              <w:rPr>
                <w:sz w:val="20"/>
                <w:szCs w:val="20"/>
                <w:color w:val="auto"/>
              </w:rPr>
            </w:pPr>
            <w:r>
              <w:rPr>
                <w:rFonts w:ascii="Calibri" w:cs="Calibri" w:eastAsia="Calibri" w:hAnsi="Calibri"/>
                <w:sz w:val="17"/>
                <w:szCs w:val="17"/>
                <w:color w:val="auto"/>
              </w:rPr>
              <w:t>Chief Financial Ofcer, Controller and Secretary</w:t>
            </w:r>
          </w:p>
        </w:tc>
        <w:tc>
          <w:tcPr>
            <w:tcW w:w="2100" w:type="dxa"/>
            <w:vAlign w:val="bottom"/>
          </w:tcPr>
          <w:p>
            <w:pPr>
              <w:spacing w:after="0"/>
              <w:rPr>
                <w:sz w:val="20"/>
                <w:szCs w:val="20"/>
                <w:color w:val="auto"/>
              </w:rPr>
            </w:pPr>
            <w:r>
              <w:rPr>
                <w:rFonts w:ascii="Calibri" w:cs="Calibri" w:eastAsia="Calibri" w:hAnsi="Calibri"/>
                <w:sz w:val="17"/>
                <w:szCs w:val="17"/>
                <w:color w:val="auto"/>
              </w:rPr>
              <w:t>March 15, 2024</w:t>
            </w:r>
          </w:p>
        </w:tc>
        <w:tc>
          <w:tcPr>
            <w:tcW w:w="0" w:type="dxa"/>
            <w:vAlign w:val="bottom"/>
          </w:tcPr>
          <w:p>
            <w:pPr>
              <w:spacing w:after="0"/>
              <w:rPr>
                <w:sz w:val="1"/>
                <w:szCs w:val="1"/>
                <w:color w:val="auto"/>
              </w:rPr>
            </w:pP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360" w:type="dxa"/>
            <w:vAlign w:val="bottom"/>
            <w:gridSpan w:val="2"/>
            <w:vMerge w:val="restart"/>
          </w:tcPr>
          <w:p>
            <w:pPr>
              <w:ind w:left="20"/>
              <w:spacing w:after="0"/>
              <w:rPr>
                <w:sz w:val="20"/>
                <w:szCs w:val="20"/>
                <w:color w:val="auto"/>
              </w:rPr>
            </w:pPr>
            <w:r>
              <w:rPr>
                <w:rFonts w:ascii="Calibri" w:cs="Calibri" w:eastAsia="Calibri" w:hAnsi="Calibri"/>
                <w:sz w:val="17"/>
                <w:szCs w:val="17"/>
                <w:color w:val="auto"/>
              </w:rPr>
              <w:t>(Principal Financial Ofcer and Principal Accountng Ofcer)</w:t>
            </w: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line="198" w:lineRule="exact"/>
              <w:rPr>
                <w:sz w:val="20"/>
                <w:szCs w:val="20"/>
                <w:color w:val="auto"/>
              </w:rPr>
            </w:pPr>
            <w:r>
              <w:rPr>
                <w:rFonts w:ascii="Calibri" w:cs="Calibri" w:eastAsia="Calibri" w:hAnsi="Calibri"/>
                <w:sz w:val="17"/>
                <w:szCs w:val="17"/>
                <w:color w:val="auto"/>
              </w:rPr>
              <w:t>Gordon M. Harper</w:t>
            </w:r>
          </w:p>
        </w:tc>
        <w:tc>
          <w:tcPr>
            <w:tcW w:w="120" w:type="dxa"/>
            <w:vAlign w:val="bottom"/>
          </w:tcPr>
          <w:p>
            <w:pPr>
              <w:spacing w:after="0"/>
              <w:rPr>
                <w:sz w:val="17"/>
                <w:szCs w:val="17"/>
                <w:color w:val="auto"/>
              </w:rPr>
            </w:pPr>
          </w:p>
        </w:tc>
        <w:tc>
          <w:tcPr>
            <w:tcW w:w="6360" w:type="dxa"/>
            <w:vAlign w:val="bottom"/>
            <w:gridSpan w:val="2"/>
            <w:vMerge w:val="continue"/>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2640" w:type="dxa"/>
            <w:vAlign w:val="bottom"/>
          </w:tcPr>
          <w:p>
            <w:pPr>
              <w:ind w:left="20"/>
              <w:spacing w:after="0"/>
              <w:rPr>
                <w:sz w:val="20"/>
                <w:szCs w:val="20"/>
                <w:color w:val="auto"/>
              </w:rPr>
            </w:pPr>
            <w:r>
              <w:rPr>
                <w:rFonts w:ascii="Calibri" w:cs="Calibri" w:eastAsia="Calibri" w:hAnsi="Calibri"/>
                <w:sz w:val="17"/>
                <w:szCs w:val="17"/>
                <w:color w:val="auto"/>
              </w:rPr>
              <w:t>/s/ Daniel C. Staton</w:t>
            </w:r>
          </w:p>
        </w:tc>
        <w:tc>
          <w:tcPr>
            <w:tcW w:w="120" w:type="dxa"/>
            <w:vAlign w:val="bottom"/>
          </w:tcPr>
          <w:p>
            <w:pPr>
              <w:spacing w:after="0"/>
              <w:rPr>
                <w:sz w:val="24"/>
                <w:szCs w:val="24"/>
                <w:color w:val="auto"/>
              </w:rPr>
            </w:pPr>
          </w:p>
        </w:tc>
        <w:tc>
          <w:tcPr>
            <w:tcW w:w="6360" w:type="dxa"/>
            <w:vAlign w:val="bottom"/>
            <w:gridSpan w:val="2"/>
          </w:tcPr>
          <w:p>
            <w:pPr>
              <w:ind w:left="20"/>
              <w:spacing w:after="0"/>
              <w:rPr>
                <w:sz w:val="20"/>
                <w:szCs w:val="20"/>
                <w:color w:val="auto"/>
              </w:rPr>
            </w:pPr>
            <w:r>
              <w:rPr>
                <w:rFonts w:ascii="Calibri" w:cs="Calibri" w:eastAsia="Calibri" w:hAnsi="Calibri"/>
                <w:sz w:val="17"/>
                <w:szCs w:val="17"/>
                <w:color w:val="auto"/>
              </w:rPr>
              <w:t>Chairman of the Board of Directors</w:t>
            </w:r>
          </w:p>
        </w:tc>
        <w:tc>
          <w:tcPr>
            <w:tcW w:w="2100" w:type="dxa"/>
            <w:vAlign w:val="bottom"/>
          </w:tcPr>
          <w:p>
            <w:pPr>
              <w:spacing w:after="0"/>
              <w:rPr>
                <w:sz w:val="20"/>
                <w:szCs w:val="20"/>
                <w:color w:val="auto"/>
              </w:rPr>
            </w:pPr>
            <w:r>
              <w:rPr>
                <w:rFonts w:ascii="Calibri" w:cs="Calibri" w:eastAsia="Calibri" w:hAnsi="Calibri"/>
                <w:sz w:val="17"/>
                <w:szCs w:val="17"/>
                <w:color w:val="auto"/>
              </w:rPr>
              <w:t>March 15, 2024</w:t>
            </w:r>
          </w:p>
        </w:tc>
        <w:tc>
          <w:tcPr>
            <w:tcW w:w="0" w:type="dxa"/>
            <w:vAlign w:val="bottom"/>
          </w:tcPr>
          <w:p>
            <w:pPr>
              <w:spacing w:after="0"/>
              <w:rPr>
                <w:sz w:val="1"/>
                <w:szCs w:val="1"/>
                <w:color w:val="auto"/>
              </w:rPr>
            </w:pP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line="198" w:lineRule="exact"/>
              <w:rPr>
                <w:sz w:val="20"/>
                <w:szCs w:val="20"/>
                <w:color w:val="auto"/>
              </w:rPr>
            </w:pPr>
            <w:r>
              <w:rPr>
                <w:rFonts w:ascii="Calibri" w:cs="Calibri" w:eastAsia="Calibri" w:hAnsi="Calibri"/>
                <w:sz w:val="17"/>
                <w:szCs w:val="17"/>
                <w:color w:val="auto"/>
              </w:rPr>
              <w:t>Daniel C. Staton</w:t>
            </w:r>
          </w:p>
        </w:tc>
        <w:tc>
          <w:tcPr>
            <w:tcW w:w="1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640" w:type="dxa"/>
            <w:vAlign w:val="bottom"/>
          </w:tcPr>
          <w:p>
            <w:pPr>
              <w:ind w:left="20"/>
              <w:spacing w:after="0"/>
              <w:rPr>
                <w:sz w:val="20"/>
                <w:szCs w:val="20"/>
                <w:color w:val="auto"/>
              </w:rPr>
            </w:pPr>
            <w:r>
              <w:rPr>
                <w:rFonts w:ascii="Calibri" w:cs="Calibri" w:eastAsia="Calibri" w:hAnsi="Calibri"/>
                <w:sz w:val="17"/>
                <w:szCs w:val="17"/>
                <w:color w:val="auto"/>
              </w:rPr>
              <w:t>/s/ Marc H. Bell</w:t>
            </w:r>
          </w:p>
        </w:tc>
        <w:tc>
          <w:tcPr>
            <w:tcW w:w="120" w:type="dxa"/>
            <w:vAlign w:val="bottom"/>
          </w:tcPr>
          <w:p>
            <w:pPr>
              <w:spacing w:after="0"/>
              <w:rPr>
                <w:sz w:val="24"/>
                <w:szCs w:val="24"/>
                <w:color w:val="auto"/>
              </w:rPr>
            </w:pPr>
          </w:p>
        </w:tc>
        <w:tc>
          <w:tcPr>
            <w:tcW w:w="6360" w:type="dxa"/>
            <w:vAlign w:val="bottom"/>
            <w:gridSpan w:val="2"/>
          </w:tcPr>
          <w:p>
            <w:pPr>
              <w:ind w:left="20"/>
              <w:spacing w:after="0"/>
              <w:rPr>
                <w:sz w:val="20"/>
                <w:szCs w:val="20"/>
                <w:color w:val="auto"/>
              </w:rPr>
            </w:pPr>
            <w:r>
              <w:rPr>
                <w:rFonts w:ascii="Calibri" w:cs="Calibri" w:eastAsia="Calibri" w:hAnsi="Calibri"/>
                <w:sz w:val="17"/>
                <w:szCs w:val="17"/>
                <w:color w:val="auto"/>
              </w:rPr>
              <w:t>Director</w:t>
            </w:r>
          </w:p>
        </w:tc>
        <w:tc>
          <w:tcPr>
            <w:tcW w:w="2100" w:type="dxa"/>
            <w:vAlign w:val="bottom"/>
          </w:tcPr>
          <w:p>
            <w:pPr>
              <w:spacing w:after="0"/>
              <w:rPr>
                <w:sz w:val="20"/>
                <w:szCs w:val="20"/>
                <w:color w:val="auto"/>
              </w:rPr>
            </w:pPr>
            <w:r>
              <w:rPr>
                <w:rFonts w:ascii="Calibri" w:cs="Calibri" w:eastAsia="Calibri" w:hAnsi="Calibri"/>
                <w:sz w:val="17"/>
                <w:szCs w:val="17"/>
                <w:color w:val="auto"/>
              </w:rPr>
              <w:t>March 15, 2024</w:t>
            </w:r>
          </w:p>
        </w:tc>
        <w:tc>
          <w:tcPr>
            <w:tcW w:w="0" w:type="dxa"/>
            <w:vAlign w:val="bottom"/>
          </w:tcPr>
          <w:p>
            <w:pPr>
              <w:spacing w:after="0"/>
              <w:rPr>
                <w:sz w:val="1"/>
                <w:szCs w:val="1"/>
                <w:color w:val="auto"/>
              </w:rPr>
            </w:pP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line="198" w:lineRule="exact"/>
              <w:rPr>
                <w:sz w:val="20"/>
                <w:szCs w:val="20"/>
                <w:color w:val="auto"/>
              </w:rPr>
            </w:pPr>
            <w:r>
              <w:rPr>
                <w:rFonts w:ascii="Calibri" w:cs="Calibri" w:eastAsia="Calibri" w:hAnsi="Calibri"/>
                <w:sz w:val="17"/>
                <w:szCs w:val="17"/>
                <w:color w:val="auto"/>
              </w:rPr>
              <w:t>Marc H. Bell</w:t>
            </w:r>
          </w:p>
        </w:tc>
        <w:tc>
          <w:tcPr>
            <w:tcW w:w="1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640" w:type="dxa"/>
            <w:vAlign w:val="bottom"/>
          </w:tcPr>
          <w:p>
            <w:pPr>
              <w:ind w:left="20"/>
              <w:spacing w:after="0"/>
              <w:rPr>
                <w:sz w:val="20"/>
                <w:szCs w:val="20"/>
                <w:color w:val="auto"/>
              </w:rPr>
            </w:pPr>
            <w:r>
              <w:rPr>
                <w:rFonts w:ascii="Calibri" w:cs="Calibri" w:eastAsia="Calibri" w:hAnsi="Calibri"/>
                <w:sz w:val="17"/>
                <w:szCs w:val="17"/>
                <w:color w:val="auto"/>
              </w:rPr>
              <w:t>/s/ Z. Jamie Behar</w:t>
            </w:r>
          </w:p>
        </w:tc>
        <w:tc>
          <w:tcPr>
            <w:tcW w:w="120" w:type="dxa"/>
            <w:vAlign w:val="bottom"/>
          </w:tcPr>
          <w:p>
            <w:pPr>
              <w:spacing w:after="0"/>
              <w:rPr>
                <w:sz w:val="24"/>
                <w:szCs w:val="24"/>
                <w:color w:val="auto"/>
              </w:rPr>
            </w:pPr>
          </w:p>
        </w:tc>
        <w:tc>
          <w:tcPr>
            <w:tcW w:w="6360" w:type="dxa"/>
            <w:vAlign w:val="bottom"/>
            <w:gridSpan w:val="2"/>
          </w:tcPr>
          <w:p>
            <w:pPr>
              <w:ind w:left="20"/>
              <w:spacing w:after="0"/>
              <w:rPr>
                <w:sz w:val="20"/>
                <w:szCs w:val="20"/>
                <w:color w:val="auto"/>
              </w:rPr>
            </w:pPr>
            <w:r>
              <w:rPr>
                <w:rFonts w:ascii="Calibri" w:cs="Calibri" w:eastAsia="Calibri" w:hAnsi="Calibri"/>
                <w:sz w:val="17"/>
                <w:szCs w:val="17"/>
                <w:color w:val="auto"/>
              </w:rPr>
              <w:t>Director</w:t>
            </w:r>
          </w:p>
        </w:tc>
        <w:tc>
          <w:tcPr>
            <w:tcW w:w="2100" w:type="dxa"/>
            <w:vAlign w:val="bottom"/>
          </w:tcPr>
          <w:p>
            <w:pPr>
              <w:spacing w:after="0"/>
              <w:rPr>
                <w:sz w:val="20"/>
                <w:szCs w:val="20"/>
                <w:color w:val="auto"/>
              </w:rPr>
            </w:pPr>
            <w:r>
              <w:rPr>
                <w:rFonts w:ascii="Calibri" w:cs="Calibri" w:eastAsia="Calibri" w:hAnsi="Calibri"/>
                <w:sz w:val="17"/>
                <w:szCs w:val="17"/>
                <w:color w:val="auto"/>
              </w:rPr>
              <w:t>March 15, 2024</w:t>
            </w:r>
          </w:p>
        </w:tc>
        <w:tc>
          <w:tcPr>
            <w:tcW w:w="0" w:type="dxa"/>
            <w:vAlign w:val="bottom"/>
          </w:tcPr>
          <w:p>
            <w:pPr>
              <w:spacing w:after="0"/>
              <w:rPr>
                <w:sz w:val="1"/>
                <w:szCs w:val="1"/>
                <w:color w:val="auto"/>
              </w:rPr>
            </w:pP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line="198" w:lineRule="exact"/>
              <w:rPr>
                <w:sz w:val="20"/>
                <w:szCs w:val="20"/>
                <w:color w:val="auto"/>
              </w:rPr>
            </w:pPr>
            <w:r>
              <w:rPr>
                <w:rFonts w:ascii="Calibri" w:cs="Calibri" w:eastAsia="Calibri" w:hAnsi="Calibri"/>
                <w:sz w:val="17"/>
                <w:szCs w:val="17"/>
                <w:color w:val="auto"/>
              </w:rPr>
              <w:t>Z. Jamie Behar</w:t>
            </w:r>
          </w:p>
        </w:tc>
        <w:tc>
          <w:tcPr>
            <w:tcW w:w="1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2640" w:type="dxa"/>
            <w:vAlign w:val="bottom"/>
          </w:tcPr>
          <w:p>
            <w:pPr>
              <w:ind w:left="20"/>
              <w:spacing w:after="0"/>
              <w:rPr>
                <w:sz w:val="20"/>
                <w:szCs w:val="20"/>
                <w:color w:val="auto"/>
              </w:rPr>
            </w:pPr>
            <w:r>
              <w:rPr>
                <w:rFonts w:ascii="Calibri" w:cs="Calibri" w:eastAsia="Calibri" w:hAnsi="Calibri"/>
                <w:sz w:val="17"/>
                <w:szCs w:val="17"/>
                <w:color w:val="auto"/>
              </w:rPr>
              <w:t>/s/ Carolyn Downey</w:t>
            </w:r>
          </w:p>
        </w:tc>
        <w:tc>
          <w:tcPr>
            <w:tcW w:w="120" w:type="dxa"/>
            <w:vAlign w:val="bottom"/>
          </w:tcPr>
          <w:p>
            <w:pPr>
              <w:spacing w:after="0"/>
              <w:rPr>
                <w:sz w:val="24"/>
                <w:szCs w:val="24"/>
                <w:color w:val="auto"/>
              </w:rPr>
            </w:pPr>
          </w:p>
        </w:tc>
        <w:tc>
          <w:tcPr>
            <w:tcW w:w="6360" w:type="dxa"/>
            <w:vAlign w:val="bottom"/>
            <w:gridSpan w:val="2"/>
          </w:tcPr>
          <w:p>
            <w:pPr>
              <w:ind w:left="20"/>
              <w:spacing w:after="0"/>
              <w:rPr>
                <w:sz w:val="20"/>
                <w:szCs w:val="20"/>
                <w:color w:val="auto"/>
              </w:rPr>
            </w:pPr>
            <w:r>
              <w:rPr>
                <w:rFonts w:ascii="Calibri" w:cs="Calibri" w:eastAsia="Calibri" w:hAnsi="Calibri"/>
                <w:sz w:val="17"/>
                <w:szCs w:val="17"/>
                <w:color w:val="auto"/>
              </w:rPr>
              <w:t>Director</w:t>
            </w:r>
          </w:p>
        </w:tc>
        <w:tc>
          <w:tcPr>
            <w:tcW w:w="2100" w:type="dxa"/>
            <w:vAlign w:val="bottom"/>
          </w:tcPr>
          <w:p>
            <w:pPr>
              <w:spacing w:after="0"/>
              <w:rPr>
                <w:sz w:val="20"/>
                <w:szCs w:val="20"/>
                <w:color w:val="auto"/>
              </w:rPr>
            </w:pPr>
            <w:r>
              <w:rPr>
                <w:rFonts w:ascii="Calibri" w:cs="Calibri" w:eastAsia="Calibri" w:hAnsi="Calibri"/>
                <w:sz w:val="17"/>
                <w:szCs w:val="17"/>
                <w:color w:val="auto"/>
              </w:rPr>
              <w:t>March 15, 2024</w:t>
            </w:r>
          </w:p>
        </w:tc>
        <w:tc>
          <w:tcPr>
            <w:tcW w:w="0" w:type="dxa"/>
            <w:vAlign w:val="bottom"/>
          </w:tcPr>
          <w:p>
            <w:pPr>
              <w:spacing w:after="0"/>
              <w:rPr>
                <w:sz w:val="1"/>
                <w:szCs w:val="1"/>
                <w:color w:val="auto"/>
              </w:rPr>
            </w:pP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line="198" w:lineRule="exact"/>
              <w:rPr>
                <w:sz w:val="20"/>
                <w:szCs w:val="20"/>
                <w:color w:val="auto"/>
              </w:rPr>
            </w:pPr>
            <w:r>
              <w:rPr>
                <w:rFonts w:ascii="Calibri" w:cs="Calibri" w:eastAsia="Calibri" w:hAnsi="Calibri"/>
                <w:sz w:val="17"/>
                <w:szCs w:val="17"/>
                <w:color w:val="auto"/>
              </w:rPr>
              <w:t>Carolyn Downey</w:t>
            </w:r>
          </w:p>
        </w:tc>
        <w:tc>
          <w:tcPr>
            <w:tcW w:w="1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2640" w:type="dxa"/>
            <w:vAlign w:val="bottom"/>
          </w:tcPr>
          <w:p>
            <w:pPr>
              <w:ind w:left="20"/>
              <w:spacing w:after="0"/>
              <w:rPr>
                <w:sz w:val="20"/>
                <w:szCs w:val="20"/>
                <w:color w:val="auto"/>
              </w:rPr>
            </w:pPr>
            <w:r>
              <w:rPr>
                <w:rFonts w:ascii="Calibri" w:cs="Calibri" w:eastAsia="Calibri" w:hAnsi="Calibri"/>
                <w:sz w:val="17"/>
                <w:szCs w:val="17"/>
                <w:color w:val="auto"/>
              </w:rPr>
              <w:t>/s/ Robert C. Hain</w:t>
            </w:r>
          </w:p>
        </w:tc>
        <w:tc>
          <w:tcPr>
            <w:tcW w:w="120" w:type="dxa"/>
            <w:vAlign w:val="bottom"/>
          </w:tcPr>
          <w:p>
            <w:pPr>
              <w:spacing w:after="0"/>
              <w:rPr>
                <w:sz w:val="24"/>
                <w:szCs w:val="24"/>
                <w:color w:val="auto"/>
              </w:rPr>
            </w:pPr>
          </w:p>
        </w:tc>
        <w:tc>
          <w:tcPr>
            <w:tcW w:w="6360" w:type="dxa"/>
            <w:vAlign w:val="bottom"/>
            <w:gridSpan w:val="2"/>
          </w:tcPr>
          <w:p>
            <w:pPr>
              <w:ind w:left="20"/>
              <w:spacing w:after="0"/>
              <w:rPr>
                <w:sz w:val="20"/>
                <w:szCs w:val="20"/>
                <w:color w:val="auto"/>
              </w:rPr>
            </w:pPr>
            <w:r>
              <w:rPr>
                <w:rFonts w:ascii="Calibri" w:cs="Calibri" w:eastAsia="Calibri" w:hAnsi="Calibri"/>
                <w:sz w:val="17"/>
                <w:szCs w:val="17"/>
                <w:color w:val="auto"/>
              </w:rPr>
              <w:t>Director</w:t>
            </w:r>
          </w:p>
        </w:tc>
        <w:tc>
          <w:tcPr>
            <w:tcW w:w="2100" w:type="dxa"/>
            <w:vAlign w:val="bottom"/>
          </w:tcPr>
          <w:p>
            <w:pPr>
              <w:spacing w:after="0"/>
              <w:rPr>
                <w:sz w:val="20"/>
                <w:szCs w:val="20"/>
                <w:color w:val="auto"/>
              </w:rPr>
            </w:pPr>
            <w:r>
              <w:rPr>
                <w:rFonts w:ascii="Calibri" w:cs="Calibri" w:eastAsia="Calibri" w:hAnsi="Calibri"/>
                <w:sz w:val="17"/>
                <w:szCs w:val="17"/>
                <w:color w:val="auto"/>
              </w:rPr>
              <w:t>March 15, 2024</w:t>
            </w:r>
          </w:p>
        </w:tc>
        <w:tc>
          <w:tcPr>
            <w:tcW w:w="0" w:type="dxa"/>
            <w:vAlign w:val="bottom"/>
          </w:tcPr>
          <w:p>
            <w:pPr>
              <w:spacing w:after="0"/>
              <w:rPr>
                <w:sz w:val="1"/>
                <w:szCs w:val="1"/>
                <w:color w:val="auto"/>
              </w:rPr>
            </w:pP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line="198" w:lineRule="exact"/>
              <w:rPr>
                <w:sz w:val="20"/>
                <w:szCs w:val="20"/>
                <w:color w:val="auto"/>
              </w:rPr>
            </w:pPr>
            <w:r>
              <w:rPr>
                <w:rFonts w:ascii="Calibri" w:cs="Calibri" w:eastAsia="Calibri" w:hAnsi="Calibri"/>
                <w:sz w:val="17"/>
                <w:szCs w:val="17"/>
                <w:color w:val="auto"/>
              </w:rPr>
              <w:t>Robert C. Hain</w:t>
            </w:r>
          </w:p>
        </w:tc>
        <w:tc>
          <w:tcPr>
            <w:tcW w:w="1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6"/>
        </w:trPr>
        <w:tc>
          <w:tcPr>
            <w:tcW w:w="2640" w:type="dxa"/>
            <w:vAlign w:val="bottom"/>
          </w:tcPr>
          <w:p>
            <w:pPr>
              <w:ind w:left="20"/>
              <w:spacing w:after="0"/>
              <w:rPr>
                <w:sz w:val="20"/>
                <w:szCs w:val="20"/>
                <w:color w:val="auto"/>
              </w:rPr>
            </w:pPr>
            <w:r>
              <w:rPr>
                <w:rFonts w:ascii="Calibri" w:cs="Calibri" w:eastAsia="Calibri" w:hAnsi="Calibri"/>
                <w:sz w:val="17"/>
                <w:szCs w:val="17"/>
                <w:color w:val="auto"/>
              </w:rPr>
              <w:t>/s/ John P. Hollihan, III</w:t>
            </w:r>
          </w:p>
        </w:tc>
        <w:tc>
          <w:tcPr>
            <w:tcW w:w="120" w:type="dxa"/>
            <w:vAlign w:val="bottom"/>
          </w:tcPr>
          <w:p>
            <w:pPr>
              <w:spacing w:after="0"/>
              <w:rPr>
                <w:sz w:val="24"/>
                <w:szCs w:val="24"/>
                <w:color w:val="auto"/>
              </w:rPr>
            </w:pPr>
          </w:p>
        </w:tc>
        <w:tc>
          <w:tcPr>
            <w:tcW w:w="6360" w:type="dxa"/>
            <w:vAlign w:val="bottom"/>
            <w:gridSpan w:val="2"/>
          </w:tcPr>
          <w:p>
            <w:pPr>
              <w:ind w:left="20"/>
              <w:spacing w:after="0"/>
              <w:rPr>
                <w:sz w:val="20"/>
                <w:szCs w:val="20"/>
                <w:color w:val="auto"/>
              </w:rPr>
            </w:pPr>
            <w:r>
              <w:rPr>
                <w:rFonts w:ascii="Calibri" w:cs="Calibri" w:eastAsia="Calibri" w:hAnsi="Calibri"/>
                <w:sz w:val="17"/>
                <w:szCs w:val="17"/>
                <w:color w:val="auto"/>
              </w:rPr>
              <w:t>Director</w:t>
            </w:r>
          </w:p>
        </w:tc>
        <w:tc>
          <w:tcPr>
            <w:tcW w:w="2100" w:type="dxa"/>
            <w:vAlign w:val="bottom"/>
          </w:tcPr>
          <w:p>
            <w:pPr>
              <w:spacing w:after="0"/>
              <w:rPr>
                <w:sz w:val="20"/>
                <w:szCs w:val="20"/>
                <w:color w:val="auto"/>
              </w:rPr>
            </w:pPr>
            <w:r>
              <w:rPr>
                <w:rFonts w:ascii="Calibri" w:cs="Calibri" w:eastAsia="Calibri" w:hAnsi="Calibri"/>
                <w:sz w:val="17"/>
                <w:szCs w:val="17"/>
                <w:color w:val="auto"/>
              </w:rPr>
              <w:t>March 15, 2024</w:t>
            </w:r>
          </w:p>
        </w:tc>
        <w:tc>
          <w:tcPr>
            <w:tcW w:w="0" w:type="dxa"/>
            <w:vAlign w:val="bottom"/>
          </w:tcPr>
          <w:p>
            <w:pPr>
              <w:spacing w:after="0"/>
              <w:rPr>
                <w:sz w:val="1"/>
                <w:szCs w:val="1"/>
                <w:color w:val="auto"/>
              </w:rPr>
            </w:pP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line="198" w:lineRule="exact"/>
              <w:rPr>
                <w:sz w:val="20"/>
                <w:szCs w:val="20"/>
                <w:color w:val="auto"/>
              </w:rPr>
            </w:pPr>
            <w:r>
              <w:rPr>
                <w:rFonts w:ascii="Calibri" w:cs="Calibri" w:eastAsia="Calibri" w:hAnsi="Calibri"/>
                <w:sz w:val="17"/>
                <w:szCs w:val="17"/>
                <w:color w:val="auto"/>
              </w:rPr>
              <w:t>John P. Hollihan, III</w:t>
            </w:r>
          </w:p>
        </w:tc>
        <w:tc>
          <w:tcPr>
            <w:tcW w:w="1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6"/>
        </w:trPr>
        <w:tc>
          <w:tcPr>
            <w:tcW w:w="2640" w:type="dxa"/>
            <w:vAlign w:val="bottom"/>
          </w:tcPr>
          <w:p>
            <w:pPr>
              <w:ind w:left="20"/>
              <w:spacing w:after="0"/>
              <w:rPr>
                <w:sz w:val="20"/>
                <w:szCs w:val="20"/>
                <w:color w:val="auto"/>
              </w:rPr>
            </w:pPr>
            <w:r>
              <w:rPr>
                <w:rFonts w:ascii="Calibri" w:cs="Calibri" w:eastAsia="Calibri" w:hAnsi="Calibri"/>
                <w:sz w:val="17"/>
                <w:szCs w:val="17"/>
                <w:color w:val="auto"/>
              </w:rPr>
              <w:t>/s/ Stewart J. Paperin</w:t>
            </w:r>
          </w:p>
        </w:tc>
        <w:tc>
          <w:tcPr>
            <w:tcW w:w="120" w:type="dxa"/>
            <w:vAlign w:val="bottom"/>
          </w:tcPr>
          <w:p>
            <w:pPr>
              <w:spacing w:after="0"/>
              <w:rPr>
                <w:sz w:val="24"/>
                <w:szCs w:val="24"/>
                <w:color w:val="auto"/>
              </w:rPr>
            </w:pPr>
          </w:p>
        </w:tc>
        <w:tc>
          <w:tcPr>
            <w:tcW w:w="6360" w:type="dxa"/>
            <w:vAlign w:val="bottom"/>
            <w:gridSpan w:val="2"/>
          </w:tcPr>
          <w:p>
            <w:pPr>
              <w:ind w:left="20"/>
              <w:spacing w:after="0"/>
              <w:rPr>
                <w:sz w:val="20"/>
                <w:szCs w:val="20"/>
                <w:color w:val="auto"/>
              </w:rPr>
            </w:pPr>
            <w:r>
              <w:rPr>
                <w:rFonts w:ascii="Calibri" w:cs="Calibri" w:eastAsia="Calibri" w:hAnsi="Calibri"/>
                <w:sz w:val="17"/>
                <w:szCs w:val="17"/>
                <w:color w:val="auto"/>
              </w:rPr>
              <w:t>Director</w:t>
            </w:r>
          </w:p>
        </w:tc>
        <w:tc>
          <w:tcPr>
            <w:tcW w:w="2100" w:type="dxa"/>
            <w:vAlign w:val="bottom"/>
          </w:tcPr>
          <w:p>
            <w:pPr>
              <w:spacing w:after="0"/>
              <w:rPr>
                <w:sz w:val="20"/>
                <w:szCs w:val="20"/>
                <w:color w:val="auto"/>
              </w:rPr>
            </w:pPr>
            <w:r>
              <w:rPr>
                <w:rFonts w:ascii="Calibri" w:cs="Calibri" w:eastAsia="Calibri" w:hAnsi="Calibri"/>
                <w:sz w:val="17"/>
                <w:szCs w:val="17"/>
                <w:color w:val="auto"/>
              </w:rPr>
              <w:t>March 15, 2024</w:t>
            </w:r>
          </w:p>
        </w:tc>
        <w:tc>
          <w:tcPr>
            <w:tcW w:w="0" w:type="dxa"/>
            <w:vAlign w:val="bottom"/>
          </w:tcPr>
          <w:p>
            <w:pPr>
              <w:spacing w:after="0"/>
              <w:rPr>
                <w:sz w:val="1"/>
                <w:szCs w:val="1"/>
                <w:color w:val="auto"/>
              </w:rPr>
            </w:pP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line="198" w:lineRule="exact"/>
              <w:rPr>
                <w:sz w:val="20"/>
                <w:szCs w:val="20"/>
                <w:color w:val="auto"/>
              </w:rPr>
            </w:pPr>
            <w:r>
              <w:rPr>
                <w:rFonts w:ascii="Calibri" w:cs="Calibri" w:eastAsia="Calibri" w:hAnsi="Calibri"/>
                <w:sz w:val="17"/>
                <w:szCs w:val="17"/>
                <w:color w:val="auto"/>
              </w:rPr>
              <w:t>Stewart J. Paperin</w:t>
            </w:r>
          </w:p>
        </w:tc>
        <w:tc>
          <w:tcPr>
            <w:tcW w:w="1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15"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ARMOUR Residential REIT, Inc.’s Securities Registered Pursuant to Section 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and Exchange Act of 1934</w:t>
      </w:r>
    </w:p>
    <w:p>
      <w:pPr>
        <w:spacing w:after="0" w:line="226"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The following is a brief description of the securities of ARMOUR Residential REIT, Inc. (“we,” “us,” “our,” or “ARMOUR”), registered pursuant to Section 12 of the Securities Exchange Act of 1934, as amended (the “Exchange Act”). This description of the terms of our stock does not purport to be complete and is subject to and qualified in its entirety by reference to the applicable provisions of the Maryland General Corporation Law (the “MGCL”), the full text of our charter, including the articles supplementary designating the outstanding series of preferred stock and bylaws.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Capital Stock</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u w:val="single" w:color="auto"/>
          <w:color w:val="auto"/>
        </w:rPr>
        <w:t>General</w:t>
      </w:r>
    </w:p>
    <w:p>
      <w:pPr>
        <w:spacing w:after="0" w:line="221" w:lineRule="exact"/>
        <w:rPr>
          <w:sz w:val="20"/>
          <w:szCs w:val="20"/>
          <w:color w:val="auto"/>
        </w:rPr>
      </w:pPr>
    </w:p>
    <w:p>
      <w:pPr>
        <w:ind w:right="120" w:firstLine="619"/>
        <w:spacing w:after="0" w:line="260" w:lineRule="auto"/>
        <w:rPr>
          <w:sz w:val="20"/>
          <w:szCs w:val="20"/>
          <w:color w:val="auto"/>
        </w:rPr>
      </w:pPr>
      <w:r>
        <w:rPr>
          <w:rFonts w:ascii="Times New Roman" w:cs="Times New Roman" w:eastAsia="Times New Roman" w:hAnsi="Times New Roman"/>
          <w:sz w:val="17"/>
          <w:szCs w:val="17"/>
          <w:color w:val="auto"/>
        </w:rPr>
        <w:t>As of December 31, 2023, our charter provided that we may issue up to 90,000,000 shares of common stock, $0.001 par value per share, and 50,000,000 shares of preferred stock, $0.001 par value per share. We submitted Articles of Amendment with the State of Maryland effective September 29, 2023 to decrease the number of authorized shares of common stock from 450,000,000 to 90,000,000 shares in connection with our one-for-five reverse stock split of our common stock. Our charter authorizes our board of directors, with the approval of a majority of the entire board of directors, to amend our charter to increase or decrease the aggregate number of authorized shares of stock or the number of shares of stock of any class or series without stockholder approval. Under Maryland law, stockholders are not generally liable for our debts or obligations.</w:t>
      </w:r>
    </w:p>
    <w:p>
      <w:pPr>
        <w:spacing w:after="0" w:line="199" w:lineRule="exact"/>
        <w:rPr>
          <w:sz w:val="20"/>
          <w:szCs w:val="20"/>
          <w:color w:val="auto"/>
        </w:rPr>
      </w:pPr>
    </w:p>
    <w:p>
      <w:pPr>
        <w:ind w:right="300" w:firstLine="619"/>
        <w:spacing w:after="0" w:line="264" w:lineRule="auto"/>
        <w:rPr>
          <w:sz w:val="20"/>
          <w:szCs w:val="20"/>
          <w:color w:val="auto"/>
        </w:rPr>
      </w:pPr>
      <w:r>
        <w:rPr>
          <w:rFonts w:ascii="Times New Roman" w:cs="Times New Roman" w:eastAsia="Times New Roman" w:hAnsi="Times New Roman"/>
          <w:sz w:val="17"/>
          <w:szCs w:val="17"/>
          <w:color w:val="auto"/>
        </w:rPr>
        <w:t>Our capital stock does not represent any interest in or obligation of our external manager, ARMOUR Capital Management LP (“ACM”). Further, the shares are not a deposit or other obligation of any bank, are not an insurance policy of any insurance company and are not insured or guaranteed by the Federal Deposit Insurance Company, any other governmental agency or any insurance company. Our capital stock does not benefit from any insurance guaranty association coverage or any similar protection.</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u w:val="single" w:color="auto"/>
          <w:color w:val="auto"/>
        </w:rPr>
        <w:t>Transfer Agent and Registrar</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transfer agent and registrar for our common stock and preferred stock is Continental Stock Transfer &amp; Trust Company. The principal business address for Continental Stock Transfer and Trust Company is One State Street, 30th Floor, New York, NY 10004.</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u w:val="single" w:color="auto"/>
          <w:color w:val="auto"/>
        </w:rPr>
        <w:t>Common Stock, $0.001 par value per share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stock is traded on the New York Stock Exchange (the “NYSE”) under the symbol, “ARR.”</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Dividends Rights</w:t>
      </w:r>
    </w:p>
    <w:p>
      <w:pPr>
        <w:spacing w:after="0" w:line="221"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Subject to the preferential rights of any other class or series of shares of stock and to the provisions of our charter regarding the restrictions on ownership and transfer of shares of stock, holders of shares of common stock are entitled to receive dividends on such shares of common stock out of assets legally available for such purposes if, as and when authorized by our board of directors and declared by us.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 Maturity</w:t>
      </w:r>
    </w:p>
    <w:p>
      <w:pPr>
        <w:spacing w:after="0" w:line="221" w:lineRule="exact"/>
        <w:rPr>
          <w:sz w:val="20"/>
          <w:szCs w:val="20"/>
          <w:color w:val="auto"/>
        </w:rPr>
      </w:pPr>
    </w:p>
    <w:p>
      <w:pPr>
        <w:jc w:val="both"/>
        <w:ind w:right="80" w:firstLine="619"/>
        <w:spacing w:after="0" w:line="287" w:lineRule="auto"/>
        <w:rPr>
          <w:sz w:val="20"/>
          <w:szCs w:val="20"/>
          <w:color w:val="auto"/>
        </w:rPr>
      </w:pPr>
      <w:r>
        <w:rPr>
          <w:rFonts w:ascii="Times New Roman" w:cs="Times New Roman" w:eastAsia="Times New Roman" w:hAnsi="Times New Roman"/>
          <w:sz w:val="17"/>
          <w:szCs w:val="17"/>
          <w:color w:val="auto"/>
        </w:rPr>
        <w:t>The common stock has no stated maturity and are not subject to any sinking fund. Shares of the common stock remain outstanding indefinitely unless we decide to repurchase them.</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 Redemption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Holders of shares of common stock have no redemption or repurchase rights and the shares of common stock are not subject to mandatory redemption.</w:t>
      </w:r>
    </w:p>
    <w:p>
      <w:pPr>
        <w:sectPr>
          <w:pgSz w:w="11900" w:h="16838" w:orient="portrait"/>
          <w:cols w:equalWidth="0" w:num="1">
            <w:col w:w="11240"/>
          </w:cols>
          <w:pgMar w:left="320" w:top="351"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 Conversion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Holders of share of common stock have no conversion or exchange rights.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Liquidation</w:t>
      </w:r>
    </w:p>
    <w:p>
      <w:pPr>
        <w:spacing w:after="0" w:line="221"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Holders of shares of our common stock are entitled to share ratably in our assets legally available for distribution to our stockholders in the event of our liquidation, dissolution or winding up after payment of or adequate provision for all our known debts and liabilities and outstanding preferential capital stock.</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Ranking</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shares of common stock have no preference rights and rank junior to our existing and future preferred stock and indebtedness.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221"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Subject to the provisions of our charter regarding the restrictions on transfer of shares of stock and except as may otherwise be specified in the terms of any class or series of shares of common stock, each outstanding share of common stock entitles the holder to one vote on all matters submitted to a vote of stockholders, including the election of directors, and, except as provided with respect to any other class or series of shares of stock, the holders of such shares of common stock will possess exclusive voting power. There is no cumulative voting in the election of our board of directors, which means that the holders of a majority of the outstanding shares of common stock can elect all of the directors then standing for election, and the holders of the remaining shares will not be able to elect any directors.</w:t>
      </w:r>
    </w:p>
    <w:p>
      <w:pPr>
        <w:spacing w:after="0" w:line="173"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Under the MGCL, a Maryland corporation generally cannot dissolve, amend its charter, merge with another entity, transfer all or substantially all of its assets, engage in a share exchange or engage in similar transactions outside the ordinary course of business unless approved by the affirmative vote of stockholders holding at least two-thirds of the votes entitled to be cast on the matter unless a lesser percentage (but not less than a majority of all of the votes entitled to be cast on the matter) is set forth in the corporation’s charter. Our charter provides that these matters (other than certain amendments to the provisions of our charter related to the removal of directors, the restrictions on ownership and transfer of shares of our stock and the requirement of a two-thirds vote for amendment to these provisions) may be approved by a majority of all of the votes entitled to be cast on the matter. Our by-laws provide that directors shall be elected by a majority of all votes entitled to be cast on the matter; provided, however, that directors shall be elected by a plurality of all the votes entitled to be cast on the matter for which we determine that the number of nominees exceeds the number of directors to be elected. A majority of the votes entitled to be cast on any other matter which may properly come before the stockholders shall be sufficient to approve it.</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 Preemptive Rights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Holders of shares of common stock have no preemptive rights to subscribe for any of our securities.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u w:val="single" w:color="auto"/>
          <w:color w:val="auto"/>
        </w:rPr>
        <w:t>7.00% Series C Cumulative Redeemable Preferred Stock, Liquidation Preference $25.00 per share, $0.001 par value per share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Series C Preferred Stock is traded on the NYSE under the symbol, “ARR PRC.”</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Dividend Rights</w:t>
      </w:r>
    </w:p>
    <w:p>
      <w:pPr>
        <w:spacing w:after="0" w:line="221"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Holders of the 7.00% Series C Cumulative Redeemable Preferred Stock (the “Series C Preferred Stock”) will be entitled to receive cumulative cash dividends at a rate of 7.00% per annum of the $25.00 per share liquidation preference (equivalent to $1.75 per annum per share). Dividends will be payable monthly on the 27th day of each month, provided that if any dividend payment date is not a business day, then the dividend which would otherwise have been payable on that dividend payment date may be paid on the next succeeding business day. Dividends will accrue and be cumulative from, and including, the date of original issuance. Dividends will be payable to holders of record as they appear in our stock records for the Series C Preferred Stock at the close of business on the applicable record date, which shall be the 15th day of the calendar month, whether or not a business day, in which the applicable dividend payment date falls.</w:t>
      </w:r>
    </w:p>
    <w:p>
      <w:pPr>
        <w:sectPr>
          <w:pgSz w:w="11900" w:h="16838" w:orient="portrait"/>
          <w:cols w:equalWidth="0" w:num="1">
            <w:col w:w="11240"/>
          </w:cols>
          <w:pgMar w:left="320" w:top="351"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 Maturity</w:t>
      </w:r>
    </w:p>
    <w:p>
      <w:pPr>
        <w:spacing w:after="0" w:line="221"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Series C Preferred Stock has no stated maturity and will not be subject to any sinking fund or mandatory redemption. Shares of the Series C Preferred Stock will remain outstanding indefinitely unless we decide to redeem or otherwise repurchase them or they become convertible and are converted as described below.</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Optional Redemption</w:t>
      </w:r>
    </w:p>
    <w:p>
      <w:pPr>
        <w:spacing w:after="0" w:line="22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Series C Preferred Stock is not redeemable by us prior to January 28, 2025 except under circumstances intended to preserve our qualification as a real estate investment trust (“REIT”) for federal income tax purposes and except as described below. On and after January 28, 2025 we may, at our option, upon no less than 30 nor more than 60 days’ written notice, redeem the Series C Preferred Stock, in whole or in part, at any time or from time to time, for cash at a redemption price equal to $25.00 per share, plus any accumulated and unpaid dividends to, but not including, the date fixed for redemption.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Special Optional Redemption</w:t>
      </w:r>
    </w:p>
    <w:p>
      <w:pPr>
        <w:spacing w:after="0" w:line="22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Upon the occurrence of a Change of Control (as defined in the articles supplementary designating the terms and conditions of the Series C Preferred Stock attached as an exhibit to our registration statement on Form 8-A filed with the Commission on January 28, 2020 (the “Articles Supplementary”)), we may, at our option, upon no less than 30 nor more than 60 days’ written notice, redeem the Series C Preferred Stock, in whole or in part, within 120 days after the first date on which such Change of Control occurred, for cash at a redemption price of $25.00 per share, plus any accumulated and unpaid dividends to, but not including, the date fixed for redemption. If, prior to the Change of Control Conversion Date (as defined in the Articles Supplementary), we have provided notice of our election to redeem some or all of the shares of Series C Preferred Stock (whether pursuant to our optional redemption right described above or this special optional redemption right), the holders of Series C Preferred Stock will not have the conversion right described below.</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Conversion Rights</w:t>
      </w:r>
    </w:p>
    <w:p>
      <w:pPr>
        <w:spacing w:after="0" w:line="221"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Upon the occurrence of a Change of Control, each holder of Series C Preferred Stock will have the right, subject to our election to redeem the Series C Preferred Stock in whole or part, prior to the Change of Control Conversion Date, to convert some or all of the Series C Preferred Stock held by such holder on the Change of Control Conversion Date into a number of shares of our common stock per share of Series C Preferred Stock equal to the lesser of:</w:t>
      </w:r>
    </w:p>
    <w:p>
      <w:pPr>
        <w:spacing w:after="0" w:line="165" w:lineRule="exact"/>
        <w:rPr>
          <w:sz w:val="20"/>
          <w:szCs w:val="20"/>
          <w:color w:val="auto"/>
        </w:rPr>
      </w:pPr>
    </w:p>
    <w:p>
      <w:pPr>
        <w:ind w:left="940" w:right="180" w:hanging="318"/>
        <w:spacing w:after="0" w:line="257" w:lineRule="auto"/>
        <w:tabs>
          <w:tab w:leader="none" w:pos="93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quotient obtained by dividing (i) the sum of the $25.00 liquidation preference per share of Series C Preferred Stock plus the amount of any accumulated and unpaid dividends thereon to, but not including, the Change of Control Conversion Date (unless the Change of Control Conversion Date is after a dividend record date and prior to the corresponding dividend payment date for the Series C Preferred Stock, in which case no additional amount for such accrued and unpaid dividends will be included in this sum) by (ii) the Common Stock Price (as defined in the Articles Supplementary); and</w:t>
      </w:r>
    </w:p>
    <w:p>
      <w:pPr>
        <w:spacing w:after="0" w:line="1" w:lineRule="exact"/>
        <w:rPr>
          <w:rFonts w:ascii="Times New Roman" w:cs="Times New Roman" w:eastAsia="Times New Roman" w:hAnsi="Times New Roman"/>
          <w:sz w:val="17"/>
          <w:szCs w:val="17"/>
          <w:color w:val="auto"/>
        </w:rPr>
      </w:pPr>
    </w:p>
    <w:p>
      <w:pPr>
        <w:ind w:left="940" w:right="160" w:hanging="318"/>
        <w:spacing w:after="0" w:line="266" w:lineRule="auto"/>
        <w:tabs>
          <w:tab w:leader="none" w:pos="93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2.613696, subject to certain adjustments; in each case, on the terms and subject to the conditions described in the Articles Supplementary, including provisions for the receipt, under specified circumstances, of alternative consideration as described in the Articles Supplementary.</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Liquidation Preference</w:t>
      </w:r>
    </w:p>
    <w:p>
      <w:pPr>
        <w:spacing w:after="0" w:line="221"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If we liquidate, dissolve or wind up, holders of the Series C Preferred Stock will have the right to receive $25.00 per share, plus any accumulated and unpaid dividends to, but not including, the date of payment, before any distribution of assets is made to the holders of our common stock.</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Ranking</w:t>
      </w:r>
    </w:p>
    <w:p>
      <w:pPr>
        <w:spacing w:after="0" w:line="221" w:lineRule="exact"/>
        <w:rPr>
          <w:sz w:val="20"/>
          <w:szCs w:val="20"/>
          <w:color w:val="auto"/>
        </w:rPr>
      </w:pPr>
    </w:p>
    <w:p>
      <w:pPr>
        <w:ind w:right="160" w:firstLine="619"/>
        <w:spacing w:after="0" w:line="258" w:lineRule="auto"/>
        <w:rPr>
          <w:sz w:val="20"/>
          <w:szCs w:val="20"/>
          <w:color w:val="auto"/>
        </w:rPr>
      </w:pPr>
      <w:r>
        <w:rPr>
          <w:rFonts w:ascii="Times New Roman" w:cs="Times New Roman" w:eastAsia="Times New Roman" w:hAnsi="Times New Roman"/>
          <w:sz w:val="17"/>
          <w:szCs w:val="17"/>
          <w:color w:val="auto"/>
        </w:rPr>
        <w:t>The Series C Preferred Stock will rank, with respect to rights to the payment of dividends and the distribution of assets upon our liquidation, dissolution or winding up, (1) senior to all classes or series of our common stock and to all other equity securities issued by us other than equity securities referred to in clauses (2) and (3); (2) on a parity with all other equity securities issued by us with terms specifically providing that those equity securities rank on a parity with the Series C Preferred Stock with respect to rights to the payment of dividends and the distribution of assets upon our liquidation, dissolution or winding up; and</w:t>
      </w:r>
    </w:p>
    <w:p>
      <w:pPr>
        <w:spacing w:after="0" w:line="1" w:lineRule="exact"/>
        <w:rPr>
          <w:sz w:val="20"/>
          <w:szCs w:val="20"/>
          <w:color w:val="auto"/>
        </w:rPr>
      </w:pPr>
    </w:p>
    <w:p>
      <w:pPr>
        <w:ind w:right="100" w:firstLine="3"/>
        <w:spacing w:after="0" w:line="259" w:lineRule="auto"/>
        <w:tabs>
          <w:tab w:leader="none" w:pos="24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junior to all equity securities issued by us with terms specifically providing that those equity securities rank senior to the Series C Preferred Stock with respect to rights to the payment of dividends and the distribution of assets upon our liquidation, dissolution or winding up. The Series C Preferred Stock will effectively rank junior to all of our existing and future</w:t>
      </w:r>
    </w:p>
    <w:p>
      <w:pPr>
        <w:sectPr>
          <w:pgSz w:w="11900" w:h="16838" w:orient="portrait"/>
          <w:cols w:equalWidth="0" w:num="1">
            <w:col w:w="11240"/>
          </w:cols>
          <w:pgMar w:left="320" w:top="35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311"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7"/>
          <w:szCs w:val="17"/>
          <w:color w:val="auto"/>
        </w:rPr>
        <w:t>indebtedness (including indebtedness convertible to our common stock or preferred stock) and to the indebtedness of our existing subsidiaries and any future subsidiaries.</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221"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Holders of Series C Preferred Stock will generally have no voting rights. However, if we do not pay dividends on the Series C Preferred Stock for eighteen or more monthly dividend periods (whether or not consecutive), the holders of the Series C Preferred Stock (voting separately as a class with the holders of all other classes or series of our preferred stock we may issue upon which like voting rights have been conferred and are exercisable and which are entitled to vote as a class with the Series C Preferred Stock in the election referred to below) will be entitled to vote for the election of two additional directors to serve on our board of directors until we pay, or declare and set aside funds for the payment of, all dividends that we owe on the Series C Preferred Stock, subject to certain limitations described in the Articles Supplementary. In addition, the affirmative vote of the holders of at least two-thirds of the outstanding shares of Series C Preferred Stock is required for us to authorize or issue any class or series of stock ranking prior to the Series C Preferred Stock with respect to the payment of dividends or the distribution of assets on liquidation, dissolution or winding up, to amend any provision of charter so as to materially and adversely affect any rights of the Series C Preferred Stock, or to take certain other actions. If any such amendments to our charter would be material and adverse to holders of the Series C Preferred Stock and any other series of parity preferred stock upon which similar voting rights have been conferred and are exercisable, a vote of at least two-thirds of the outstanding shares of Series C Preferred Stock and the shares of the other applicable series materially and adversely affected, voting together as a class, would be required. On each matter on which holders of Series C Preferred Stock are entitled to vote, each share of Series C Preferred Stock will be entitled to one vote, except that when shares of any other class or series of our preferred stock have the right to vote with the Series C Preferred Stock as a single class on any matter, the Series C Preferred Stock and the shares of each such other class or series will have one vote for each $25.00 of liquidation preference (excluding accumulated dividends).</w:t>
      </w:r>
    </w:p>
    <w:p>
      <w:pPr>
        <w:spacing w:after="0" w:line="3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 Preemptive Rights</w:t>
      </w:r>
    </w:p>
    <w:p>
      <w:pPr>
        <w:spacing w:after="0" w:line="221" w:lineRule="exact"/>
        <w:rPr>
          <w:sz w:val="20"/>
          <w:szCs w:val="20"/>
          <w:color w:val="auto"/>
        </w:rPr>
      </w:pPr>
    </w:p>
    <w:p>
      <w:pPr>
        <w:ind w:right="500" w:firstLine="619"/>
        <w:spacing w:after="0" w:line="287" w:lineRule="auto"/>
        <w:rPr>
          <w:sz w:val="20"/>
          <w:szCs w:val="20"/>
          <w:color w:val="auto"/>
        </w:rPr>
      </w:pPr>
      <w:r>
        <w:rPr>
          <w:rFonts w:ascii="Times New Roman" w:cs="Times New Roman" w:eastAsia="Times New Roman" w:hAnsi="Times New Roman"/>
          <w:sz w:val="17"/>
          <w:szCs w:val="17"/>
          <w:color w:val="auto"/>
        </w:rPr>
        <w:t>No holders of the Series C Preferred Stock will, as holders of Series C Preferred Stock, have any preemptive rights to purchase or subscribe for our preferred stock, common stock or any other security.</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u w:val="single" w:color="auto"/>
          <w:color w:val="auto"/>
        </w:rPr>
        <w:t>Restrictions on Transfer and Ownership of our Capital Stock</w:t>
      </w:r>
    </w:p>
    <w:p>
      <w:pPr>
        <w:spacing w:after="0" w:line="221" w:lineRule="exact"/>
        <w:rPr>
          <w:sz w:val="20"/>
          <w:szCs w:val="20"/>
          <w:color w:val="auto"/>
        </w:rPr>
      </w:pPr>
    </w:p>
    <w:p>
      <w:pPr>
        <w:ind w:right="300" w:firstLine="619"/>
        <w:spacing w:after="0" w:line="261" w:lineRule="auto"/>
        <w:rPr>
          <w:sz w:val="20"/>
          <w:szCs w:val="20"/>
          <w:color w:val="auto"/>
        </w:rPr>
      </w:pPr>
      <w:r>
        <w:rPr>
          <w:rFonts w:ascii="Times New Roman" w:cs="Times New Roman" w:eastAsia="Times New Roman" w:hAnsi="Times New Roman"/>
          <w:sz w:val="17"/>
          <w:szCs w:val="17"/>
          <w:color w:val="auto"/>
        </w:rPr>
        <w:t>In order for us to qualify as a REIT under the Internal Revenue Code of 1986, as amended (the “Code”), shares of our stock must be owned by 100 or more persons during at least 335 days of a taxable year of 12 months (other than the first year for which an election to be a REIT has been made) or during a proportionate part of a shorter taxable year. Also, after the first year for which an election to be a REIT has been made, not more than 50% of the value of the outstanding shares of stock may be owned, directly, indirectly, or constructively, by five or fewer individuals (as defined in the Code to include certain entities) during the last half of a taxable year (which we have referred to as the 5/50 test).</w:t>
      </w:r>
    </w:p>
    <w:p>
      <w:pPr>
        <w:spacing w:after="0" w:line="175"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Our charter contains restrictions limiting the ownership and transfer of shares of our common stock and other outstanding shares of stock, warrants, and options. The relevant sections of our charter provide that, subject to the exceptions described below, no person or entity may own, or be deemed to own, by virtue of the applicable constructive ownership provisions of the Code, more than 9.8% by value or number, whichever is more restrictive, of our outstanding shares of common stock (the common share ownership limit), or 9.8% by value or number of shares, whichever is more restrictive, of our outstanding capital stock (the aggregate share ownership limit). The common share ownership limit and the aggregate share ownership limit are collectively referred to herein as the “ownership limits.” For the purposes of determining the percentage ownership of our capital stock by any person, shares of capital stock that may be acquired upon conversion, exchange or exercise of any of our securities directly or constructively held by such person, but not capital stock issuable with respect to the conversion, exchange or exercise of our securities held by other persons, shall be deemed to be outstanding prior to conversion, exchange or exercise. Therefore, our outstanding series of cumulative redeemable preferred stock owned directly or indirectly by each holder (but not such preferred stock held by the other holders) will be counted as common stock (on an as-converted basis) for purposes of the 9.8% ownership limitation applicable to our common stock with respect to such holder. All outstanding series of cumulative redeemable preferred stock will be counted as capital stock for purposes of the 9.8% ownership limitation applicable to our capital stock.</w:t>
      </w:r>
    </w:p>
    <w:p>
      <w:pPr>
        <w:spacing w:after="0" w:line="388"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A person or entity that becomes subject to the ownership limits by virtue of a violative transfer that results in a transfer to a trust, as set forth below, is referred to as a “purported beneficial transferee” if, had the violative transfer been effective, the person or entity would have been a record owner and beneficial owner or solely a beneficial owner of shares of our stock, or is referred to as a “purported record transferee” if, had the violative transfer been effective, the person or entity would have been solely a record owner of shares of our stock.</w:t>
      </w:r>
    </w:p>
    <w:p>
      <w:pPr>
        <w:sectPr>
          <w:pgSz w:w="11900" w:h="16838" w:orient="portrait"/>
          <w:cols w:equalWidth="0" w:num="1">
            <w:col w:w="11240"/>
          </w:cols>
          <w:pgMar w:left="320" w:top="351"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311" w:lineRule="exact"/>
        <w:rPr>
          <w:sz w:val="20"/>
          <w:szCs w:val="20"/>
          <w:color w:val="auto"/>
        </w:rPr>
      </w:pPr>
    </w:p>
    <w:p>
      <w:pPr>
        <w:ind w:right="160" w:firstLine="619"/>
        <w:spacing w:after="0" w:line="258" w:lineRule="auto"/>
        <w:rPr>
          <w:sz w:val="20"/>
          <w:szCs w:val="20"/>
          <w:color w:val="auto"/>
        </w:rPr>
      </w:pPr>
      <w:r>
        <w:rPr>
          <w:rFonts w:ascii="Times New Roman" w:cs="Times New Roman" w:eastAsia="Times New Roman" w:hAnsi="Times New Roman"/>
          <w:sz w:val="17"/>
          <w:szCs w:val="17"/>
          <w:color w:val="auto"/>
        </w:rPr>
        <w:t>The constructive ownership rules under the Code are complex and may cause shares of stock owned actually or constructively by a group of related individuals and/or entities to be owned constructively by one individual or entity. They also cause shares underlying warrants or options to purchase our stock if any, to be treated as if they were owned by the holder or beneficial owner of such warrants or options. As a result, the acquisition of less than 9.8% by value or number, whichever is more restrictive, of our outstanding shares of common stock (or the acquisition of an interest in an entity that owns, actually or constructively, shares of our stock) by an individual or entity, could, nevertheless, cause that individual or entity, or another individual or entity, to own constructively in excess of 9.8% by value or number, whichever is more restrictive, of our outstanding shares of common stock, and thereby subject the shares of common stock, total shares of stock or warrants to the applicable ownership limit.</w:t>
      </w:r>
    </w:p>
    <w:p>
      <w:pPr>
        <w:spacing w:after="0" w:line="179"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Our board of directors may, in its sole discretion, exempt a person from the above-referenced ownership limits. However, the board of directors may not exempt any person whose ownership of our outstanding stock would result in our being “closely held” within the meaning of Section 856(h) of the Code or otherwise would result in our failing to qualify as a REIT. In order to be considered by the board of directors for exemption, a person also must not own, directly or indirectly, an interest in a tenant (or a tenant of any entity which we own or control) that would cause us to own, directly or indirectly, more than a 9.9% interest in the tenant. The person seeking an exemption must represent to the satisfaction of our board of directors that such person will not violate these two restrictions. The person also must agree that any violation or attempted violation of these restrictions will result in the automatic transfer of the shares of stock causing the violation to a trust for the benefit of a charitable beneficiary. As a condition of its waiver, our board of directors may require an opinion of counsel or Internal Revenue Service ruling satisfactory to the board of directors with respect to our qualification as a REIT.</w:t>
      </w:r>
    </w:p>
    <w:p>
      <w:pPr>
        <w:spacing w:after="0" w:line="175"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There have been holders of our capital stock whose ownership exceeds the ownership limits set forth in our charter. We have granted waivers from the ownership limits for such holders where, based on representations, covenants and agreements received from such holders, we determined that such waivers would not jeopardize our status as a REIT.</w:t>
      </w:r>
    </w:p>
    <w:p>
      <w:pPr>
        <w:spacing w:after="0" w:line="165"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In connection with an exemption from the ownership limits or at any other time, our board of directors may from time to time increase or decrease the ownership limits for one or more persons and entities; provided, however, that any decrease may be made only prospectively as to existing holders; and provided further that the ownership limit may not be increased if, after giving effect to such increase, five or fewer individuals could own or constructively own in the aggregate, more than 49.9% in value of the shares then outstanding. Prior to the modification of the ownership limit, our board of directors may require such opinions of counsel, affidavits, undertakings or agreements as the board of directors may deem necessary or advisable in order to determine or ensure our qualification as a REIT. A reduced ownership limit will not apply to any person or entity whose percentage ownership in shares of our common stock or total shares of stock, as applicable, is in excess of such decreased ownership limit until such time as such person’s or entity’s percentage of shares of our common stock or total shares of stock, as applicable, equals or falls below the decreased ownership limit, but any further acquisition of shares of our common stock or total shares of stock, as applicable, in excess of such percentage ownership of shares of our common stock or total shares of stock will be in violation of such ownership limit. Additionally, the new ownership limit may not allow five or fewer individuals to own more than 49.9% in value of our outstanding shares of stock.</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charter provisions further prohibit:</w:t>
      </w:r>
    </w:p>
    <w:p>
      <w:pPr>
        <w:spacing w:after="0" w:line="217" w:lineRule="exact"/>
        <w:rPr>
          <w:sz w:val="20"/>
          <w:szCs w:val="20"/>
          <w:color w:val="auto"/>
        </w:rPr>
      </w:pPr>
    </w:p>
    <w:p>
      <w:pPr>
        <w:jc w:val="both"/>
        <w:ind w:left="940" w:right="140" w:hanging="318"/>
        <w:spacing w:after="0" w:line="260" w:lineRule="auto"/>
        <w:tabs>
          <w:tab w:leader="none" w:pos="93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from beneficially or constructively owning, applying certain attribution rules of the Code, shares of our stock, which includes ownership of warrants, if any, that would result in our being “closely held” under Section 856(h) of the Code or otherwise cause us to fail to qualify as a REIT; and</w:t>
      </w:r>
    </w:p>
    <w:p>
      <w:pPr>
        <w:ind w:left="940" w:right="740" w:hanging="318"/>
        <w:spacing w:after="0" w:line="266" w:lineRule="auto"/>
        <w:tabs>
          <w:tab w:leader="none" w:pos="93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from transferring shares of our stock if such transfer would result in shares of our stock being owned by fewer than 100 persons (determined without reference to any rules of attribution).</w:t>
      </w:r>
    </w:p>
    <w:p>
      <w:pPr>
        <w:spacing w:after="0" w:line="194"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Any person who acquires or attempts or intends to acquire beneficial or constructive ownership of shares of our stock that will or may violate any of the foregoing restrictions on transferability and ownership will be required to give written notice immediately of such event to us or, in the case of a proposed or attempted transaction, at least 15 days prior written notice to us, and provide us with such other information as we may request in order to determine the effect of such transfer on our qualification as a REIT. The foregoing provisions on transferability and ownership will not apply if our board of directors determines that it is no longer in our best interests to attempt to qualify, or to continue to qualify, as a REIT.</w:t>
      </w:r>
    </w:p>
    <w:p>
      <w:pPr>
        <w:spacing w:after="0" w:line="175"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Pursuant to our charter, if any transfer of shares of our stock would result in shares of our stock being owned by fewer than 100 persons, such transfer will be null and void and the intended transferee will acquire no rights in such shares. In addition, if any purported transfer of shares of our stock or any other event would otherwise result in any person violating the ownership limits or such other limit established by our board of directors or in our being “closely held” under Section 856(h) of the Code or otherwise failing to qualify as a REIT, then that number of shares (rounded up to the nearest whole share) that</w:t>
      </w:r>
    </w:p>
    <w:p>
      <w:pPr>
        <w:sectPr>
          <w:pgSz w:w="11900" w:h="16838" w:orient="portrait"/>
          <w:cols w:equalWidth="0" w:num="1">
            <w:col w:w="11240"/>
          </w:cols>
          <w:pgMar w:left="320" w:top="351"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31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would cause such person to violate such restrictions will be automatically transferred to, and held by, a trust for the exclusive benefit of one or more charitable organizations selected by us and the intended transferee will acquire no rights in such shares. The automatic transfer will be effective as of the close of business on the business day prior to the date of the purported transfer or other event that results in a transfer to the trust. Any dividend or other distribution paid to the purported record transferee, prior to our discovery that the shares had been automatically transferred to a trust as described above, must be repaid to the trustee upon demand for distribution to the beneficiary by the trust. If the transfer to the trust as described above is not automatically effective, for any reason, to prevent violation of the applicable ownership limit or our being “closely held” under Section 856 (h) of the Code or otherwise failing to qualify as a REIT, then our charter provides that the transfer of the shares will be null and void and the intended transferee will acquire no rights in such shares.</w:t>
      </w:r>
    </w:p>
    <w:p>
      <w:pPr>
        <w:spacing w:after="0" w:line="179"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Shares of stock transferred to the trustee are deemed offered for sale to us, or our designee, at a price per share equal to the lesser of (1) the price paid by the purported record transferee for the shares (or, if the event that resulted in the transfer to the trust did not involve a purchase of such shares of stock at market price, the last reported sales price reported on the NYSE (or other applicable exchange) on the day of the event which resulted in the transfer of such shares of stock to the trust) and (2) the market price on the date we or our designee, accept such offer. We have the right to accept such offer until the trustee has sold the shares of stock held in the trust pursuant to the clauses discussed below. Upon a sale to us, the interest of the charitable beneficiary in the shares sold terminates, the trustee must distribute the net proceeds of the sale to the purported record transferee and any dividends or other distributions held by the trustee with respect to such shares of stock will be paid to the charitable beneficiary.</w:t>
      </w:r>
    </w:p>
    <w:p>
      <w:pPr>
        <w:spacing w:after="0" w:line="179" w:lineRule="exact"/>
        <w:rPr>
          <w:sz w:val="20"/>
          <w:szCs w:val="20"/>
          <w:color w:val="auto"/>
        </w:rPr>
      </w:pPr>
    </w:p>
    <w:p>
      <w:pPr>
        <w:ind w:right="60" w:firstLine="619"/>
        <w:spacing w:after="0" w:line="256" w:lineRule="auto"/>
        <w:rPr>
          <w:sz w:val="20"/>
          <w:szCs w:val="20"/>
          <w:color w:val="auto"/>
        </w:rPr>
      </w:pPr>
      <w:r>
        <w:rPr>
          <w:rFonts w:ascii="Times New Roman" w:cs="Times New Roman" w:eastAsia="Times New Roman" w:hAnsi="Times New Roman"/>
          <w:sz w:val="17"/>
          <w:szCs w:val="17"/>
          <w:color w:val="auto"/>
        </w:rPr>
        <w:t>If we do not buy the shares, the trustee must, within 20 days of receiving notice from us of the transfer of shares to the trust, sell the shares to a person or entity designated by the trustee who could own the shares without violating the ownership limits or such other limit as established by our board of directors. After that, the trustee must distribute to the purported record transferee an amount equal to the lesser of (1) the price paid by the purported record transferee for the shares (or, if the event which resulted in the transfer to the trust did not involve a purchase of such shares at market price, the last reported sales price reported on the NYSE (or other applicable exchange) on the day of the event which resulted in the transfer of such shares of stock to the trust) and (2) the sales proceeds (net of commissions and other expenses of the sale) received by the trust for the shares. Any net sales proceeds in excess of the amount payable to the purported record transferee will be immediately paid to the charitable beneficiary, together with any dividends or other distributions thereon. In addition, if prior to discovery by us that shares of stock have been transferred to a trust, such shares of stock are sold by a purported record transferee, then such shares will be deemed to have been sold on behalf of the trust and to the extent that the purported record transferee received an amount for or in respect of such shares that exceeds the amount that such purported record transferee was entitled to receive, such excess amount must be paid to the trustee upon demand. The purported beneficial transferee or purported record transferee shall have no rights in the shares held by the trustee.</w:t>
      </w:r>
    </w:p>
    <w:p>
      <w:pPr>
        <w:spacing w:after="0" w:line="182"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The trustee will be designated by us and will be unaffiliated with us and with any purported record transferee or purported beneficial transferee. Prior to the sale of any shares by the trust, the trustee will receive, in trust for the beneficiary, all dividends and other distributions paid by us with respect to the shares held in trust and may also exercise all voting rights with respect to the shares held in trust. These rights will be exercised for the exclusive benefit of the charitable beneficiary. Any dividend or other distribution paid prior to our discovery that shares of stock have been transferred to the trust will be paid by the recipient to the trustee upon demand. Any dividend or other distribution authorized but unpaid will be paid when due to the trustee.</w:t>
      </w:r>
    </w:p>
    <w:p>
      <w:pPr>
        <w:spacing w:after="0" w:line="175"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Subject to Maryland law, effective as of the date that the shares have been transferred to the trust, the trustee will have the authority, at the trustee’s sole discretion:</w:t>
      </w:r>
    </w:p>
    <w:p>
      <w:pPr>
        <w:spacing w:after="0" w:line="151" w:lineRule="exact"/>
        <w:rPr>
          <w:sz w:val="20"/>
          <w:szCs w:val="20"/>
          <w:color w:val="auto"/>
        </w:rPr>
      </w:pPr>
    </w:p>
    <w:p>
      <w:pPr>
        <w:ind w:left="920" w:hanging="298"/>
        <w:spacing w:after="0"/>
        <w:tabs>
          <w:tab w:leader="none" w:pos="9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rescind as void any vote cast by a purported record transferee prior to our discovery that the shares have been transferred to the trust; and</w:t>
      </w:r>
    </w:p>
    <w:p>
      <w:pPr>
        <w:spacing w:after="0" w:line="2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recast the vote in accordance with the desires of the trustee acting for the benefit of the beneficiary of the trust.</w:t>
      </w:r>
    </w:p>
    <w:p>
      <w:pPr>
        <w:spacing w:after="0" w:line="226"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However, if we have already taken irreversible action, then the trustee may not rescind and recast the vote. If our board of directors determines in good faith that a proposed transfer would violate the restrictions on ownership and transfer of shares of our stock set forth in the charter, the board of directors will take such action as it deems advisable to refuse to give effect to or to prevent such transfer, including, but not limited to, causing us to redeem the shares of stock, refusing to give effect to the transfer on our books or instituting proceedings to enjoin the transfer.</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Every owner of more than 5% (or such lower percentage as required by the Code or the regulations promulgated thereunder) of our stock, within 30 days after the end of each taxable year, is required to give us written notice, stating the name and address of such owner, the number of shares of our stock which he, she or it beneficially owns and a description of the</w:t>
      </w:r>
    </w:p>
    <w:p>
      <w:pPr>
        <w:sectPr>
          <w:pgSz w:w="11900" w:h="16838" w:orient="portrait"/>
          <w:cols w:equalWidth="0" w:num="1">
            <w:col w:w="11240"/>
          </w:cols>
          <w:pgMar w:left="320" w:top="351"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31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manner in which the shares are held. Each such owner shall provide ARMOUR with such additional information as we may request in order to determine the effect, if any, of his, her or its beneficial ownership on our status as a REIT and to ensure compliance with the ownership limits. In addition, each stockholder shall upon demand be required to provide us with such information as we may request in good faith in order to determine our status as a REIT and to comply with the requirements of any taxing authority or governmental authority or to determine such compliance.</w:t>
      </w:r>
    </w:p>
    <w:p>
      <w:pPr>
        <w:spacing w:after="0" w:line="171"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These ownership limits could delay, defer or prevent a transaction or a change in control that might involve a premium price for the common stock or otherwise be in the best interests of the stockholders.</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u w:val="single" w:color="auto"/>
          <w:color w:val="auto"/>
        </w:rPr>
        <w:t>Certain Provisions of our Charter and Bylaws and of Maryland Law</w:t>
      </w:r>
    </w:p>
    <w:p>
      <w:pPr>
        <w:spacing w:after="0" w:line="221"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As described below, our charter and bylaws and Maryland law contain provisions that may delay, defer or prevent a change in control or other transaction that might involve a premium price for shares of our common stock or otherwise be in the best interests of our stockholders, including business combination provisions, supermajority vote requirements and advance notice requirements for director nominations and stockholder proposals. Likewise, if the provision in the bylaws opting out of the control share acquisition provisions of the MGCL were rescinded or if we were to opt into the classified board or other provisions of Subtitle 8, these provisions of the MGCL could have similar anti-takeover effects.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Removal of Directors</w:t>
      </w:r>
    </w:p>
    <w:p>
      <w:pPr>
        <w:spacing w:after="0" w:line="221" w:lineRule="exact"/>
        <w:rPr>
          <w:sz w:val="20"/>
          <w:szCs w:val="20"/>
          <w:color w:val="auto"/>
        </w:rPr>
      </w:pPr>
    </w:p>
    <w:p>
      <w:pPr>
        <w:ind w:right="220" w:firstLine="619"/>
        <w:spacing w:after="0" w:line="264" w:lineRule="auto"/>
        <w:rPr>
          <w:sz w:val="20"/>
          <w:szCs w:val="20"/>
          <w:color w:val="auto"/>
        </w:rPr>
      </w:pPr>
      <w:r>
        <w:rPr>
          <w:rFonts w:ascii="Times New Roman" w:cs="Times New Roman" w:eastAsia="Times New Roman" w:hAnsi="Times New Roman"/>
          <w:sz w:val="17"/>
          <w:szCs w:val="17"/>
          <w:color w:val="auto"/>
        </w:rPr>
        <w:t>Our charter provides that a director may be removed, with or without cause, and only by the affirmative vote of the holders of shares entitled to cast at least two thirds of all the votes of common stockholders entitled to be cast generally in the election of directors. This provision, when coupled with the power of our board of directors to fill vacancies on the board of directors, precludes stockholders from (1) removing incumbent directors except upon a substantial affirmative vote and (2) filling the vacancies created by such removal with their own nominees.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Business Combinations</w:t>
      </w:r>
    </w:p>
    <w:p>
      <w:pPr>
        <w:spacing w:after="0" w:line="221"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7"/>
          <w:szCs w:val="17"/>
          <w:color w:val="auto"/>
        </w:rPr>
        <w:t>Under the MGCL, certain “business combinations” (including a merger, consolidation, share exchange or, in certain circumstances, an asset transfer or issuance or reclassification of equity securities) between a Maryland corporation and an interested stockholder (defined generally as any person who beneficially owns, directly or indirectly, 10% or more of the voting power of the corporation’s outstanding voting stock or an affiliate or associate of the corporation who, at any time within the two-year period immediately prior to the date in question, was the beneficial owner of 10% or more of the voting power of the then-outstanding stock of the corporation)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(a) 80% of the votes entitled to be cast by holders of outstanding voting shares of stock of the corporation and (b) 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 Our board of directors may provide that the board’s approval is subject to compliance with any terms and conditions determined by the board of directors.</w:t>
      </w:r>
    </w:p>
    <w:p>
      <w:pPr>
        <w:spacing w:after="0" w:line="179" w:lineRule="exact"/>
        <w:rPr>
          <w:sz w:val="20"/>
          <w:szCs w:val="20"/>
          <w:color w:val="auto"/>
        </w:rPr>
      </w:pPr>
    </w:p>
    <w:p>
      <w:pPr>
        <w:ind w:right="60" w:firstLine="619"/>
        <w:spacing w:after="0" w:line="263" w:lineRule="auto"/>
        <w:rPr>
          <w:sz w:val="20"/>
          <w:szCs w:val="20"/>
          <w:color w:val="auto"/>
        </w:rPr>
      </w:pPr>
      <w:r>
        <w:rPr>
          <w:rFonts w:ascii="Times New Roman" w:cs="Times New Roman" w:eastAsia="Times New Roman" w:hAnsi="Times New Roman"/>
          <w:sz w:val="17"/>
          <w:szCs w:val="17"/>
          <w:color w:val="auto"/>
        </w:rPr>
        <w:t>These provisions of the MGCL do not apply, however, to business combinations that are approved or exempted by a board of directors prior to the time that the interested stockholder becomes an interested stockholder. Pursuant to the statute, our board of directors has by resolution exempted business combinations</w:t>
      </w:r>
    </w:p>
    <w:p>
      <w:pPr>
        <w:spacing w:after="0" w:line="1" w:lineRule="exact"/>
        <w:rPr>
          <w:sz w:val="20"/>
          <w:szCs w:val="20"/>
          <w:color w:val="auto"/>
        </w:rPr>
      </w:pPr>
    </w:p>
    <w:p>
      <w:pPr>
        <w:ind w:right="220" w:firstLine="3"/>
        <w:spacing w:after="0" w:line="256" w:lineRule="auto"/>
        <w:tabs>
          <w:tab w:leader="none" w:pos="243"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between us and any person, provided that such business combination is first approved by our board of directors (including a majority of its directors who are not affiliates or associates of such person) and (2) between us and ACM or its affiliates. Consequently, the five-year prohibition and the supermajority vote requirements will not apply to business combinations between us and such persons. As a result, any person described above may be able to enter into business combinations with us that may not be in the best interest of our stockholders without compliance by us with the supermajority vote requirements and other provisions of the statute.</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business combination statute may discourage others from trying to acquire control of us and increase the difficulty of consummating any offer.</w:t>
      </w:r>
    </w:p>
    <w:p>
      <w:pPr>
        <w:sectPr>
          <w:pgSz w:w="11900" w:h="16838" w:orient="portrait"/>
          <w:cols w:equalWidth="0" w:num="1">
            <w:col w:w="11240"/>
          </w:cols>
          <w:pgMar w:left="320" w:top="351"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Control Share Acquisitions</w:t>
      </w:r>
    </w:p>
    <w:p>
      <w:pPr>
        <w:spacing w:after="0" w:line="221" w:lineRule="exact"/>
        <w:rPr>
          <w:sz w:val="20"/>
          <w:szCs w:val="20"/>
          <w:color w:val="auto"/>
        </w:rPr>
      </w:pPr>
    </w:p>
    <w:p>
      <w:pPr>
        <w:ind w:right="180" w:firstLine="619"/>
        <w:spacing w:after="0" w:line="257" w:lineRule="auto"/>
        <w:rPr>
          <w:sz w:val="20"/>
          <w:szCs w:val="20"/>
          <w:color w:val="auto"/>
        </w:rPr>
      </w:pPr>
      <w:r>
        <w:rPr>
          <w:rFonts w:ascii="Times New Roman" w:cs="Times New Roman" w:eastAsia="Times New Roman" w:hAnsi="Times New Roman"/>
          <w:sz w:val="17"/>
          <w:szCs w:val="17"/>
          <w:color w:val="auto"/>
        </w:rPr>
        <w:t>The MGCL provides that “control shares” of a Maryland corporation acquired in a “control share acquisition” have no voting rights except to the extent approved at a special meeting of stockholders by the affirmative vote of two-thirds of the votes entitled to be cast on the matter, excluding shares of stock in a corporation in respect of which any of the following persons is entitled to exercise or direct the exercise of the voting power of such shares in the election of directors: (1) a person who makes or proposes to make a control share acquisition, (2) an officer of the corporation or (3) an employee of the corporation who is also a director of the corporation. “Control shares” are voting shares of stock which, if aggregated with all other such shares of stock previously acquired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(A) one-tenth or more but less than one-third; (B) one-third or more but less than a majority; or (C) a majority or more of all voting power. Control shares do not include shares that the acquiring person is then entitled to vote as a result of having previously obtained stockholder approval. A “control share acquisition” means the acquisition of control shares, subject to certain exceptions.</w:t>
      </w:r>
    </w:p>
    <w:p>
      <w:pPr>
        <w:spacing w:after="0" w:line="176"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A person who has made or proposes to make a control share acquisition, upon satisfaction of certain conditions (including an undertaking to pay expenses and making an “acquiring person statement” as described in the MGCL), may compel our board of directors to call a special meeting of stockholders to be held within 50 days of demand to consider the voting rights of the shares. If no request for a meeting is made, the corporation may itself present the question at any stockholders meeting.</w:t>
      </w:r>
    </w:p>
    <w:p>
      <w:pPr>
        <w:spacing w:after="0" w:line="17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acquirer or of any meeting of stockholders at which the voting rights of such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such appraisal rights may not be less than the highest price per share paid by the acquirer in the control share acquisition.</w:t>
      </w:r>
    </w:p>
    <w:p>
      <w:pPr>
        <w:spacing w:after="0" w:line="179"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The control share acquisition statute does not apply to (a) shares acquired in a merger, consolidation or share exchange if the corporation is a party to the transaction or (b) acquisitions approved or exempted by the charter or bylaws of the corporation.</w:t>
      </w:r>
    </w:p>
    <w:p>
      <w:pPr>
        <w:spacing w:after="0" w:line="15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bylaws contain a provision exempting from the control share acquisition statute any and all acquisitions by any person of shares of our stock. There is no assurance that such provision will not be amended or eliminated at any time in the future.</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Subtitle 8</w:t>
      </w:r>
    </w:p>
    <w:p>
      <w:pPr>
        <w:spacing w:after="0" w:line="22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Subtitle 8 of Title 3 of the MGCL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the charter or bylaws, to any or all of five provisions:</w:t>
      </w:r>
    </w:p>
    <w:p>
      <w:pPr>
        <w:spacing w:after="0" w:line="165" w:lineRule="exact"/>
        <w:rPr>
          <w:sz w:val="20"/>
          <w:szCs w:val="20"/>
          <w:color w:val="auto"/>
        </w:rPr>
      </w:pPr>
    </w:p>
    <w:p>
      <w:pPr>
        <w:ind w:left="920" w:hanging="298"/>
        <w:spacing w:after="0"/>
        <w:tabs>
          <w:tab w:leader="none" w:pos="9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classified board;</w:t>
      </w:r>
    </w:p>
    <w:p>
      <w:pPr>
        <w:spacing w:after="0" w:line="2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two-thirds vote requirement for removing a director;</w:t>
      </w:r>
    </w:p>
    <w:p>
      <w:pPr>
        <w:spacing w:after="0" w:line="10"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the number of directors be fixed only by vote of the directors;</w:t>
      </w:r>
    </w:p>
    <w:p>
      <w:pPr>
        <w:spacing w:after="0" w:line="10" w:lineRule="exact"/>
        <w:rPr>
          <w:rFonts w:ascii="Times New Roman" w:cs="Times New Roman" w:eastAsia="Times New Roman" w:hAnsi="Times New Roman"/>
          <w:sz w:val="17"/>
          <w:szCs w:val="17"/>
          <w:color w:val="auto"/>
        </w:rPr>
      </w:pPr>
    </w:p>
    <w:p>
      <w:pPr>
        <w:ind w:left="940" w:right="140" w:hanging="318"/>
        <w:spacing w:after="0" w:line="253" w:lineRule="auto"/>
        <w:tabs>
          <w:tab w:leader="none" w:pos="93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a vacancy on the board of directors be filled only by the remaining directors in office and for the remainder of the full term of the class of directors in which the vacancy occurred; and</w:t>
      </w:r>
    </w:p>
    <w:p>
      <w:pPr>
        <w:ind w:left="920" w:hanging="298"/>
        <w:spacing w:after="0"/>
        <w:tabs>
          <w:tab w:leader="none" w:pos="9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requirement for the calling of a special meeting of stockholders.</w:t>
      </w:r>
    </w:p>
    <w:p>
      <w:pPr>
        <w:spacing w:after="0" w:line="226" w:lineRule="exact"/>
        <w:rPr>
          <w:sz w:val="20"/>
          <w:szCs w:val="20"/>
          <w:color w:val="auto"/>
        </w:rPr>
      </w:pPr>
    </w:p>
    <w:p>
      <w:pPr>
        <w:ind w:right="120" w:firstLine="619"/>
        <w:spacing w:after="0" w:line="260" w:lineRule="auto"/>
        <w:rPr>
          <w:sz w:val="20"/>
          <w:szCs w:val="20"/>
          <w:color w:val="auto"/>
        </w:rPr>
      </w:pPr>
      <w:r>
        <w:rPr>
          <w:rFonts w:ascii="Times New Roman" w:cs="Times New Roman" w:eastAsia="Times New Roman" w:hAnsi="Times New Roman"/>
          <w:sz w:val="17"/>
          <w:szCs w:val="17"/>
          <w:color w:val="auto"/>
        </w:rPr>
        <w:t>Our charter provides that, pursuant to Subtitle 8, vacancies on the board of directors may be filled only by the affirmative vote of a majority of the remaining directors in office, even if the remaining directors do not constitute a quorum, and any director elected to fill a vacancy shall serve for the remainder of the full term of the directorship in which the vacancy occurred. Through provisions in our charter and bylaws unrelated to Subtitle 8, we already (1) require the affirmative vote of the holders of not less than two-thirds of all of the votes entitled to be cast on the matter for the removal of any director from the board of directors, which removal will be allowed with or without cause, (2) vest in the board of directors the exclusive power to fix the number of directorships and (3) require, unless called by the chairman of the board of directors, chief executive</w:t>
      </w:r>
    </w:p>
    <w:p>
      <w:pPr>
        <w:sectPr>
          <w:pgSz w:w="11900" w:h="16838" w:orient="portrait"/>
          <w:cols w:equalWidth="0" w:num="1">
            <w:col w:w="11240"/>
          </w:cols>
          <w:pgMar w:left="320" w:top="351"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31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officer, president or the board of directors, the written request of stockholders of not less than a majority of all the votes entitled to be cast at such a meeting to call a special meeting.</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Meetings of Stockholders</w:t>
      </w:r>
    </w:p>
    <w:p>
      <w:pPr>
        <w:spacing w:after="0" w:line="221"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Pursuant to our bylaws, a meeting of our stockholders for the election of directors and the transaction of any business will be held annually on a date and at the time set by our board of directors. In addition, the chairman of the board of directors, chief executive officer, president or board of directors may call a special meeting of our stockholders. Subject to the provisions of our bylaws, a special meeting of our stockholders will also be called by the secretary upon the written request of the stockholders entitled to cast not less than a majority of all the votes entitled to be cast at the meeting.</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Amendment to Our Charter and Bylaws</w:t>
      </w:r>
    </w:p>
    <w:p>
      <w:pPr>
        <w:spacing w:after="0" w:line="221"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Our charter authorizes our board of directors, with the approval of a majority of the entire board of directors, to amend our charter to increase or decrease the aggregate number of authorized shares of stock or the number of shares of stock of any class or series without stockholder approval. Otherwise, except for amendments related to removal of directors, the restrictions on ownership and transfer of shares of our stock and the requirement of a two-thirds vote for amendments to these provisions (each of which require the affirmative vote of the holders of not less than two-thirds of all the votes entitled to be cast on the matter and the approval of our board of directors), our charter may be amended only with the approval of the board of directors and the affirmative vote of the holders of a majority of all of the votes entitled to be cast on the matter.</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board of directors has the exclusive power to adopt, alter or repeal any provision of our bylaws and to make new bylaws.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Dissolution</w:t>
      </w:r>
    </w:p>
    <w:p>
      <w:pPr>
        <w:spacing w:after="0" w:line="221"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Our dissolution must be approved by a majority of the entire board of directors and the affirmative vote of the holders of not less than a majority of all of the votes entitled to be cast on the matter.</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Advance Notice of Director Nominations and New Business</w:t>
      </w:r>
    </w:p>
    <w:p>
      <w:pPr>
        <w:spacing w:after="0" w:line="221"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Our bylaws provide that, with respect to an annual meeting of stockholders, nominations of individuals for election to the board of directors and the proposal of other business to be considered by stockholders may be made only (1) pursuant to our notice of the meeting, (2) by or at the direction of our board of directors or (3) by a stockholder who was a stockholder of record both at the time of giving his notice and at the time of the meeting and who is entitled to vote at the meeting on the election of directors or on the proposal of other business, as the case maybe, and has complied with the advance notice provisions set forth in our bylaws.</w:t>
      </w:r>
    </w:p>
    <w:p>
      <w:pPr>
        <w:spacing w:after="0" w:line="175"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With respect to special meetings of stockholders, only the business specified in our notice of meeting may be brought before the meeting. Nominations of individuals for election to our board of directors may be made only (1) by or at the direction of our board of directors or (2) provided that the board of directors has determined that directors will be elected at such meeting, by a stockholder who was a stockholder of record both at the time of giving his notice and at the time of the meeting and who is entitled to vote at the meeting and has complied with the advance notice provisions set forth in our bylaws.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Indemnification and Limitation of Directors’ and Officers’ Liability</w:t>
      </w:r>
    </w:p>
    <w:p>
      <w:pPr>
        <w:spacing w:after="0" w:line="221" w:lineRule="exact"/>
        <w:rPr>
          <w:sz w:val="20"/>
          <w:szCs w:val="20"/>
          <w:color w:val="auto"/>
        </w:rPr>
      </w:pPr>
    </w:p>
    <w:p>
      <w:pPr>
        <w:jc w:val="both"/>
        <w:ind w:right="180" w:firstLine="619"/>
        <w:spacing w:after="0" w:line="264" w:lineRule="auto"/>
        <w:rPr>
          <w:sz w:val="20"/>
          <w:szCs w:val="20"/>
          <w:color w:val="auto"/>
        </w:rPr>
      </w:pPr>
      <w:r>
        <w:rPr>
          <w:rFonts w:ascii="Times New Roman" w:cs="Times New Roman" w:eastAsia="Times New Roman" w:hAnsi="Times New Roman"/>
          <w:sz w:val="17"/>
          <w:szCs w:val="17"/>
          <w:color w:val="auto"/>
        </w:rPr>
        <w:t>Maryland law permits a Maryland corporation to include in its charter a provision eliminating the liability of its directors and officers to the corporation and its stockholders for money damages except for liability resulting from actual receipt of an improper benefit or profit in money, property or services or active and deliberate dishonesty that is established by a final judgment and is material to the cause of action. Our charter contains such a provision that eliminates such liability to the maximum extent permitted by Maryland law.</w:t>
      </w:r>
    </w:p>
    <w:p>
      <w:pPr>
        <w:spacing w:after="0" w:line="171"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The MGCL requires us (unless our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sectPr>
          <w:pgSz w:w="11900" w:h="16838" w:orient="portrait"/>
          <w:cols w:equalWidth="0" w:num="1">
            <w:col w:w="11240"/>
          </w:cols>
          <w:pgMar w:left="320" w:top="35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311" w:lineRule="exact"/>
        <w:rPr>
          <w:sz w:val="20"/>
          <w:szCs w:val="20"/>
          <w:color w:val="auto"/>
        </w:rPr>
      </w:pPr>
    </w:p>
    <w:p>
      <w:pPr>
        <w:ind w:left="940" w:right="40" w:hanging="318"/>
        <w:spacing w:after="0" w:line="263" w:lineRule="auto"/>
        <w:tabs>
          <w:tab w:leader="none" w:pos="93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 or omission of the director or officer was material to the matter giving rise to the proceeding and (1) was committed in bad faith or (2) was the result of active and deliberate dishonesty;</w:t>
      </w:r>
    </w:p>
    <w:p>
      <w:pPr>
        <w:ind w:left="920" w:hanging="298"/>
        <w:spacing w:after="0"/>
        <w:tabs>
          <w:tab w:leader="none" w:pos="9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 or officer actually received an improper personal benefit in money, property or services; or</w:t>
      </w:r>
    </w:p>
    <w:p>
      <w:pPr>
        <w:spacing w:after="0" w:line="10"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criminal proceeding, the director or officer had reasonable cause to believe that the act or omission was unlawful.</w:t>
      </w:r>
    </w:p>
    <w:p>
      <w:pPr>
        <w:spacing w:after="0" w:line="226" w:lineRule="exact"/>
        <w:rPr>
          <w:sz w:val="20"/>
          <w:szCs w:val="20"/>
          <w:color w:val="auto"/>
        </w:rPr>
      </w:pPr>
    </w:p>
    <w:p>
      <w:pPr>
        <w:ind w:right="140" w:firstLine="619"/>
        <w:spacing w:after="0" w:line="260" w:lineRule="auto"/>
        <w:rPr>
          <w:sz w:val="20"/>
          <w:szCs w:val="20"/>
          <w:color w:val="auto"/>
        </w:rPr>
      </w:pPr>
      <w:r>
        <w:rPr>
          <w:rFonts w:ascii="Times New Roman" w:cs="Times New Roman" w:eastAsia="Times New Roman" w:hAnsi="Times New Roman"/>
          <w:sz w:val="17"/>
          <w:szCs w:val="17"/>
          <w:color w:val="auto"/>
        </w:rPr>
        <w:t>However, under the MGCL, a Maryland corporation may not indemnify a director or officer in a suit by or in the right of the corporation in which the director or officer was adjudged liable to the corporation or in a proceeding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a personal benefit was improperly received. However, indemnification for an adverse judgment in a suit by us or in our right, or for a judgment of liability on the basis that a personal benefit was improperly received, is limited to expenses.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the MGCL permits a corporation to advance reasonable expenses to a director or officer upon the corporation’s receipt of:</w:t>
      </w:r>
    </w:p>
    <w:p>
      <w:pPr>
        <w:spacing w:after="0" w:line="217" w:lineRule="exact"/>
        <w:rPr>
          <w:sz w:val="20"/>
          <w:szCs w:val="20"/>
          <w:color w:val="auto"/>
        </w:rPr>
      </w:pPr>
    </w:p>
    <w:p>
      <w:pPr>
        <w:ind w:left="940" w:right="960" w:hanging="318"/>
        <w:spacing w:after="0" w:line="263" w:lineRule="auto"/>
        <w:tabs>
          <w:tab w:leader="none" w:pos="93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written affirmation by the director or officer of his or her good faith belief that he or she has met the standard of conduct necessary for indemnification by the corporation; and</w:t>
      </w:r>
    </w:p>
    <w:p>
      <w:pPr>
        <w:ind w:left="940" w:right="140" w:hanging="318"/>
        <w:spacing w:after="0" w:line="266" w:lineRule="auto"/>
        <w:tabs>
          <w:tab w:leader="none" w:pos="93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written undertaking by the director or officer or on the director’s or officer’s behalf to repay the amount paid or reimbursed by the corporation if it is ultimately determined that the director or officer did not meet the standard of conduct.</w:t>
      </w:r>
    </w:p>
    <w:p>
      <w:pPr>
        <w:spacing w:after="0" w:line="194"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Our charter authorizes us to obligate ourselves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165" w:lineRule="exact"/>
        <w:rPr>
          <w:sz w:val="20"/>
          <w:szCs w:val="20"/>
          <w:color w:val="auto"/>
        </w:rPr>
      </w:pPr>
    </w:p>
    <w:p>
      <w:pPr>
        <w:ind w:left="940" w:right="40" w:hanging="318"/>
        <w:spacing w:after="0" w:line="263" w:lineRule="auto"/>
        <w:tabs>
          <w:tab w:leader="none" w:pos="93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present or former director or officer of ours who is made or threatened to be made a party to the proceeding by reason of his or her service in that capacity; or</w:t>
      </w:r>
    </w:p>
    <w:p>
      <w:pPr>
        <w:ind w:left="940" w:right="180" w:hanging="318"/>
        <w:spacing w:after="0" w:line="257" w:lineRule="auto"/>
        <w:tabs>
          <w:tab w:leader="none" w:pos="93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individual who, while a director or officer of ours and at our request, serves or has served another corporation, REIT, partnership, joint venture, trust, employee benefit plan or other enterprise as a director, officer, partner or trustee of such corporation, REIT, partnership, joint venture, trust, employee benefit plan or other enterprise and who is made or threatened to be made a party to the proceeding by reason of his or her service in that capacity.</w:t>
      </w:r>
    </w:p>
    <w:p>
      <w:pPr>
        <w:spacing w:after="0" w:line="203" w:lineRule="exact"/>
        <w:rPr>
          <w:sz w:val="20"/>
          <w:szCs w:val="20"/>
          <w:color w:val="auto"/>
        </w:rPr>
      </w:pPr>
    </w:p>
    <w:p>
      <w:pPr>
        <w:ind w:right="540" w:firstLine="619"/>
        <w:spacing w:after="0" w:line="287" w:lineRule="auto"/>
        <w:rPr>
          <w:sz w:val="20"/>
          <w:szCs w:val="20"/>
          <w:color w:val="auto"/>
        </w:rPr>
      </w:pPr>
      <w:r>
        <w:rPr>
          <w:rFonts w:ascii="Times New Roman" w:cs="Times New Roman" w:eastAsia="Times New Roman" w:hAnsi="Times New Roman"/>
          <w:sz w:val="17"/>
          <w:szCs w:val="17"/>
          <w:color w:val="auto"/>
        </w:rPr>
        <w:t>Our charter and bylaws also permit us, with the approval of our board of directors, to indemnify and advance expenses to any person who served a predecessor of ours in any of the capacities described above and to any employee or agent of ours or a predecessor of ours.</w:t>
      </w:r>
    </w:p>
    <w:p>
      <w:pPr>
        <w:spacing w:after="0" w:line="151" w:lineRule="exact"/>
        <w:rPr>
          <w:sz w:val="20"/>
          <w:szCs w:val="20"/>
          <w:color w:val="auto"/>
        </w:rPr>
      </w:pPr>
    </w:p>
    <w:p>
      <w:pPr>
        <w:jc w:val="both"/>
        <w:ind w:right="200" w:firstLine="619"/>
        <w:spacing w:after="0" w:line="270" w:lineRule="auto"/>
        <w:rPr>
          <w:sz w:val="20"/>
          <w:szCs w:val="20"/>
          <w:color w:val="auto"/>
        </w:rPr>
      </w:pPr>
      <w:r>
        <w:rPr>
          <w:rFonts w:ascii="Times New Roman" w:cs="Times New Roman" w:eastAsia="Times New Roman" w:hAnsi="Times New Roman"/>
          <w:sz w:val="17"/>
          <w:szCs w:val="17"/>
          <w:color w:val="auto"/>
        </w:rPr>
        <w:t>Insofar as the foregoing provisions permit indemnification of directors, officers or persons controlling us for liability arising under the Securities Act of 1933, as amended (the “Securities Act”), we have been informed that, in the opinion of the Securities and Exchange Commission, this indemnification is against public policy as expressed in the Securities Act and is therefore unenforceable.</w:t>
      </w:r>
    </w:p>
    <w:p>
      <w:pPr>
        <w:sectPr>
          <w:pgSz w:w="11900" w:h="16838" w:orient="portrait"/>
          <w:cols w:equalWidth="0" w:num="1">
            <w:col w:w="11240"/>
          </w:cols>
          <w:pgMar w:left="320" w:top="351" w:right="339" w:bottom="1440" w:gutter="0" w:footer="0" w:header="0"/>
        </w:sectPr>
      </w:pPr>
    </w:p>
    <w:bookmarkStart w:id="136" w:name="page137"/>
    <w:bookmarkEnd w:id="136"/>
    <w:p>
      <w:pPr>
        <w:ind w:left="6160"/>
        <w:spacing w:after="0"/>
        <w:rPr>
          <w:sz w:val="20"/>
          <w:szCs w:val="20"/>
          <w:color w:val="auto"/>
        </w:rPr>
      </w:pPr>
      <w:r>
        <w:rPr>
          <w:rFonts w:ascii="Calibri" w:cs="Calibri" w:eastAsia="Calibri" w:hAnsi="Calibri"/>
          <w:sz w:val="19"/>
          <w:szCs w:val="19"/>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Calibri" w:cs="Calibri" w:eastAsia="Calibri" w:hAnsi="Calibri"/>
          <w:sz w:val="19"/>
          <w:szCs w:val="19"/>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21" w:lineRule="auto"/>
        <w:rPr>
          <w:sz w:val="20"/>
          <w:szCs w:val="20"/>
          <w:color w:val="auto"/>
        </w:rPr>
      </w:pPr>
      <w:r>
        <w:rPr>
          <w:rFonts w:ascii="Calibri" w:cs="Calibri" w:eastAsia="Calibri" w:hAnsi="Calibri"/>
          <w:sz w:val="19"/>
          <w:szCs w:val="19"/>
          <w:color w:val="auto"/>
        </w:rPr>
        <w:t>We consent to the incorporaton by reference in Registraton Statement Nos. 333-262864, 333-256462, 333-234332, 333-196055, 333-175712, and 333-172364 on Form S-8 of our reports dated February 15, 2023, relatng to the consolidated fnancial statements of ARMOUR Residental REIT, Inc. and the efectveness of ARMOUR Residental REIT, Inc.’s internal controls over fnancial reportng, appearing in the Annual Report on Form 10-K of ARMOUR Residental REIT, Inc. for the year ending December 31, 2023.</w:t>
      </w:r>
    </w:p>
    <w:p>
      <w:pPr>
        <w:spacing w:after="0" w:line="235" w:lineRule="exact"/>
        <w:rPr>
          <w:sz w:val="20"/>
          <w:szCs w:val="20"/>
          <w:color w:val="auto"/>
        </w:rPr>
      </w:pPr>
    </w:p>
    <w:p>
      <w:pPr>
        <w:spacing w:after="0"/>
        <w:rPr>
          <w:sz w:val="20"/>
          <w:szCs w:val="20"/>
          <w:color w:val="auto"/>
        </w:rPr>
      </w:pPr>
      <w:r>
        <w:rPr>
          <w:rFonts w:ascii="Calibri" w:cs="Calibri" w:eastAsia="Calibri" w:hAnsi="Calibri"/>
          <w:sz w:val="19"/>
          <w:szCs w:val="19"/>
          <w:color w:val="auto"/>
        </w:rPr>
        <w:t>/s/ Deloite &amp; Touche LLP</w:t>
      </w:r>
    </w:p>
    <w:p>
      <w:pPr>
        <w:spacing w:after="0" w:line="226" w:lineRule="auto"/>
        <w:rPr>
          <w:sz w:val="20"/>
          <w:szCs w:val="20"/>
          <w:color w:val="auto"/>
        </w:rPr>
      </w:pPr>
      <w:r>
        <w:rPr>
          <w:rFonts w:ascii="Calibri" w:cs="Calibri" w:eastAsia="Calibri" w:hAnsi="Calibri"/>
          <w:sz w:val="19"/>
          <w:szCs w:val="19"/>
          <w:color w:val="auto"/>
        </w:rPr>
        <w:t>Miami, Florida</w:t>
      </w:r>
    </w:p>
    <w:p>
      <w:pPr>
        <w:spacing w:after="0" w:line="233" w:lineRule="exact"/>
        <w:rPr>
          <w:sz w:val="20"/>
          <w:szCs w:val="20"/>
          <w:color w:val="auto"/>
        </w:rPr>
      </w:pPr>
    </w:p>
    <w:p>
      <w:pPr>
        <w:spacing w:after="0"/>
        <w:rPr>
          <w:sz w:val="20"/>
          <w:szCs w:val="20"/>
          <w:color w:val="auto"/>
        </w:rPr>
      </w:pPr>
      <w:r>
        <w:rPr>
          <w:rFonts w:ascii="Calibri" w:cs="Calibri" w:eastAsia="Calibri" w:hAnsi="Calibri"/>
          <w:sz w:val="19"/>
          <w:szCs w:val="19"/>
          <w:color w:val="auto"/>
        </w:rPr>
        <w:t>March 15, 2024</w:t>
      </w:r>
    </w:p>
    <w:p>
      <w:pPr>
        <w:sectPr>
          <w:pgSz w:w="11900" w:h="16838" w:orient="portrait"/>
          <w:cols w:equalWidth="0" w:num="1">
            <w:col w:w="11160"/>
          </w:cols>
          <w:pgMar w:left="320" w:top="843" w:right="41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Scott J. Ulm of ARMOUR Residential REIT, Inc., certify that:</w:t>
      </w:r>
    </w:p>
    <w:p>
      <w:pPr>
        <w:spacing w:after="0" w:line="243" w:lineRule="exact"/>
        <w:rPr>
          <w:sz w:val="20"/>
          <w:szCs w:val="20"/>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period ended December 31, 2023 of ARMOUR Residential REIT, Inc. (the “registrant”);</w:t>
      </w:r>
    </w:p>
    <w:p>
      <w:pPr>
        <w:spacing w:after="0" w:line="242"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620" w:right="80" w:hanging="307"/>
        <w:spacing w:after="0" w:line="270"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1240" w:right="260" w:hanging="309"/>
        <w:spacing w:after="0" w:line="270" w:lineRule="auto"/>
        <w:tabs>
          <w:tab w:leader="none" w:pos="1237"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309"/>
        <w:spacing w:after="0" w:line="270" w:lineRule="auto"/>
        <w:tabs>
          <w:tab w:leader="none" w:pos="1234"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309"/>
        <w:spacing w:after="0" w:line="287" w:lineRule="auto"/>
        <w:tabs>
          <w:tab w:leader="none" w:pos="1237"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60" w:hanging="309"/>
        <w:spacing w:after="0" w:line="270" w:lineRule="auto"/>
        <w:tabs>
          <w:tab w:leader="none" w:pos="1234"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620" w:right="520" w:hanging="307"/>
        <w:spacing w:after="0" w:line="287"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1240" w:right="160" w:hanging="309"/>
        <w:spacing w:after="0" w:line="287" w:lineRule="auto"/>
        <w:tabs>
          <w:tab w:leader="none" w:pos="1237"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20" w:hanging="309"/>
        <w:spacing w:after="0" w:line="287" w:lineRule="auto"/>
        <w:tabs>
          <w:tab w:leader="none" w:pos="1234"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15, 2024</w:t>
      </w:r>
    </w:p>
    <w:p>
      <w:pPr>
        <w:spacing w:after="0" w:line="3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b w:val="1"/>
          <w:bCs w:val="1"/>
          <w:color w:val="auto"/>
        </w:rPr>
        <w:t>ARMOUR RESIDENTIAL REIT, INC.</w:t>
      </w:r>
    </w:p>
    <w:p>
      <w:pPr>
        <w:spacing w:after="0" w:line="105" w:lineRule="exact"/>
        <w:rPr>
          <w:sz w:val="20"/>
          <w:szCs w:val="20"/>
          <w:color w:val="auto"/>
        </w:rPr>
      </w:pPr>
    </w:p>
    <w:p>
      <w:pPr>
        <w:ind w:left="7440"/>
        <w:spacing w:after="0"/>
        <w:tabs>
          <w:tab w:leader="none" w:pos="7880" w:val="left"/>
        </w:tabs>
        <w:rPr>
          <w:sz w:val="20"/>
          <w:szCs w:val="20"/>
          <w:color w:val="auto"/>
        </w:rPr>
      </w:pPr>
      <w:r>
        <w:rPr>
          <w:rFonts w:ascii="Times New Roman" w:cs="Times New Roman" w:eastAsia="Times New Roman" w:hAnsi="Times New Roman"/>
          <w:sz w:val="17"/>
          <w:szCs w:val="17"/>
          <w:color w:val="auto"/>
        </w:rPr>
        <w:t>By:</w:t>
        <w:tab/>
        <w:t>/s/ Scott J. Ulm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5003800</wp:posOffset>
            </wp:positionH>
            <wp:positionV relativeFrom="paragraph">
              <wp:posOffset>17145</wp:posOffset>
            </wp:positionV>
            <wp:extent cx="212026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1">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17"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7"/>
          <w:szCs w:val="17"/>
          <w:color w:val="auto"/>
        </w:rPr>
        <w:t>Scott J. Ulm</w:t>
      </w:r>
    </w:p>
    <w:p>
      <w:pPr>
        <w:spacing w:after="0" w:line="2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854"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Gordon M. Harper of ARMOUR Residential REIT, Inc., certify that:</w:t>
      </w:r>
    </w:p>
    <w:p>
      <w:pPr>
        <w:spacing w:after="0" w:line="243" w:lineRule="exact"/>
        <w:rPr>
          <w:sz w:val="20"/>
          <w:szCs w:val="20"/>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period ended December 31, 2023 of ARMOUR Residential REIT, Inc. (the “registrant”);</w:t>
      </w:r>
    </w:p>
    <w:p>
      <w:pPr>
        <w:spacing w:after="0" w:line="242"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620" w:right="80" w:hanging="307"/>
        <w:spacing w:after="0" w:line="270"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1240" w:right="260" w:hanging="309"/>
        <w:spacing w:after="0" w:line="270" w:lineRule="auto"/>
        <w:tabs>
          <w:tab w:leader="none" w:pos="123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309"/>
        <w:spacing w:after="0" w:line="270" w:lineRule="auto"/>
        <w:tabs>
          <w:tab w:leader="none" w:pos="1234"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309"/>
        <w:spacing w:after="0" w:line="287" w:lineRule="auto"/>
        <w:tabs>
          <w:tab w:leader="none" w:pos="123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60" w:hanging="309"/>
        <w:spacing w:after="0" w:line="270" w:lineRule="auto"/>
        <w:tabs>
          <w:tab w:leader="none" w:pos="1234"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620" w:right="520" w:hanging="307"/>
        <w:spacing w:after="0" w:line="287"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1240" w:right="160" w:hanging="309"/>
        <w:spacing w:after="0" w:line="287" w:lineRule="auto"/>
        <w:tabs>
          <w:tab w:leader="none" w:pos="123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20" w:hanging="309"/>
        <w:spacing w:after="0" w:line="287" w:lineRule="auto"/>
        <w:tabs>
          <w:tab w:leader="none" w:pos="1234"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15, 2024</w:t>
      </w:r>
    </w:p>
    <w:p>
      <w:pPr>
        <w:spacing w:after="0" w:line="28"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7"/>
          <w:szCs w:val="17"/>
          <w:b w:val="1"/>
          <w:bCs w:val="1"/>
          <w:color w:val="auto"/>
        </w:rPr>
        <w:t>ARMOUR RESIDENTIAL REIT, INC.</w:t>
      </w:r>
    </w:p>
    <w:p>
      <w:pPr>
        <w:spacing w:after="0" w:line="64" w:lineRule="exact"/>
        <w:rPr>
          <w:sz w:val="20"/>
          <w:szCs w:val="20"/>
          <w:color w:val="auto"/>
        </w:rPr>
      </w:pPr>
    </w:p>
    <w:p>
      <w:pPr>
        <w:ind w:left="7440"/>
        <w:spacing w:after="0"/>
        <w:tabs>
          <w:tab w:leader="none" w:pos="78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Calibri" w:cs="Calibri" w:eastAsia="Calibri" w:hAnsi="Calibri"/>
          <w:sz w:val="17"/>
          <w:szCs w:val="17"/>
          <w:color w:val="auto"/>
        </w:rPr>
        <w:t>/s/ Gordon M.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5003800</wp:posOffset>
            </wp:positionH>
            <wp:positionV relativeFrom="paragraph">
              <wp:posOffset>13970</wp:posOffset>
            </wp:positionV>
            <wp:extent cx="21202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2">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7"/>
          <w:szCs w:val="17"/>
          <w:color w:val="auto"/>
        </w:rPr>
        <w:t>Gordon M. Harper</w:t>
      </w:r>
    </w:p>
    <w:p>
      <w:pPr>
        <w:spacing w:after="0" w:line="2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854"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ARMOUR Residential REIT, Inc. (the “Company”) on Form 10-K for the period ended December 31, 2023 as filed with the Securities and Exchange Commission on the date hereof (the “Report”), I, Scott J. Ulm,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920" w:hanging="298"/>
        <w:spacing w:after="0"/>
        <w:tabs>
          <w:tab w:leader="none" w:pos="9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Date: March 15, 2024</w:t>
      </w:r>
    </w:p>
    <w:p>
      <w:pPr>
        <w:spacing w:after="0" w:line="28"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7"/>
          <w:szCs w:val="17"/>
          <w:b w:val="1"/>
          <w:bCs w:val="1"/>
          <w:color w:val="auto"/>
        </w:rPr>
        <w:t>ARMOUR RESIDENTIAL REIT, INC.</w:t>
      </w:r>
    </w:p>
    <w:p>
      <w:pPr>
        <w:spacing w:after="0" w:line="71" w:lineRule="exact"/>
        <w:rPr>
          <w:sz w:val="20"/>
          <w:szCs w:val="20"/>
          <w:color w:val="auto"/>
        </w:rPr>
      </w:pPr>
    </w:p>
    <w:p>
      <w:pPr>
        <w:ind w:left="7640"/>
        <w:spacing w:after="0"/>
        <w:tabs>
          <w:tab w:leader="none" w:pos="8060" w:val="left"/>
        </w:tabs>
        <w:rPr>
          <w:sz w:val="20"/>
          <w:szCs w:val="20"/>
          <w:color w:val="auto"/>
        </w:rPr>
      </w:pPr>
      <w:r>
        <w:rPr>
          <w:rFonts w:ascii="Times New Roman" w:cs="Times New Roman" w:eastAsia="Times New Roman" w:hAnsi="Times New Roman"/>
          <w:sz w:val="17"/>
          <w:szCs w:val="17"/>
          <w:color w:val="auto"/>
        </w:rPr>
        <w:t>By:</w:t>
        <w:tab/>
        <w:t>/s/ Scott J. Ulm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5118735</wp:posOffset>
            </wp:positionH>
            <wp:positionV relativeFrom="paragraph">
              <wp:posOffset>17145</wp:posOffset>
            </wp:positionV>
            <wp:extent cx="200596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3">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7"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7"/>
          <w:szCs w:val="17"/>
          <w:color w:val="auto"/>
        </w:rPr>
        <w:t>Scott J. Ulm</w:t>
      </w:r>
    </w:p>
    <w:p>
      <w:pPr>
        <w:spacing w:after="0" w:line="28"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854"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ARMOUR Residential REIT, Inc. (the “Company”) on Form 10-K for the period ended December 31, 2023 as filed with the Securities and Exchange Commission on the date hereof (the “Report”), I, Gordon M. Harper,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920" w:hanging="298"/>
        <w:spacing w:after="0"/>
        <w:tabs>
          <w:tab w:leader="none" w:pos="9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15, 2024</w:t>
      </w:r>
    </w:p>
    <w:p>
      <w:pPr>
        <w:spacing w:after="0" w:line="2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b w:val="1"/>
          <w:bCs w:val="1"/>
          <w:color w:val="auto"/>
        </w:rPr>
        <w:t>ARMOUR RESIDENTIAL REIT, INC.</w:t>
      </w:r>
    </w:p>
    <w:p>
      <w:pPr>
        <w:spacing w:after="0" w:line="64" w:lineRule="exact"/>
        <w:rPr>
          <w:sz w:val="20"/>
          <w:szCs w:val="20"/>
          <w:color w:val="auto"/>
        </w:rPr>
      </w:pPr>
    </w:p>
    <w:p>
      <w:pPr>
        <w:ind w:left="7440"/>
        <w:spacing w:after="0"/>
        <w:tabs>
          <w:tab w:leader="none" w:pos="78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Calibri" w:cs="Calibri" w:eastAsia="Calibri" w:hAnsi="Calibri"/>
          <w:sz w:val="17"/>
          <w:szCs w:val="17"/>
          <w:color w:val="auto"/>
        </w:rPr>
        <w:t>/s/ Gordon M.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5003800</wp:posOffset>
            </wp:positionH>
            <wp:positionV relativeFrom="paragraph">
              <wp:posOffset>13970</wp:posOffset>
            </wp:positionV>
            <wp:extent cx="21202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4">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7"/>
          <w:szCs w:val="17"/>
          <w:color w:val="auto"/>
        </w:rPr>
        <w:t>Gordon M. Harper</w:t>
      </w:r>
    </w:p>
    <w:p>
      <w:pPr>
        <w:spacing w:after="0" w:line="2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854"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93"/>
        <w:spacing w:after="0"/>
        <w:rPr>
          <w:sz w:val="20"/>
          <w:szCs w:val="20"/>
          <w:color w:val="auto"/>
        </w:rPr>
      </w:pPr>
      <w:r>
        <w:rPr>
          <w:rFonts w:ascii="Times New Roman" w:cs="Times New Roman" w:eastAsia="Times New Roman" w:hAnsi="Times New Roman"/>
          <w:sz w:val="21"/>
          <w:szCs w:val="21"/>
          <w:b w:val="1"/>
          <w:bCs w:val="1"/>
          <w:color w:val="auto"/>
        </w:rPr>
        <w:t>ARMOUR Residential REIT, Inc.</w:t>
      </w:r>
    </w:p>
    <w:p>
      <w:pPr>
        <w:spacing w:after="0" w:line="29" w:lineRule="exact"/>
        <w:rPr>
          <w:sz w:val="20"/>
          <w:szCs w:val="20"/>
          <w:color w:val="auto"/>
        </w:rPr>
      </w:pPr>
    </w:p>
    <w:p>
      <w:pPr>
        <w:jc w:val="center"/>
        <w:ind w:right="293"/>
        <w:spacing w:after="0"/>
        <w:rPr>
          <w:sz w:val="20"/>
          <w:szCs w:val="20"/>
          <w:color w:val="auto"/>
        </w:rPr>
      </w:pPr>
      <w:r>
        <w:rPr>
          <w:rFonts w:ascii="Times New Roman" w:cs="Times New Roman" w:eastAsia="Times New Roman" w:hAnsi="Times New Roman"/>
          <w:sz w:val="21"/>
          <w:szCs w:val="21"/>
          <w:b w:val="1"/>
          <w:bCs w:val="1"/>
          <w:color w:val="auto"/>
        </w:rPr>
        <w:t>Policy Regarding the Mandatory Recovery of Compensation</w:t>
      </w:r>
    </w:p>
    <w:p>
      <w:pPr>
        <w:spacing w:after="0" w:line="3" w:lineRule="exact"/>
        <w:rPr>
          <w:sz w:val="20"/>
          <w:szCs w:val="20"/>
          <w:color w:val="auto"/>
        </w:rPr>
      </w:pPr>
    </w:p>
    <w:p>
      <w:pPr>
        <w:jc w:val="center"/>
        <w:ind w:right="293"/>
        <w:spacing w:after="0"/>
        <w:rPr>
          <w:sz w:val="20"/>
          <w:szCs w:val="20"/>
          <w:color w:val="auto"/>
        </w:rPr>
      </w:pPr>
      <w:r>
        <w:rPr>
          <w:rFonts w:ascii="Times New Roman" w:cs="Times New Roman" w:eastAsia="Times New Roman" w:hAnsi="Times New Roman"/>
          <w:sz w:val="21"/>
          <w:szCs w:val="21"/>
          <w:b w:val="1"/>
          <w:bCs w:val="1"/>
          <w:color w:val="auto"/>
        </w:rPr>
        <w:t>Effective October 24, 2023</w:t>
      </w:r>
    </w:p>
    <w:p>
      <w:pPr>
        <w:spacing w:after="0" w:line="191" w:lineRule="exact"/>
        <w:rPr>
          <w:sz w:val="20"/>
          <w:szCs w:val="20"/>
          <w:color w:val="auto"/>
        </w:rPr>
      </w:pPr>
    </w:p>
    <w:p>
      <w:pPr>
        <w:jc w:val="both"/>
        <w:ind w:left="307" w:hanging="307"/>
        <w:spacing w:after="0" w:line="263" w:lineRule="auto"/>
        <w:tabs>
          <w:tab w:leader="none" w:pos="307"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Applicability</w:t>
      </w:r>
      <w:r>
        <w:rPr>
          <w:rFonts w:ascii="Times New Roman" w:cs="Times New Roman" w:eastAsia="Times New Roman" w:hAnsi="Times New Roman"/>
          <w:sz w:val="17"/>
          <w:szCs w:val="17"/>
          <w:color w:val="auto"/>
        </w:rPr>
        <w:t>. This Policy Regarding the Mandatory Recovery of Compensation (this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applies to any Incentive Compensation paid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ARMOUR Residential REIT, Inc.’s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Executive Officers. This Policy is intended to comply with and be interpreted in accordance with the requirements of Section 303A.14 (“</w:t>
      </w:r>
      <w:r>
        <w:rPr>
          <w:rFonts w:ascii="Times New Roman" w:cs="Times New Roman" w:eastAsia="Times New Roman" w:hAnsi="Times New Roman"/>
          <w:sz w:val="17"/>
          <w:szCs w:val="17"/>
          <w:b w:val="1"/>
          <w:bCs w:val="1"/>
          <w:i w:val="1"/>
          <w:iCs w:val="1"/>
          <w:color w:val="auto"/>
        </w:rPr>
        <w:t>Section 303A.14</w:t>
      </w:r>
      <w:r>
        <w:rPr>
          <w:rFonts w:ascii="Times New Roman" w:cs="Times New Roman" w:eastAsia="Times New Roman" w:hAnsi="Times New Roman"/>
          <w:sz w:val="17"/>
          <w:szCs w:val="17"/>
          <w:color w:val="auto"/>
        </w:rPr>
        <w:t>”) of the New York Stock Exchange (“</w:t>
      </w:r>
      <w:r>
        <w:rPr>
          <w:rFonts w:ascii="Times New Roman" w:cs="Times New Roman" w:eastAsia="Times New Roman" w:hAnsi="Times New Roman"/>
          <w:sz w:val="17"/>
          <w:szCs w:val="17"/>
          <w:b w:val="1"/>
          <w:bCs w:val="1"/>
          <w:i w:val="1"/>
          <w:iCs w:val="1"/>
          <w:color w:val="auto"/>
        </w:rPr>
        <w:t>NYSE</w:t>
      </w:r>
      <w:r>
        <w:rPr>
          <w:rFonts w:ascii="Times New Roman" w:cs="Times New Roman" w:eastAsia="Times New Roman" w:hAnsi="Times New Roman"/>
          <w:sz w:val="17"/>
          <w:szCs w:val="17"/>
          <w:color w:val="auto"/>
        </w:rPr>
        <w:t>”) Listed Company Manual. The provisions of Section 303A.14 shall prevail in the event of any conflict between the text of this Policy and such section. Certain capitalized terms are defined in Section IV hereof.</w:t>
      </w:r>
    </w:p>
    <w:p>
      <w:pPr>
        <w:spacing w:after="0" w:line="168" w:lineRule="exact"/>
        <w:rPr>
          <w:rFonts w:ascii="Times New Roman" w:cs="Times New Roman" w:eastAsia="Times New Roman" w:hAnsi="Times New Roman"/>
          <w:sz w:val="17"/>
          <w:szCs w:val="17"/>
          <w:b w:val="1"/>
          <w:bCs w:val="1"/>
          <w:color w:val="auto"/>
        </w:rPr>
      </w:pPr>
    </w:p>
    <w:p>
      <w:pPr>
        <w:ind w:left="307" w:hanging="307"/>
        <w:spacing w:after="0"/>
        <w:tabs>
          <w:tab w:leader="none" w:pos="307"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Recovery</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b w:val="1"/>
          <w:bCs w:val="1"/>
          <w:color w:val="auto"/>
        </w:rPr>
      </w:pPr>
    </w:p>
    <w:p>
      <w:pPr>
        <w:ind w:left="307"/>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i w:val="1"/>
          <w:iCs w:val="1"/>
          <w:color w:val="auto"/>
        </w:rPr>
        <w:t>Triggering Event</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left="1247" w:firstLine="619"/>
        <w:spacing w:after="0" w:line="258" w:lineRule="auto"/>
        <w:rPr>
          <w:sz w:val="20"/>
          <w:szCs w:val="20"/>
          <w:color w:val="auto"/>
        </w:rPr>
      </w:pPr>
      <w:r>
        <w:rPr>
          <w:rFonts w:ascii="Times New Roman" w:cs="Times New Roman" w:eastAsia="Times New Roman" w:hAnsi="Times New Roman"/>
          <w:sz w:val="17"/>
          <w:szCs w:val="17"/>
          <w:color w:val="auto"/>
        </w:rPr>
        <w:t>Except as provided herein and subject to Section II(b) below, in the event that the Company is required to prepare a Financial Restatement, the Company shall recover any Recoverable Amount of any Incentive Compensation received by a current or former Executive Officer during the Look-Back Period. The Recoverable Amount shall be repaid to the Company within a reasonably prompt time after the current or former Executive Officer is notified in writing of the Recoverable Amount as set forth in Section II(d) below, accompanied by a reasonably detailed computation thereof. For the sake of clarity, the recovery rule in this Section II(a) shall apply regardless of any misconduct, fault, or illegal activity of the Company, any Executive Officer, or the Company’s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or any committee thereof.</w:t>
      </w:r>
    </w:p>
    <w:p>
      <w:pPr>
        <w:spacing w:after="0" w:line="175" w:lineRule="exact"/>
        <w:rPr>
          <w:sz w:val="20"/>
          <w:szCs w:val="20"/>
          <w:color w:val="auto"/>
        </w:rPr>
      </w:pPr>
    </w:p>
    <w:p>
      <w:pPr>
        <w:ind w:left="627" w:hanging="318"/>
        <w:spacing w:after="0"/>
        <w:tabs>
          <w:tab w:leader="none" w:pos="62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Compensation Subject to Recovery</w:t>
      </w:r>
      <w:r>
        <w:rPr>
          <w:rFonts w:ascii="Times New Roman" w:cs="Times New Roman" w:eastAsia="Times New Roman" w:hAnsi="Times New Roman"/>
          <w:sz w:val="17"/>
          <w:szCs w:val="17"/>
          <w:color w:val="auto"/>
        </w:rPr>
        <w:t>.</w:t>
      </w:r>
    </w:p>
    <w:p>
      <w:pPr>
        <w:spacing w:after="0" w:line="221" w:lineRule="exact"/>
        <w:rPr>
          <w:rFonts w:ascii="Times New Roman" w:cs="Times New Roman" w:eastAsia="Times New Roman" w:hAnsi="Times New Roman"/>
          <w:sz w:val="17"/>
          <w:szCs w:val="17"/>
          <w:color w:val="auto"/>
        </w:rPr>
      </w:pPr>
    </w:p>
    <w:p>
      <w:pPr>
        <w:ind w:left="1387" w:hanging="305"/>
        <w:spacing w:after="0" w:line="287" w:lineRule="auto"/>
        <w:tabs>
          <w:tab w:leader="none" w:pos="1387" w:val="left"/>
        </w:tabs>
        <w:numPr>
          <w:ilvl w:val="2"/>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 Compensation subject to mandatory recovery under Section II(a) includes any Incentive Compensation received by an Executive Officer:</w:t>
      </w:r>
    </w:p>
    <w:p>
      <w:pPr>
        <w:spacing w:after="0" w:line="151" w:lineRule="exact"/>
        <w:rPr>
          <w:rFonts w:ascii="Times New Roman" w:cs="Times New Roman" w:eastAsia="Times New Roman" w:hAnsi="Times New Roman"/>
          <w:sz w:val="17"/>
          <w:szCs w:val="17"/>
          <w:color w:val="auto"/>
        </w:rPr>
      </w:pPr>
    </w:p>
    <w:p>
      <w:pPr>
        <w:ind w:left="2167" w:hanging="311"/>
        <w:spacing w:after="0"/>
        <w:tabs>
          <w:tab w:leader="none" w:pos="2167" w:val="left"/>
        </w:tabs>
        <w:numPr>
          <w:ilvl w:val="3"/>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beginning service as an Executive Officer;</w:t>
      </w:r>
    </w:p>
    <w:p>
      <w:pPr>
        <w:spacing w:after="0" w:line="217" w:lineRule="exact"/>
        <w:rPr>
          <w:rFonts w:ascii="Times New Roman" w:cs="Times New Roman" w:eastAsia="Times New Roman" w:hAnsi="Times New Roman"/>
          <w:sz w:val="17"/>
          <w:szCs w:val="17"/>
          <w:color w:val="auto"/>
        </w:rPr>
      </w:pPr>
    </w:p>
    <w:p>
      <w:pPr>
        <w:ind w:left="2167" w:hanging="311"/>
        <w:spacing w:after="0"/>
        <w:tabs>
          <w:tab w:leader="none" w:pos="2167" w:val="left"/>
        </w:tabs>
        <w:numPr>
          <w:ilvl w:val="3"/>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served as an Executive Officer at any time during the performance period for that Incentive Compensation;</w:t>
      </w:r>
    </w:p>
    <w:p>
      <w:pPr>
        <w:spacing w:after="0" w:line="217" w:lineRule="exact"/>
        <w:rPr>
          <w:rFonts w:ascii="Times New Roman" w:cs="Times New Roman" w:eastAsia="Times New Roman" w:hAnsi="Times New Roman"/>
          <w:sz w:val="17"/>
          <w:szCs w:val="17"/>
          <w:color w:val="auto"/>
        </w:rPr>
      </w:pPr>
    </w:p>
    <w:p>
      <w:pPr>
        <w:ind w:left="2167" w:hanging="311"/>
        <w:spacing w:after="0"/>
        <w:tabs>
          <w:tab w:leader="none" w:pos="2167" w:val="left"/>
        </w:tabs>
        <w:numPr>
          <w:ilvl w:val="3"/>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the Company has a class of securities listed on a national securities exchange or a national securities association; and</w:t>
      </w:r>
    </w:p>
    <w:p>
      <w:pPr>
        <w:spacing w:after="0" w:line="217" w:lineRule="exact"/>
        <w:rPr>
          <w:rFonts w:ascii="Times New Roman" w:cs="Times New Roman" w:eastAsia="Times New Roman" w:hAnsi="Times New Roman"/>
          <w:sz w:val="17"/>
          <w:szCs w:val="17"/>
          <w:color w:val="auto"/>
        </w:rPr>
      </w:pPr>
    </w:p>
    <w:p>
      <w:pPr>
        <w:ind w:left="2167" w:hanging="311"/>
        <w:spacing w:after="0"/>
        <w:tabs>
          <w:tab w:leader="none" w:pos="2167" w:val="left"/>
        </w:tabs>
        <w:numPr>
          <w:ilvl w:val="3"/>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Look-Back Period.</w:t>
      </w:r>
    </w:p>
    <w:p>
      <w:pPr>
        <w:spacing w:after="0" w:line="217" w:lineRule="exact"/>
        <w:rPr>
          <w:rFonts w:ascii="Times New Roman" w:cs="Times New Roman" w:eastAsia="Times New Roman" w:hAnsi="Times New Roman"/>
          <w:sz w:val="17"/>
          <w:szCs w:val="17"/>
          <w:color w:val="auto"/>
        </w:rPr>
      </w:pPr>
    </w:p>
    <w:p>
      <w:pPr>
        <w:jc w:val="both"/>
        <w:ind w:left="1387" w:hanging="395"/>
        <w:spacing w:after="0" w:line="264" w:lineRule="auto"/>
        <w:tabs>
          <w:tab w:leader="none" w:pos="1388"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this Section II(b), Incentive Compensation is deemed “received” in the fiscal period that the Financial Reporting Measure specified in the applicable Incentive Compensation award is attained, even if the payment or grant of the Incentive Compensation occurs after the end of that period. This Section II(b) will only apply to Incentive Compensation received in any fiscal period ending on or after the effective date of Section 303A.14.</w:t>
      </w:r>
    </w:p>
    <w:p>
      <w:pPr>
        <w:spacing w:after="0" w:line="167" w:lineRule="exact"/>
        <w:rPr>
          <w:sz w:val="20"/>
          <w:szCs w:val="20"/>
          <w:color w:val="auto"/>
        </w:rPr>
      </w:pPr>
    </w:p>
    <w:p>
      <w:pPr>
        <w:ind w:left="627" w:hanging="318"/>
        <w:spacing w:after="0"/>
        <w:tabs>
          <w:tab w:leader="none" w:pos="627"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Recoupment</w:t>
      </w:r>
      <w:r>
        <w:rPr>
          <w:rFonts w:ascii="Times New Roman" w:cs="Times New Roman" w:eastAsia="Times New Roman" w:hAnsi="Times New Roman"/>
          <w:sz w:val="17"/>
          <w:szCs w:val="17"/>
          <w:color w:val="auto"/>
        </w:rPr>
        <w:t>.</w:t>
      </w:r>
    </w:p>
    <w:p>
      <w:pPr>
        <w:spacing w:after="0" w:line="215" w:lineRule="exact"/>
        <w:rPr>
          <w:rFonts w:ascii="Times New Roman" w:cs="Times New Roman" w:eastAsia="Times New Roman" w:hAnsi="Times New Roman"/>
          <w:sz w:val="17"/>
          <w:szCs w:val="17"/>
          <w:color w:val="auto"/>
        </w:rPr>
      </w:pPr>
    </w:p>
    <w:p>
      <w:pPr>
        <w:jc w:val="both"/>
        <w:ind w:left="1387" w:hanging="395"/>
        <w:spacing w:after="0" w:line="262" w:lineRule="auto"/>
        <w:tabs>
          <w:tab w:leader="none" w:pos="1388"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of the Board (the “</w:t>
      </w:r>
      <w:r>
        <w:rPr>
          <w:rFonts w:ascii="Times New Roman" w:cs="Times New Roman" w:eastAsia="Times New Roman" w:hAnsi="Times New Roman"/>
          <w:sz w:val="17"/>
          <w:szCs w:val="17"/>
          <w:b w:val="1"/>
          <w:bCs w:val="1"/>
          <w:i w:val="1"/>
          <w:iCs w:val="1"/>
          <w:color w:val="auto"/>
        </w:rPr>
        <w:t>Compensation Committee</w:t>
      </w:r>
      <w:r>
        <w:rPr>
          <w:rFonts w:ascii="Times New Roman" w:cs="Times New Roman" w:eastAsia="Times New Roman" w:hAnsi="Times New Roman"/>
          <w:sz w:val="17"/>
          <w:szCs w:val="17"/>
          <w:color w:val="auto"/>
        </w:rPr>
        <w:t>”) shall determine, at its sole discretion, the method for recouping Incentive Compensation, which may include (A) requiring reimbursement of Incentive Compensation previously paid; (B) seeking recovery of any gain realized on the vesting, exercise, settlement, sale, transfer, or other disposition of any equity-based awards;</w:t>
      </w:r>
    </w:p>
    <w:p>
      <w:pPr>
        <w:spacing w:after="0" w:line="1" w:lineRule="exact"/>
        <w:rPr>
          <w:rFonts w:ascii="Times New Roman" w:cs="Times New Roman" w:eastAsia="Times New Roman" w:hAnsi="Times New Roman"/>
          <w:sz w:val="17"/>
          <w:szCs w:val="17"/>
          <w:color w:val="auto"/>
        </w:rPr>
      </w:pPr>
    </w:p>
    <w:p>
      <w:pPr>
        <w:ind w:left="138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deducting the amount to be recouped</w:t>
      </w:r>
    </w:p>
    <w:p>
      <w:pPr>
        <w:sectPr>
          <w:pgSz w:w="11900" w:h="16838" w:orient="portrait"/>
          <w:cols w:equalWidth="0" w:num="1">
            <w:col w:w="10927"/>
          </w:cols>
          <w:pgMar w:left="633" w:top="105" w:right="339" w:bottom="1440" w:gutter="0" w:footer="0" w:header="0"/>
        </w:sectPr>
      </w:pPr>
    </w:p>
    <w:bookmarkStart w:id="142" w:name="page143"/>
    <w:bookmarkEnd w:id="142"/>
    <w:p>
      <w:pPr>
        <w:ind w:left="1500"/>
        <w:spacing w:after="0" w:line="287" w:lineRule="auto"/>
        <w:rPr>
          <w:sz w:val="20"/>
          <w:szCs w:val="20"/>
          <w:color w:val="auto"/>
        </w:rPr>
      </w:pPr>
      <w:r>
        <w:rPr>
          <w:rFonts w:ascii="Times New Roman" w:cs="Times New Roman" w:eastAsia="Times New Roman" w:hAnsi="Times New Roman"/>
          <w:sz w:val="17"/>
          <w:szCs w:val="17"/>
          <w:color w:val="auto"/>
        </w:rPr>
        <w:t>from any compensation otherwise owed by the Company to the Executive Officer; and/or (D) taking any other remedial and recovery action permitted by law, as determined by the Compensation Committee.</w:t>
      </w:r>
    </w:p>
    <w:p>
      <w:pPr>
        <w:spacing w:after="0" w:line="147" w:lineRule="exact"/>
        <w:rPr>
          <w:sz w:val="20"/>
          <w:szCs w:val="20"/>
          <w:color w:val="auto"/>
        </w:rPr>
      </w:pPr>
    </w:p>
    <w:p>
      <w:pPr>
        <w:ind w:left="780" w:hanging="358"/>
        <w:spacing w:after="0"/>
        <w:tabs>
          <w:tab w:leader="none" w:pos="7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Recoverable Amount</w:t>
      </w:r>
      <w:r>
        <w:rPr>
          <w:rFonts w:ascii="Times New Roman" w:cs="Times New Roman" w:eastAsia="Times New Roman" w:hAnsi="Times New Roman"/>
          <w:sz w:val="17"/>
          <w:szCs w:val="17"/>
          <w:color w:val="auto"/>
        </w:rPr>
        <w:t>.</w:t>
      </w:r>
    </w:p>
    <w:p>
      <w:pPr>
        <w:spacing w:after="0" w:line="221" w:lineRule="exact"/>
        <w:rPr>
          <w:rFonts w:ascii="Times New Roman" w:cs="Times New Roman" w:eastAsia="Times New Roman" w:hAnsi="Times New Roman"/>
          <w:sz w:val="17"/>
          <w:szCs w:val="17"/>
          <w:color w:val="auto"/>
        </w:rPr>
      </w:pPr>
    </w:p>
    <w:p>
      <w:pPr>
        <w:jc w:val="both"/>
        <w:ind w:left="1500" w:hanging="395"/>
        <w:spacing w:after="0" w:line="270" w:lineRule="auto"/>
        <w:tabs>
          <w:tab w:leader="none" w:pos="15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Recoverable Amount is equal to the amount of Incentive Compensation received in excess of the amount of Incentive Compensation that would have been received had it been determined based on the restated amounts in the Financial Restatement, without regard to taxes paid by the Company or the Executive Officer.</w:t>
      </w:r>
    </w:p>
    <w:p>
      <w:pPr>
        <w:spacing w:after="0" w:line="165" w:lineRule="exact"/>
        <w:rPr>
          <w:rFonts w:ascii="Times New Roman" w:cs="Times New Roman" w:eastAsia="Times New Roman" w:hAnsi="Times New Roman"/>
          <w:sz w:val="17"/>
          <w:szCs w:val="17"/>
          <w:color w:val="auto"/>
        </w:rPr>
      </w:pPr>
    </w:p>
    <w:p>
      <w:pPr>
        <w:jc w:val="both"/>
        <w:ind w:left="1500" w:hanging="443"/>
        <w:spacing w:after="0" w:line="261" w:lineRule="auto"/>
        <w:tabs>
          <w:tab w:leader="none" w:pos="15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Incentive Compensation is based on a measurement that is not subject to mathematical recalculation, the Recoverable Amount shall be based on a reasonable estimate of the effect of the Financial Restatement, as determined by the Compensation Committee, which shall be set forth in writing. For example, in the case of Incentive Compensation based on stock price or total shareholder return, the Recoverable Amount shall be based on a reasonable estimate of the effect of the Financial Restatement on the stock price or total shareholder return.</w:t>
      </w:r>
    </w:p>
    <w:p>
      <w:pPr>
        <w:spacing w:after="0" w:line="170" w:lineRule="exact"/>
        <w:rPr>
          <w:rFonts w:ascii="Times New Roman" w:cs="Times New Roman" w:eastAsia="Times New Roman" w:hAnsi="Times New Roman"/>
          <w:sz w:val="17"/>
          <w:szCs w:val="17"/>
          <w:color w:val="auto"/>
        </w:rPr>
      </w:pPr>
    </w:p>
    <w:p>
      <w:pPr>
        <w:ind w:left="740" w:hanging="318"/>
        <w:spacing w:after="0"/>
        <w:tabs>
          <w:tab w:leader="none" w:pos="7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Exceptions to Applicability</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left="1040" w:firstLine="619"/>
        <w:spacing w:after="0" w:line="270" w:lineRule="auto"/>
        <w:rPr>
          <w:sz w:val="20"/>
          <w:szCs w:val="20"/>
          <w:color w:val="auto"/>
        </w:rPr>
      </w:pPr>
      <w:r>
        <w:rPr>
          <w:rFonts w:ascii="Times New Roman" w:cs="Times New Roman" w:eastAsia="Times New Roman" w:hAnsi="Times New Roman"/>
          <w:sz w:val="17"/>
          <w:szCs w:val="17"/>
          <w:color w:val="auto"/>
        </w:rPr>
        <w:t>The Company must recover the Recoverable Amount of Incentive Compensation as stated above in Section II(a), unless the Compensation Committee, or in the absence of such committee, a majority of the independent directors serving on the Board, makes a determination that recovery would be impracticable, and at least one of the following applies:</w:t>
      </w:r>
    </w:p>
    <w:p>
      <w:pPr>
        <w:spacing w:after="0" w:line="165" w:lineRule="exact"/>
        <w:rPr>
          <w:sz w:val="20"/>
          <w:szCs w:val="20"/>
          <w:color w:val="auto"/>
        </w:rPr>
      </w:pPr>
    </w:p>
    <w:p>
      <w:pPr>
        <w:ind w:left="1500" w:hanging="305"/>
        <w:spacing w:after="0" w:line="287" w:lineRule="auto"/>
        <w:tabs>
          <w:tab w:leader="none" w:pos="1500" w:val="left"/>
        </w:tabs>
        <w:numPr>
          <w:ilvl w:val="2"/>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expense paid to a third party to assist in enforcing recovery would exceed the Recoverable Amount, and a reasonable attempt to recover the Recoverable Amount has already been made and documented;</w:t>
      </w:r>
    </w:p>
    <w:p>
      <w:pPr>
        <w:spacing w:after="0" w:line="151" w:lineRule="exact"/>
        <w:rPr>
          <w:rFonts w:ascii="Times New Roman" w:cs="Times New Roman" w:eastAsia="Times New Roman" w:hAnsi="Times New Roman"/>
          <w:sz w:val="17"/>
          <w:szCs w:val="17"/>
          <w:color w:val="auto"/>
        </w:rPr>
      </w:pPr>
    </w:p>
    <w:p>
      <w:pPr>
        <w:ind w:left="1500" w:hanging="305"/>
        <w:spacing w:after="0" w:line="287" w:lineRule="auto"/>
        <w:tabs>
          <w:tab w:leader="none" w:pos="1500" w:val="left"/>
        </w:tabs>
        <w:numPr>
          <w:ilvl w:val="2"/>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of the Recoverable Amount would violate home country law (provided such law was adopted prior to November 28, 2022 and that an opinion of counsel in such country is obtained stating that recoupment would result in such violation); or</w:t>
      </w:r>
    </w:p>
    <w:p>
      <w:pPr>
        <w:spacing w:after="0" w:line="151" w:lineRule="exact"/>
        <w:rPr>
          <w:rFonts w:ascii="Times New Roman" w:cs="Times New Roman" w:eastAsia="Times New Roman" w:hAnsi="Times New Roman"/>
          <w:sz w:val="17"/>
          <w:szCs w:val="17"/>
          <w:color w:val="auto"/>
        </w:rPr>
      </w:pPr>
    </w:p>
    <w:p>
      <w:pPr>
        <w:ind w:left="1500" w:hanging="305"/>
        <w:spacing w:after="0" w:line="287" w:lineRule="auto"/>
        <w:tabs>
          <w:tab w:leader="none" w:pos="1500" w:val="left"/>
        </w:tabs>
        <w:numPr>
          <w:ilvl w:val="2"/>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of the Company and its subsidiaries, to fail to meet the requirements of 26 U.S.C. 401(a)(13) or 26 U.S.C. 411(a) and regulations thereunder.</w:t>
      </w:r>
    </w:p>
    <w:p>
      <w:pPr>
        <w:spacing w:after="0" w:line="147" w:lineRule="exact"/>
        <w:rPr>
          <w:rFonts w:ascii="Times New Roman" w:cs="Times New Roman" w:eastAsia="Times New Roman" w:hAnsi="Times New Roman"/>
          <w:sz w:val="17"/>
          <w:szCs w:val="17"/>
          <w:color w:val="auto"/>
        </w:rPr>
      </w:pPr>
    </w:p>
    <w:p>
      <w:pPr>
        <w:ind w:left="420" w:hanging="307"/>
        <w:spacing w:after="0"/>
        <w:tabs>
          <w:tab w:leader="none" w:pos="42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p>
    <w:p>
      <w:pPr>
        <w:spacing w:after="0" w:line="221" w:lineRule="exact"/>
        <w:rPr>
          <w:rFonts w:ascii="Times New Roman" w:cs="Times New Roman" w:eastAsia="Times New Roman" w:hAnsi="Times New Roman"/>
          <w:sz w:val="17"/>
          <w:szCs w:val="17"/>
          <w:b w:val="1"/>
          <w:bCs w:val="1"/>
          <w:color w:val="auto"/>
        </w:rPr>
      </w:pPr>
    </w:p>
    <w:p>
      <w:pPr>
        <w:jc w:val="both"/>
        <w:ind w:left="740" w:hanging="408"/>
        <w:spacing w:after="0" w:line="270" w:lineRule="auto"/>
        <w:tabs>
          <w:tab w:leader="none" w:pos="74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or Compensation Committee may require that any incentive plan, employment agreement, equity award agreement, or similar agreement entered into on or after the date hereof shall, as a condition to the grant of any benefit thereunder, require an Executive Officer to agree to abide by the terms of this Policy, including the repayment of the Recoverable Amount of erroneously awarded Incentive Compensation.</w:t>
      </w:r>
    </w:p>
    <w:p>
      <w:pPr>
        <w:spacing w:after="0" w:line="165" w:lineRule="exact"/>
        <w:rPr>
          <w:rFonts w:ascii="Times New Roman" w:cs="Times New Roman" w:eastAsia="Times New Roman" w:hAnsi="Times New Roman"/>
          <w:sz w:val="17"/>
          <w:szCs w:val="17"/>
          <w:color w:val="auto"/>
        </w:rPr>
      </w:pPr>
    </w:p>
    <w:p>
      <w:pPr>
        <w:ind w:left="740" w:hanging="456"/>
        <w:spacing w:after="0" w:line="287" w:lineRule="auto"/>
        <w:tabs>
          <w:tab w:leader="none" w:pos="74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indemnify any Executive Officer or other individual against the loss of any incorrectly awarded or otherwise recouped Incentive Compensation.</w:t>
      </w:r>
    </w:p>
    <w:p>
      <w:pPr>
        <w:spacing w:after="0" w:line="151" w:lineRule="exact"/>
        <w:rPr>
          <w:rFonts w:ascii="Times New Roman" w:cs="Times New Roman" w:eastAsia="Times New Roman" w:hAnsi="Times New Roman"/>
          <w:sz w:val="17"/>
          <w:szCs w:val="17"/>
          <w:color w:val="auto"/>
        </w:rPr>
      </w:pPr>
    </w:p>
    <w:p>
      <w:pPr>
        <w:ind w:left="740" w:hanging="504"/>
        <w:spacing w:after="0" w:line="287" w:lineRule="auto"/>
        <w:tabs>
          <w:tab w:leader="none" w:pos="74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comply with applicable compensation recovery policy disclosure rules of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w:t>
      </w:r>
    </w:p>
    <w:p>
      <w:pPr>
        <w:spacing w:after="0" w:line="147" w:lineRule="exact"/>
        <w:rPr>
          <w:rFonts w:ascii="Times New Roman" w:cs="Times New Roman" w:eastAsia="Times New Roman" w:hAnsi="Times New Roman"/>
          <w:sz w:val="17"/>
          <w:szCs w:val="17"/>
          <w:color w:val="auto"/>
        </w:rPr>
      </w:pPr>
    </w:p>
    <w:p>
      <w:pPr>
        <w:ind w:left="420" w:hanging="307"/>
        <w:spacing w:after="0"/>
        <w:tabs>
          <w:tab w:leader="none" w:pos="42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040"/>
          </w:cols>
          <w:pgMar w:left="520" w:top="1051" w:right="339" w:bottom="1440" w:gutter="0" w:footer="0" w:header="0"/>
        </w:sectPr>
      </w:pPr>
    </w:p>
    <w:bookmarkStart w:id="143" w:name="page144"/>
    <w:bookmarkEnd w:id="143"/>
    <w:p>
      <w:pPr>
        <w:jc w:val="both"/>
        <w:ind w:left="740" w:hanging="318"/>
        <w:spacing w:after="0" w:line="273" w:lineRule="auto"/>
        <w:tabs>
          <w:tab w:leader="none" w:pos="73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Incentive Compensation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Incentive Compensation</w:t>
      </w:r>
      <w:r>
        <w:rPr>
          <w:rFonts w:ascii="Times New Roman" w:cs="Times New Roman" w:eastAsia="Times New Roman" w:hAnsi="Times New Roman"/>
          <w:sz w:val="17"/>
          <w:szCs w:val="17"/>
          <w:color w:val="auto"/>
        </w:rPr>
        <w:t>” means any compensation that is granted, earned, or vests based wholly or in part upon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attainment of a Financial Reporting Measure, but does not include awards that are earned or vest based solely on the continued provision of services for a period of time.</w:t>
      </w:r>
    </w:p>
    <w:p>
      <w:pPr>
        <w:spacing w:after="0" w:line="157" w:lineRule="exact"/>
        <w:rPr>
          <w:rFonts w:ascii="Times New Roman" w:cs="Times New Roman" w:eastAsia="Times New Roman" w:hAnsi="Times New Roman"/>
          <w:sz w:val="17"/>
          <w:szCs w:val="17"/>
          <w:color w:val="auto"/>
        </w:rPr>
      </w:pPr>
    </w:p>
    <w:p>
      <w:pPr>
        <w:jc w:val="both"/>
        <w:ind w:left="740" w:hanging="318"/>
        <w:spacing w:after="0" w:line="267" w:lineRule="auto"/>
        <w:tabs>
          <w:tab w:leader="none" w:pos="7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Reporting Measure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Financial Reporting Measure</w:t>
      </w:r>
      <w:r>
        <w:rPr>
          <w:rFonts w:ascii="Times New Roman" w:cs="Times New Roman" w:eastAsia="Times New Roman" w:hAnsi="Times New Roman"/>
          <w:sz w:val="17"/>
          <w:szCs w:val="17"/>
          <w:color w:val="auto"/>
        </w:rPr>
        <w:t>” means any reporting measure that is determined and presented in accordance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accounting principles used in preparing the Company’s financial statements, and any measures that are derived wholly or in part from such measures. Stock price and total shareholder return are considered to be Financial Reporting Measures for purposes of this Policy. A financial reporting measure need not be presented within the financial statements or included in a filing with the Commission.</w:t>
      </w:r>
    </w:p>
    <w:p>
      <w:pPr>
        <w:spacing w:after="0" w:line="161" w:lineRule="exact"/>
        <w:rPr>
          <w:rFonts w:ascii="Times New Roman" w:cs="Times New Roman" w:eastAsia="Times New Roman" w:hAnsi="Times New Roman"/>
          <w:sz w:val="17"/>
          <w:szCs w:val="17"/>
          <w:color w:val="auto"/>
        </w:rPr>
      </w:pPr>
    </w:p>
    <w:p>
      <w:pPr>
        <w:jc w:val="both"/>
        <w:ind w:left="740" w:hanging="318"/>
        <w:spacing w:after="0" w:line="259" w:lineRule="auto"/>
        <w:tabs>
          <w:tab w:leader="none" w:pos="73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Restatement</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b w:val="1"/>
          <w:bCs w:val="1"/>
          <w:i w:val="1"/>
          <w:iCs w:val="1"/>
          <w:color w:val="auto"/>
        </w:rPr>
        <w:t>Financial Restatement</w:t>
      </w:r>
      <w:r>
        <w:rPr>
          <w:rFonts w:ascii="Times New Roman" w:cs="Times New Roman" w:eastAsia="Times New Roman" w:hAnsi="Times New Roman"/>
          <w:sz w:val="17"/>
          <w:szCs w:val="17"/>
          <w:color w:val="auto"/>
        </w:rPr>
        <w:t>” means any accounting restatement due to the material noncompliance of the Company with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reporting requirement under applicable securities laws, including any required accounting restatement to correct an error in previously issued financial statements that (i) is material to the previously issued financial statements (commonly referred to as a “Big R” restatement), or (ii) is not material to previously issued financial statements, but would result in a material misstatement if the error were left uncorrected in the current period or the error correction were recognized in the current period (commonly referred to as a “little r” restatement). For purposes of this Policy, the date of a Financial Restatement will be deemed to be the earlier of (i) the date the Board, a committee of the Board, or officers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68" w:lineRule="exact"/>
        <w:rPr>
          <w:rFonts w:ascii="Times New Roman" w:cs="Times New Roman" w:eastAsia="Times New Roman" w:hAnsi="Times New Roman"/>
          <w:sz w:val="17"/>
          <w:szCs w:val="17"/>
          <w:color w:val="auto"/>
        </w:rPr>
      </w:pPr>
    </w:p>
    <w:p>
      <w:pPr>
        <w:jc w:val="both"/>
        <w:ind w:left="740" w:hanging="318"/>
        <w:spacing w:after="0" w:line="263" w:lineRule="auto"/>
        <w:tabs>
          <w:tab w:leader="none" w:pos="7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Executive Officer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Executive Officer</w:t>
      </w:r>
      <w:r>
        <w:rPr>
          <w:rFonts w:ascii="Times New Roman" w:cs="Times New Roman" w:eastAsia="Times New Roman" w:hAnsi="Times New Roman"/>
          <w:sz w:val="17"/>
          <w:szCs w:val="17"/>
          <w:color w:val="auto"/>
        </w:rPr>
        <w:t>” shall mean the Company’s Chief Executive Officer, President, Chief Financial Officer, or principal accounting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 (or, if there is no such accounting officer, the Controller), any vice-president of the Company in charge of a principal business unit, division or function (such as sales, administration or finance), and any other officer or person who performs a significant policy-making function for the Company, whether such person is employed by the Company or a subsidiary thereof. For the sake of clarity, ”Executive Officer” includes at a minimum executive officers identified by the Board pursuant to 17 CFR 229.401(b).</w:t>
      </w:r>
    </w:p>
    <w:p>
      <w:pPr>
        <w:spacing w:after="0" w:line="166" w:lineRule="exact"/>
        <w:rPr>
          <w:rFonts w:ascii="Times New Roman" w:cs="Times New Roman" w:eastAsia="Times New Roman" w:hAnsi="Times New Roman"/>
          <w:sz w:val="17"/>
          <w:szCs w:val="17"/>
          <w:color w:val="auto"/>
        </w:rPr>
      </w:pPr>
    </w:p>
    <w:p>
      <w:pPr>
        <w:ind w:left="740" w:hanging="318"/>
        <w:spacing w:after="0" w:line="294" w:lineRule="auto"/>
        <w:tabs>
          <w:tab w:leader="none" w:pos="73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Look-Back Period</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Look-Back Period</w:t>
      </w:r>
      <w:r>
        <w:rPr>
          <w:rFonts w:ascii="Times New Roman" w:cs="Times New Roman" w:eastAsia="Times New Roman" w:hAnsi="Times New Roman"/>
          <w:sz w:val="17"/>
          <w:szCs w:val="17"/>
          <w:color w:val="auto"/>
        </w:rPr>
        <w:t>” means the three completed fiscal years immediately preceding the date of a Financial Restatement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transition period as set forth in Section 303A.14.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w:t>
      </w:r>
    </w:p>
    <w:sectPr>
      <w:pgSz w:w="11900" w:h="16838" w:orient="portrait"/>
      <w:cols w:equalWidth="0" w:num="1">
        <w:col w:w="11040"/>
      </w:cols>
      <w:pgMar w:left="520" w:top="10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upperLetter"/>
      <w:start w:val="3"/>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lvl w:ilvl="1">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1."/>
      <w:numFmt w:val="lowerLetter"/>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04"/>
    </w:lvl>
    <w:lvl w:ilvl="1">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1)"/>
      <w:numFmt w:val="decimal"/>
      <w:start w:val="3"/>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decimal"/>
      <w:start w:val="1"/>
    </w:lvl>
    <w:lvl w:ilvl="1">
      <w:lvlJc w:val="left"/>
      <w:lvlText w:val="(%2)"/>
      <w:numFmt w:val="lowerLetter"/>
      <w:start w:val="1"/>
    </w:lvl>
  </w:abstractNum>
  <w:abstractNum w:abstractNumId="55">
    <w:nsid w:val="D34B6A8"/>
    <w:multiLevelType w:val="hybridMultilevel"/>
    <w:lvl w:ilvl="0">
      <w:lvlJc w:val="left"/>
      <w:lvlText w:val="%1."/>
      <w:numFmt w:val="decimal"/>
      <w:start w:val="1"/>
    </w:lvl>
    <w:lvl w:ilvl="1">
      <w:lvlJc w:val="left"/>
      <w:lvlText w:val="(%2)"/>
      <w:numFmt w:val="lowerLetter"/>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lowerLetter"/>
      <w:start w:val="2"/>
    </w:lvl>
    <w:lvl w:ilvl="1">
      <w:lvlJc w:val="left"/>
      <w:lvlText w:val="%2."/>
      <w:numFmt w:val="lowerRoman"/>
    </w:lvl>
    <w:lvl w:ilvl="2">
      <w:lvlJc w:val="left"/>
      <w:lvlText w:val="%3."/>
      <w:numFmt w:val="decimal"/>
      <w:start w:val="1"/>
    </w:lvl>
    <w:lvl w:ilvl="3">
      <w:lvlJc w:val="left"/>
      <w:lvlText w:val="%4."/>
      <w:numFmt w:val="decimal"/>
      <w:start w:val="1"/>
    </w:lvl>
  </w:abstractNum>
  <w:abstractNum w:abstractNumId="60">
    <w:nsid w:val="77AE35EB"/>
    <w:multiLevelType w:val="hybridMultilevel"/>
    <w:lvl w:ilvl="0">
      <w:lvlJc w:val="left"/>
      <w:lvlText w:val="%1."/>
      <w:numFmt w:val="decimal"/>
      <w:start w:val="3"/>
    </w:lvl>
    <w:lvl w:ilvl="1">
      <w:lvlJc w:val="left"/>
      <w:lvlText w:val="%2."/>
      <w:numFmt w:val="lowerRoman"/>
      <w:start w:val="1"/>
    </w:lvl>
  </w:abstractNum>
  <w:abstractNum w:abstractNumId="61">
    <w:nsid w:val="579BE4F1"/>
    <w:multiLevelType w:val="hybridMultilevel"/>
    <w:lvl w:ilvl="0">
      <w:lvlJc w:val="left"/>
      <w:lvlText w:val="%1."/>
      <w:numFmt w:val="decimal"/>
      <w:start w:val="4"/>
    </w:lvl>
    <w:lvl w:ilvl="1">
      <w:lvlJc w:val="left"/>
      <w:lvlText w:val="%2."/>
      <w:numFmt w:val="lowerRoman"/>
      <w:start w:val="1"/>
    </w:lvl>
  </w:abstractNum>
  <w:abstractNum w:abstractNumId="62">
    <w:nsid w:val="310C50B3"/>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63">
    <w:nsid w:val="5FF87E05"/>
    <w:multiLevelType w:val="hybridMultilevel"/>
    <w:lvl w:ilvl="0">
      <w:lvlJc w:val="left"/>
      <w:lvlText w:val="%1."/>
      <w:numFmt w:val="decimal"/>
      <w:start w:val="3"/>
    </w:lvl>
    <w:lvl w:ilvl="1">
      <w:lvlJc w:val="left"/>
      <w:lvlText w:val="%2."/>
      <w:numFmt w:val="lowerRoman"/>
      <w:start w:val="1"/>
    </w:lvl>
    <w:lvl w:ilvl="2">
      <w:lvlJc w:val="left"/>
      <w:lvlText w:val="%3"/>
      <w:numFmt w:val="decimal"/>
      <w:start w:val="1"/>
    </w:lvl>
  </w:abstractNum>
  <w:abstractNum w:abstractNumId="64">
    <w:nsid w:val="2F305DE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11" Type="http://schemas.openxmlformats.org/officeDocument/2006/relationships/image" Target="media/image293.png"/><Relationship Id="rId312" Type="http://schemas.openxmlformats.org/officeDocument/2006/relationships/image" Target="media/image294.png"/><Relationship Id="rId313" Type="http://schemas.openxmlformats.org/officeDocument/2006/relationships/image" Target="media/image295.jpe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jpeg"/><Relationship Id="rId327" Type="http://schemas.openxmlformats.org/officeDocument/2006/relationships/image" Target="media/image299.png"/><Relationship Id="rId328" Type="http://schemas.openxmlformats.org/officeDocument/2006/relationships/image" Target="media/image300.jpeg"/><Relationship Id="rId329" Type="http://schemas.openxmlformats.org/officeDocument/2006/relationships/image" Target="media/image301.png"/><Relationship Id="rId330" Type="http://schemas.openxmlformats.org/officeDocument/2006/relationships/image" Target="media/image302.jpeg"/><Relationship Id="rId331" Type="http://schemas.openxmlformats.org/officeDocument/2006/relationships/image" Target="media/image303.png"/><Relationship Id="rId332" Type="http://schemas.openxmlformats.org/officeDocument/2006/relationships/image" Target="media/image304.png"/><Relationship Id="rId333" Type="http://schemas.openxmlformats.org/officeDocument/2006/relationships/image" Target="media/image305.png"/><Relationship Id="rId334" Type="http://schemas.openxmlformats.org/officeDocument/2006/relationships/image" Target="media/image306.png"/><Relationship Id="rId300" Type="http://schemas.openxmlformats.org/officeDocument/2006/relationships/hyperlink" Target="http://www.sec.gov/Archives/edgar/data/1428205/000139843209000475/ex3_4.htm" TargetMode="External"/><Relationship Id="rId301" Type="http://schemas.openxmlformats.org/officeDocument/2006/relationships/hyperlink" Target="http://www.sec.gov/Archives/edgar/data/1428205/000139843211000648/exh3_1.htm" TargetMode="External"/><Relationship Id="rId302" Type="http://schemas.openxmlformats.org/officeDocument/2006/relationships/hyperlink" Target="http://www.sec.gov/Archives/edgar/data/1428205/000139843211000961/ex3-1.htm" TargetMode="External"/><Relationship Id="rId303" Type="http://schemas.openxmlformats.org/officeDocument/2006/relationships/hyperlink" Target="http://www.sec.gov/Archives/edgar/data/1428205/000143774912010817/arr20121025_10qex3-3.htm" TargetMode="External"/><Relationship Id="rId304" Type="http://schemas.openxmlformats.org/officeDocument/2006/relationships/hyperlink" Target="http://www.sec.gov/Archives/edgar/data/1428205/000142820515000191/arr1strticlesfiling.htm" TargetMode="External"/><Relationship Id="rId305" Type="http://schemas.openxmlformats.org/officeDocument/2006/relationships/hyperlink" Target="http://www.sec.gov/Archives/edgar/data/1428205/000142820515000191/arr2ndarticlesfiling.htm" TargetMode="External"/><Relationship Id="rId306" Type="http://schemas.openxmlformats.org/officeDocument/2006/relationships/hyperlink" Target="http://www.sec.gov/Archives/edgar/data/0001428205/000142820520000058/prefcarticlessupplementary.htm" TargetMode="External"/><Relationship Id="rId307" Type="http://schemas.openxmlformats.org/officeDocument/2006/relationships/hyperlink" Target="http://www.sec.gov/Archives/edgar/data/0001428205/000142820521000213/a82021exhibit31.htm" TargetMode="External"/><Relationship Id="rId308" Type="http://schemas.openxmlformats.org/officeDocument/2006/relationships/hyperlink" Target="http://www.sec.gov/Archives/edgar/data/1428205/000142820522000112/articlesofamendmentforincr.htm" TargetMode="External"/><Relationship Id="rId309" Type="http://schemas.openxmlformats.org/officeDocument/2006/relationships/hyperlink" Target="http://www.sec.gov/Archives/edgar/data/1428205/000142820523000032/arr10-k2022xexhibit310.htm" TargetMode="External"/><Relationship Id="rId310" Type="http://schemas.openxmlformats.org/officeDocument/2006/relationships/hyperlink" Target="http://www.sec.gov/Archives/edgar/data/1428205/000142820523000170/ex-31articlesofamendment20.htm" TargetMode="External"/><Relationship Id="rId314" Type="http://schemas.openxmlformats.org/officeDocument/2006/relationships/hyperlink" Target="http://www.sec.gov/Archives/edgar/data/1428205/000142820523000170/ex-32articlesofamendment20.htm" TargetMode="External"/><Relationship Id="rId315" Type="http://schemas.openxmlformats.org/officeDocument/2006/relationships/hyperlink" Target="http://www.sec.gov/Archives/edgar/data/1428205/000139843209000399/ex4_2.htm" TargetMode="External"/><Relationship Id="rId316" Type="http://schemas.openxmlformats.org/officeDocument/2006/relationships/hyperlink" Target="http://www.sec.gov/Archives/edgar/data/1428205/000142820520000058/seriescstockcertificate.htm" TargetMode="External"/><Relationship Id="rId317" Type="http://schemas.openxmlformats.org/officeDocument/2006/relationships/hyperlink" Target="http://www.sec.gov/Archives/edgar/data/0001428205/000142820521000111/armour123120proxy.htm" TargetMode="External"/><Relationship Id="rId318" Type="http://schemas.openxmlformats.org/officeDocument/2006/relationships/hyperlink" Target="http://www.sec.gov/Archives/edgar/data/1428205/000142820523000017/exhibit11arrequitysalesagr.htm" TargetMode="External"/><Relationship Id="rId319" Type="http://schemas.openxmlformats.org/officeDocument/2006/relationships/hyperlink" Target="http://www.sec.gov/Archives/edgar/data/1428205/000142820515000051/exhibit106restatedsub-mana.htm" TargetMode="External"/><Relationship Id="rId320" Type="http://schemas.openxmlformats.org/officeDocument/2006/relationships/hyperlink" Target="http://www.sec.gov/Archives/edgar/data/1428205/000142820520000073/arr8-kprefcatmex11.htm" TargetMode="External"/><Relationship Id="rId321" Type="http://schemas.openxmlformats.org/officeDocument/2006/relationships/hyperlink" Target="http://www.sec.gov/Archives/edgar/data/1428205/000142820523000144/exhibit101arrequitysalesag.htm" TargetMode="External"/><Relationship Id="rId322" Type="http://schemas.openxmlformats.org/officeDocument/2006/relationships/hyperlink" Target="http://www.sec.gov/Archives/edgar/data/1428205/000142820523000189/exhibit102arrequitysalesag.htm" TargetMode="External"/><Relationship Id="rId323" Type="http://schemas.openxmlformats.org/officeDocument/2006/relationships/hyperlink" Target="http://www.sec.gov/Archives/edgar/data/1428205/000142820523000032/arr10-k2022x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2024-03-15T15:49:00Z</dcterms:created>
  <dcterms:modified xsi:type="dcterms:W3CDTF">2024-03-15T15:49:00Z</dcterms:modified>
</cp:coreProperties>
</file>