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_____________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______________</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 OF THE SECURITIES EXCHANGE ACT OF 1934</w:t>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June 12, 2026</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ARMOUR Residential REIT, Inc.</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color w:val="auto"/>
        </w:rPr>
        <w:t>(Exact Name of Registrant as Specified in Its Charter)</w:t>
      </w:r>
    </w:p>
    <w:p>
      <w:pPr>
        <w:spacing w:after="0" w:line="373"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5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001-34766</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26-1908763</w:t>
            </w:r>
          </w:p>
        </w:tc>
      </w:tr>
      <w:tr>
        <w:trPr>
          <w:trHeight w:val="169"/>
        </w:trPr>
        <w:tc>
          <w:tcPr>
            <w:tcW w:w="3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5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Incorporation)</w:t>
            </w:r>
          </w:p>
        </w:tc>
        <w:tc>
          <w:tcPr>
            <w:tcW w:w="25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387"/>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3001 Ocean Drive, Suite 201</w:t>
            </w:r>
          </w:p>
        </w:tc>
        <w:tc>
          <w:tcPr>
            <w:tcW w:w="25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56"/>
        </w:trPr>
        <w:tc>
          <w:tcPr>
            <w:tcW w:w="35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Vero Beach, Florida</w:t>
            </w:r>
          </w:p>
        </w:tc>
        <w:tc>
          <w:tcPr>
            <w:tcW w:w="2500" w:type="dxa"/>
            <w:vAlign w:val="bottom"/>
          </w:tcPr>
          <w:p>
            <w:pPr>
              <w:spacing w:after="0"/>
              <w:rPr>
                <w:sz w:val="22"/>
                <w:szCs w:val="22"/>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32963</w:t>
            </w:r>
          </w:p>
        </w:tc>
      </w:tr>
      <w:tr>
        <w:trPr>
          <w:trHeight w:val="228"/>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(772) 617-4340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8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56"/>
        </w:trPr>
        <w:tc>
          <w:tcPr>
            <w:tcW w:w="544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18"/>
        </w:trPr>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 7.00% Series C Cumulative Redeemable</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ARR-PRC</w:t>
            </w:r>
          </w:p>
        </w:tc>
        <w:tc>
          <w:tcPr>
            <w:tcW w:w="100" w:type="dxa"/>
            <w:vAlign w:val="bottom"/>
          </w:tcPr>
          <w:p>
            <w:pPr>
              <w:spacing w:after="0"/>
              <w:rPr>
                <w:sz w:val="18"/>
                <w:szCs w:val="18"/>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ARR</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8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56"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On June 12, 2026, ARMOUR Residential REIT, Inc. (“ARMOUR”) produced for distribution a presentation, which contains updates on ARMOUR's financial position, business and operations. Attached as Exhibit 99.1 to this report is the presentation produced by ARMOUR.</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presentation attached to this report as Exhibit 99.1 is furnished pursuant to this Item 7.01 and shall not be deemed filed in this or any other filing of ARMOUR under the Securities Exchange Act of 1934, as amended, unless expressly incorporated by specific reference in any such filing.</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18"/>
                <w:szCs w:val="18"/>
                <w:color w:val="auto"/>
              </w:rPr>
            </w:pPr>
          </w:p>
        </w:tc>
        <w:tc>
          <w:tcPr>
            <w:tcW w:w="2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Presentation dated June 12, 2026</w:t>
            </w:r>
          </w:p>
        </w:tc>
        <w:tc>
          <w:tcPr>
            <w:tcW w:w="7580" w:type="dxa"/>
            <w:vAlign w:val="bottom"/>
          </w:tcPr>
          <w:p>
            <w:pPr>
              <w:spacing w:after="0"/>
              <w:rPr>
                <w:sz w:val="18"/>
                <w:szCs w:val="18"/>
                <w:color w:val="auto"/>
              </w:rPr>
            </w:pPr>
          </w:p>
        </w:tc>
      </w:tr>
      <w:tr>
        <w:trPr>
          <w:trHeight w:val="27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35"/>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12, 2026</w:t>
      </w:r>
    </w:p>
    <w:p>
      <w:pPr>
        <w:spacing w:after="0" w:line="2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ARMOUR RESIDENTIAL REIT, INC.</w:t>
      </w:r>
    </w:p>
    <w:p>
      <w:pPr>
        <w:spacing w:after="0" w:line="2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u w:val="single" w:color="auto"/>
          <w:color w:val="auto"/>
        </w:rPr>
        <w:t>By: /s/ Gordon M. Harper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Gordon M. Harper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980"/>
          </w:cols>
          <w:pgMar w:left="320" w:top="887" w:right="599" w:bottom="1440" w:gutter="0" w:footer="0" w:header="0"/>
        </w:sectPr>
      </w:pPr>
    </w:p>
    <w:bookmarkStart w:id="3" w:name="page4"/>
    <w:bookmarkEnd w:id="3"/>
    <w:p>
      <w:pPr>
        <w:spacing w:after="0"/>
        <w:rPr>
          <w:sz w:val="20"/>
          <w:szCs w:val="20"/>
          <w:color w:val="auto"/>
        </w:rPr>
      </w:pPr>
      <w:r>
        <w:rPr>
          <w:rFonts w:ascii="Arial" w:cs="Arial" w:eastAsia="Arial" w:hAnsi="Arial"/>
          <w:sz w:val="50"/>
          <w:szCs w:val="50"/>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ARMOUR Residential REIT, Inc.</w:t>
      </w:r>
    </w:p>
    <w:p>
      <w:pPr>
        <w:spacing w:after="0" w:line="118" w:lineRule="exact"/>
        <w:rPr>
          <w:sz w:val="20"/>
          <w:szCs w:val="20"/>
          <w:color w:val="auto"/>
        </w:rPr>
      </w:pPr>
    </w:p>
    <w:p>
      <w:pPr>
        <w:spacing w:after="0"/>
        <w:rPr>
          <w:sz w:val="20"/>
          <w:szCs w:val="20"/>
          <w:color w:val="auto"/>
        </w:rPr>
      </w:pPr>
      <w:r>
        <w:rPr>
          <w:rFonts w:ascii="Arial" w:cs="Arial" w:eastAsia="Arial" w:hAnsi="Arial"/>
          <w:sz w:val="29"/>
          <w:szCs w:val="29"/>
          <w:color w:val="FFFFFF"/>
        </w:rPr>
        <w:t>Monthly Update June 2026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ARMOUR Residential REIT, Inc. (“ARMOUR”; NYSE: ARR) brings private capital into the mortgage markets to support home ownership for a broad and diverse spectrum of homeowners. We seek to create shareholder value through thoughtful investment and risk management of a leveraged and diversified portfolio of mortgage-backed securities issued or guaranteed by U.S Government-sponsored entities. We rely on the decades of experience of our management team for (i) MBS securities portfolio analysis and selection, (ii) access to equity capital and repurchase financing at potentially attractive rates and terms, and (iii) hedging and liquidity strategies to moderate interest rate and MBS price risk. We prioritize maintaining common share dividends appropriate for the intermediate term rather than focusing on short-term market fluctuations.</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ARMOUR is externally managed by ARMOUR Capital Management LP, an SEC registered investment advisor, which is under common control with BUCKLER Securities LLC, an SEC registered broker-dealer and a member of FICC and FINRA. BUCKLER Securities, LLC, is the largest provider of repurchase financing to ARMOUR. ARMOUR owns a 10.8% equity interest in BUCKLER Securities LLC.</w:t>
      </w:r>
    </w:p>
    <w:p>
      <w:pPr>
        <w:sectPr>
          <w:pgSz w:w="11900" w:h="16838" w:orient="portrait"/>
          <w:cols w:equalWidth="0" w:num="1">
            <w:col w:w="10360"/>
          </w:cols>
          <w:pgMar w:left="760" w:top="644" w:right="779" w:bottom="0" w:gutter="0" w:footer="0" w:header="0"/>
        </w:sectPr>
      </w:pP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200" w:type="dxa"/>
            <w:vAlign w:val="bottom"/>
            <w:tcBorders>
              <w:left w:val="single" w:sz="8" w:color="1C4787"/>
            </w:tcBorders>
            <w:vMerge w:val="restart"/>
            <w:shd w:val="clear" w:color="auto" w:fill="1C4787"/>
          </w:tcPr>
          <w:p>
            <w:pPr>
              <w:ind w:left="60"/>
              <w:spacing w:after="0"/>
              <w:rPr>
                <w:sz w:val="20"/>
                <w:szCs w:val="20"/>
                <w:color w:val="auto"/>
              </w:rPr>
            </w:pPr>
            <w:r>
              <w:rPr>
                <w:rFonts w:ascii="Arial" w:cs="Arial" w:eastAsia="Arial" w:hAnsi="Arial"/>
                <w:sz w:val="14"/>
                <w:szCs w:val="14"/>
                <w:b w:val="1"/>
                <w:bCs w:val="1"/>
                <w:color w:val="FFFFFF"/>
              </w:rPr>
              <w:t>ARMOUR Portfolio</w:t>
            </w:r>
          </w:p>
        </w:tc>
        <w:tc>
          <w:tcPr>
            <w:tcW w:w="940" w:type="dxa"/>
            <w:vAlign w:val="bottom"/>
            <w:vMerge w:val="restart"/>
            <w:shd w:val="clear" w:color="auto" w:fill="1C4787"/>
          </w:tcPr>
          <w:p>
            <w:pPr>
              <w:jc w:val="right"/>
              <w:ind w:right="68"/>
              <w:spacing w:after="0"/>
              <w:rPr>
                <w:sz w:val="20"/>
                <w:szCs w:val="20"/>
                <w:color w:val="auto"/>
              </w:rPr>
            </w:pPr>
            <w:r>
              <w:rPr>
                <w:rFonts w:ascii="Arial" w:cs="Arial" w:eastAsia="Arial" w:hAnsi="Arial"/>
                <w:sz w:val="14"/>
                <w:szCs w:val="14"/>
                <w:b w:val="1"/>
                <w:bCs w:val="1"/>
                <w:color w:val="FFFFFF"/>
              </w:rPr>
              <w:t>% of</w:t>
            </w:r>
          </w:p>
        </w:tc>
        <w:tc>
          <w:tcPr>
            <w:tcW w:w="940" w:type="dxa"/>
            <w:vAlign w:val="bottom"/>
            <w:shd w:val="clear" w:color="auto" w:fill="1C4787"/>
          </w:tcPr>
          <w:p>
            <w:pPr>
              <w:jc w:val="right"/>
              <w:ind w:right="48"/>
              <w:spacing w:after="0"/>
              <w:rPr>
                <w:sz w:val="20"/>
                <w:szCs w:val="20"/>
                <w:color w:val="auto"/>
              </w:rPr>
            </w:pPr>
            <w:r>
              <w:rPr>
                <w:rFonts w:ascii="Arial" w:cs="Arial" w:eastAsia="Arial" w:hAnsi="Arial"/>
                <w:sz w:val="14"/>
                <w:szCs w:val="14"/>
                <w:b w:val="1"/>
                <w:bCs w:val="1"/>
                <w:color w:val="FFFFFF"/>
              </w:rPr>
              <w:t>Market</w:t>
            </w:r>
          </w:p>
        </w:tc>
        <w:tc>
          <w:tcPr>
            <w:tcW w:w="780" w:type="dxa"/>
            <w:vAlign w:val="bottom"/>
            <w:vMerge w:val="restart"/>
            <w:shd w:val="clear" w:color="auto" w:fill="1C4787"/>
          </w:tcPr>
          <w:p>
            <w:pPr>
              <w:jc w:val="right"/>
              <w:spacing w:after="0"/>
              <w:rPr>
                <w:sz w:val="20"/>
                <w:szCs w:val="20"/>
                <w:color w:val="auto"/>
              </w:rPr>
            </w:pPr>
            <w:r>
              <w:rPr>
                <w:rFonts w:ascii="Arial" w:cs="Arial" w:eastAsia="Arial" w:hAnsi="Arial"/>
                <w:sz w:val="14"/>
                <w:szCs w:val="14"/>
                <w:b w:val="1"/>
                <w:bCs w:val="1"/>
                <w:color w:val="FFFFFF"/>
              </w:rPr>
              <w:t>Effective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200" w:type="dxa"/>
            <w:vAlign w:val="bottom"/>
            <w:tcBorders>
              <w:left w:val="single" w:sz="8" w:color="1C4787"/>
            </w:tcBorders>
            <w:vMerge w:val="continue"/>
            <w:shd w:val="clear" w:color="auto" w:fill="1C4787"/>
          </w:tcPr>
          <w:p>
            <w:pPr>
              <w:spacing w:after="0"/>
              <w:rPr>
                <w:sz w:val="6"/>
                <w:szCs w:val="6"/>
                <w:color w:val="auto"/>
              </w:rPr>
            </w:pPr>
          </w:p>
        </w:tc>
        <w:tc>
          <w:tcPr>
            <w:tcW w:w="940" w:type="dxa"/>
            <w:vAlign w:val="bottom"/>
            <w:vMerge w:val="continue"/>
            <w:shd w:val="clear" w:color="auto" w:fill="1C4787"/>
          </w:tcPr>
          <w:p>
            <w:pPr>
              <w:spacing w:after="0"/>
              <w:rPr>
                <w:sz w:val="6"/>
                <w:szCs w:val="6"/>
                <w:color w:val="auto"/>
              </w:rPr>
            </w:pPr>
          </w:p>
        </w:tc>
        <w:tc>
          <w:tcPr>
            <w:tcW w:w="940" w:type="dxa"/>
            <w:vAlign w:val="bottom"/>
            <w:vMerge w:val="restart"/>
            <w:shd w:val="clear" w:color="auto" w:fill="1C4787"/>
          </w:tcPr>
          <w:p>
            <w:pPr>
              <w:jc w:val="right"/>
              <w:ind w:right="48"/>
              <w:spacing w:after="0" w:line="139" w:lineRule="exact"/>
              <w:rPr>
                <w:sz w:val="20"/>
                <w:szCs w:val="20"/>
                <w:color w:val="auto"/>
              </w:rPr>
            </w:pPr>
            <w:r>
              <w:rPr>
                <w:rFonts w:ascii="Arial" w:cs="Arial" w:eastAsia="Arial" w:hAnsi="Arial"/>
                <w:sz w:val="14"/>
                <w:szCs w:val="14"/>
                <w:b w:val="1"/>
                <w:bCs w:val="1"/>
                <w:color w:val="FFFFFF"/>
              </w:rPr>
              <w:t>Value (in $</w:t>
            </w:r>
          </w:p>
        </w:tc>
        <w:tc>
          <w:tcPr>
            <w:tcW w:w="780" w:type="dxa"/>
            <w:vAlign w:val="bottom"/>
            <w:vMerge w:val="continue"/>
            <w:shd w:val="clear" w:color="auto" w:fill="1C4787"/>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200" w:type="dxa"/>
            <w:vAlign w:val="bottom"/>
            <w:tcBorders>
              <w:left w:val="single" w:sz="8" w:color="1C4787"/>
            </w:tcBorders>
            <w:vMerge w:val="restart"/>
            <w:shd w:val="clear" w:color="auto" w:fill="1C4787"/>
          </w:tcPr>
          <w:p>
            <w:pPr>
              <w:ind w:left="60"/>
              <w:spacing w:after="0"/>
              <w:rPr>
                <w:sz w:val="20"/>
                <w:szCs w:val="20"/>
                <w:color w:val="auto"/>
              </w:rPr>
            </w:pPr>
            <w:r>
              <w:rPr>
                <w:rFonts w:ascii="Arial" w:cs="Arial" w:eastAsia="Arial" w:hAnsi="Arial"/>
                <w:sz w:val="14"/>
                <w:szCs w:val="14"/>
                <w:b w:val="1"/>
                <w:bCs w:val="1"/>
                <w:color w:val="FFFFFF"/>
              </w:rPr>
              <w:t>Composition</w:t>
            </w:r>
          </w:p>
        </w:tc>
        <w:tc>
          <w:tcPr>
            <w:tcW w:w="940" w:type="dxa"/>
            <w:vAlign w:val="bottom"/>
            <w:vMerge w:val="restart"/>
            <w:shd w:val="clear" w:color="auto" w:fill="1C4787"/>
          </w:tcPr>
          <w:p>
            <w:pPr>
              <w:jc w:val="right"/>
              <w:ind w:right="68"/>
              <w:spacing w:after="0"/>
              <w:rPr>
                <w:sz w:val="20"/>
                <w:szCs w:val="20"/>
                <w:color w:val="auto"/>
              </w:rPr>
            </w:pPr>
            <w:r>
              <w:rPr>
                <w:rFonts w:ascii="Arial" w:cs="Arial" w:eastAsia="Arial" w:hAnsi="Arial"/>
                <w:sz w:val="14"/>
                <w:szCs w:val="14"/>
                <w:b w:val="1"/>
                <w:bCs w:val="1"/>
                <w:color w:val="FFFFFF"/>
              </w:rPr>
              <w:t>Portfolio</w:t>
            </w:r>
          </w:p>
        </w:tc>
        <w:tc>
          <w:tcPr>
            <w:tcW w:w="940" w:type="dxa"/>
            <w:vAlign w:val="bottom"/>
            <w:vMerge w:val="continue"/>
            <w:shd w:val="clear" w:color="auto" w:fill="1C4787"/>
          </w:tcPr>
          <w:p>
            <w:pPr>
              <w:spacing w:after="0"/>
              <w:rPr>
                <w:sz w:val="5"/>
                <w:szCs w:val="5"/>
                <w:color w:val="auto"/>
              </w:rPr>
            </w:pPr>
          </w:p>
        </w:tc>
        <w:tc>
          <w:tcPr>
            <w:tcW w:w="780" w:type="dxa"/>
            <w:vAlign w:val="bottom"/>
            <w:vMerge w:val="restart"/>
            <w:shd w:val="clear" w:color="auto" w:fill="1C4787"/>
          </w:tcPr>
          <w:p>
            <w:pPr>
              <w:jc w:val="right"/>
              <w:spacing w:after="0"/>
              <w:rPr>
                <w:sz w:val="20"/>
                <w:szCs w:val="20"/>
                <w:color w:val="auto"/>
              </w:rPr>
            </w:pPr>
            <w:r>
              <w:rPr>
                <w:rFonts w:ascii="Arial" w:cs="Arial" w:eastAsia="Arial" w:hAnsi="Arial"/>
                <w:sz w:val="14"/>
                <w:szCs w:val="14"/>
                <w:b w:val="1"/>
                <w:bCs w:val="1"/>
                <w:color w:val="FFFFFF"/>
              </w:rPr>
              <w:t>Duration</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200" w:type="dxa"/>
            <w:vAlign w:val="bottom"/>
            <w:tcBorders>
              <w:left w:val="single" w:sz="8" w:color="1C4787"/>
              <w:bottom w:val="single" w:sz="8" w:color="1C4787"/>
            </w:tcBorders>
            <w:vMerge w:val="continue"/>
            <w:shd w:val="clear" w:color="auto" w:fill="1C4787"/>
          </w:tcPr>
          <w:p>
            <w:pPr>
              <w:spacing w:after="0"/>
              <w:rPr>
                <w:sz w:val="13"/>
                <w:szCs w:val="13"/>
                <w:color w:val="auto"/>
              </w:rPr>
            </w:pPr>
          </w:p>
        </w:tc>
        <w:tc>
          <w:tcPr>
            <w:tcW w:w="940" w:type="dxa"/>
            <w:vAlign w:val="bottom"/>
            <w:tcBorders>
              <w:bottom w:val="single" w:sz="8" w:color="1C4787"/>
            </w:tcBorders>
            <w:vMerge w:val="continue"/>
            <w:shd w:val="clear" w:color="auto" w:fill="1C4787"/>
          </w:tcPr>
          <w:p>
            <w:pPr>
              <w:spacing w:after="0"/>
              <w:rPr>
                <w:sz w:val="13"/>
                <w:szCs w:val="13"/>
                <w:color w:val="auto"/>
              </w:rPr>
            </w:pPr>
          </w:p>
        </w:tc>
        <w:tc>
          <w:tcPr>
            <w:tcW w:w="940" w:type="dxa"/>
            <w:vAlign w:val="bottom"/>
            <w:tcBorders>
              <w:bottom w:val="single" w:sz="8" w:color="1C4787"/>
            </w:tcBorders>
            <w:shd w:val="clear" w:color="auto" w:fill="1C4787"/>
          </w:tcPr>
          <w:p>
            <w:pPr>
              <w:jc w:val="right"/>
              <w:ind w:right="48"/>
              <w:spacing w:after="0" w:line="151" w:lineRule="exact"/>
              <w:rPr>
                <w:sz w:val="20"/>
                <w:szCs w:val="20"/>
                <w:color w:val="auto"/>
              </w:rPr>
            </w:pPr>
            <w:r>
              <w:rPr>
                <w:rFonts w:ascii="Arial" w:cs="Arial" w:eastAsia="Arial" w:hAnsi="Arial"/>
                <w:sz w:val="14"/>
                <w:szCs w:val="14"/>
                <w:b w:val="1"/>
                <w:bCs w:val="1"/>
                <w:color w:val="FFFFFF"/>
              </w:rPr>
              <w:t>millions)</w:t>
            </w:r>
          </w:p>
        </w:tc>
        <w:tc>
          <w:tcPr>
            <w:tcW w:w="780" w:type="dxa"/>
            <w:vAlign w:val="bottom"/>
            <w:tcBorders>
              <w:bottom w:val="single" w:sz="8" w:color="1C4787"/>
            </w:tcBorders>
            <w:vMerge w:val="continue"/>
            <w:shd w:val="clear" w:color="auto" w:fill="1C478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200" w:type="dxa"/>
            <w:vAlign w:val="bottom"/>
          </w:tcPr>
          <w:p>
            <w:pPr>
              <w:ind w:left="60"/>
              <w:spacing w:after="0"/>
              <w:rPr>
                <w:sz w:val="20"/>
                <w:szCs w:val="20"/>
                <w:color w:val="auto"/>
              </w:rPr>
            </w:pPr>
            <w:r>
              <w:rPr>
                <w:rFonts w:ascii="Arial" w:cs="Arial" w:eastAsia="Arial" w:hAnsi="Arial"/>
                <w:sz w:val="14"/>
                <w:szCs w:val="14"/>
                <w:b w:val="1"/>
                <w:bCs w:val="1"/>
                <w:color w:val="auto"/>
              </w:rPr>
              <w:t>Agency CMBS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1,302</w:t>
            </w:r>
          </w:p>
        </w:tc>
        <w:tc>
          <w:tcPr>
            <w:tcW w:w="780" w:type="dxa"/>
            <w:vAlign w:val="bottom"/>
          </w:tcPr>
          <w:p>
            <w:pPr>
              <w:jc w:val="right"/>
              <w:spacing w:after="0"/>
              <w:rPr>
                <w:sz w:val="20"/>
                <w:szCs w:val="20"/>
                <w:color w:val="auto"/>
              </w:rPr>
            </w:pPr>
            <w:r>
              <w:rPr>
                <w:rFonts w:ascii="Arial" w:cs="Arial" w:eastAsia="Arial" w:hAnsi="Arial"/>
                <w:sz w:val="14"/>
                <w:szCs w:val="14"/>
                <w:color w:val="auto"/>
              </w:rPr>
              <w:t>5.87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200" w:type="dxa"/>
            <w:vAlign w:val="bottom"/>
            <w:tcBorders>
              <w:left w:val="single" w:sz="8" w:color="E6F2FF"/>
            </w:tcBorders>
            <w:shd w:val="clear" w:color="auto" w:fill="E6F2FF"/>
          </w:tcPr>
          <w:p>
            <w:pPr>
              <w:ind w:left="60"/>
              <w:spacing w:after="0"/>
              <w:rPr>
                <w:sz w:val="20"/>
                <w:szCs w:val="20"/>
                <w:color w:val="auto"/>
              </w:rPr>
            </w:pPr>
            <w:r>
              <w:rPr>
                <w:rFonts w:ascii="Arial" w:cs="Arial" w:eastAsia="Arial" w:hAnsi="Arial"/>
                <w:sz w:val="14"/>
                <w:szCs w:val="14"/>
                <w:b w:val="1"/>
                <w:bCs w:val="1"/>
                <w:color w:val="auto"/>
              </w:rPr>
              <w:t>30 Year Fixed Rate Pools</w:t>
            </w:r>
          </w:p>
        </w:tc>
        <w:tc>
          <w:tcPr>
            <w:tcW w:w="940" w:type="dxa"/>
            <w:vAlign w:val="bottom"/>
            <w:shd w:val="clear" w:color="auto" w:fill="E6F2FF"/>
          </w:tcPr>
          <w:p>
            <w:pPr>
              <w:jc w:val="right"/>
              <w:ind w:right="28"/>
              <w:spacing w:after="0"/>
              <w:rPr>
                <w:sz w:val="20"/>
                <w:szCs w:val="20"/>
                <w:color w:val="auto"/>
              </w:rPr>
            </w:pPr>
            <w:r>
              <w:rPr>
                <w:rFonts w:ascii="Arial" w:cs="Arial" w:eastAsia="Arial" w:hAnsi="Arial"/>
                <w:sz w:val="14"/>
                <w:szCs w:val="14"/>
                <w:color w:val="auto"/>
              </w:rPr>
              <w:t>87.9 %</w:t>
            </w:r>
          </w:p>
        </w:tc>
        <w:tc>
          <w:tcPr>
            <w:tcW w:w="940" w:type="dxa"/>
            <w:vAlign w:val="bottom"/>
            <w:shd w:val="clear" w:color="auto" w:fill="E6F2FF"/>
          </w:tcPr>
          <w:p>
            <w:pPr>
              <w:jc w:val="right"/>
              <w:ind w:right="48"/>
              <w:spacing w:after="0"/>
              <w:rPr>
                <w:sz w:val="20"/>
                <w:szCs w:val="20"/>
                <w:color w:val="auto"/>
              </w:rPr>
            </w:pPr>
            <w:r>
              <w:rPr>
                <w:rFonts w:ascii="Arial" w:cs="Arial" w:eastAsia="Arial" w:hAnsi="Arial"/>
                <w:sz w:val="14"/>
                <w:szCs w:val="14"/>
                <w:color w:val="auto"/>
              </w:rPr>
              <w:t>19,516</w:t>
            </w:r>
          </w:p>
        </w:tc>
        <w:tc>
          <w:tcPr>
            <w:tcW w:w="780" w:type="dxa"/>
            <w:vAlign w:val="bottom"/>
            <w:shd w:val="clear" w:color="auto" w:fill="E6F2FF"/>
          </w:tcPr>
          <w:p>
            <w:pPr>
              <w:jc w:val="right"/>
              <w:spacing w:after="0"/>
              <w:rPr>
                <w:sz w:val="20"/>
                <w:szCs w:val="20"/>
                <w:color w:val="auto"/>
              </w:rPr>
            </w:pPr>
            <w:r>
              <w:rPr>
                <w:rFonts w:ascii="Arial" w:cs="Arial" w:eastAsia="Arial" w:hAnsi="Arial"/>
                <w:sz w:val="14"/>
                <w:szCs w:val="14"/>
                <w:color w:val="auto"/>
              </w:rPr>
              <w:t>4.23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0" w:type="dxa"/>
            <w:vAlign w:val="bottom"/>
          </w:tcPr>
          <w:p>
            <w:pPr>
              <w:ind w:left="160"/>
              <w:spacing w:after="0"/>
              <w:rPr>
                <w:sz w:val="20"/>
                <w:szCs w:val="20"/>
                <w:color w:val="auto"/>
              </w:rPr>
            </w:pPr>
            <w:r>
              <w:rPr>
                <w:rFonts w:ascii="Arial" w:cs="Arial" w:eastAsia="Arial" w:hAnsi="Arial"/>
                <w:sz w:val="14"/>
                <w:szCs w:val="14"/>
                <w:b w:val="1"/>
                <w:bCs w:val="1"/>
                <w:color w:val="auto"/>
              </w:rPr>
              <w:t>Conventionals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85.5 %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18,969</w:t>
            </w:r>
          </w:p>
        </w:tc>
        <w:tc>
          <w:tcPr>
            <w:tcW w:w="780" w:type="dxa"/>
            <w:vAlign w:val="bottom"/>
          </w:tcPr>
          <w:p>
            <w:pPr>
              <w:jc w:val="right"/>
              <w:spacing w:after="0"/>
              <w:rPr>
                <w:sz w:val="20"/>
                <w:szCs w:val="20"/>
                <w:color w:val="auto"/>
              </w:rPr>
            </w:pPr>
            <w:r>
              <w:rPr>
                <w:rFonts w:ascii="Arial" w:cs="Arial" w:eastAsia="Arial" w:hAnsi="Arial"/>
                <w:sz w:val="14"/>
                <w:szCs w:val="14"/>
                <w:color w:val="auto"/>
              </w:rPr>
              <w:t>4.23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2.0s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780" w:type="dxa"/>
            <w:vAlign w:val="bottom"/>
          </w:tcPr>
          <w:p>
            <w:pPr>
              <w:jc w:val="right"/>
              <w:spacing w:after="0"/>
              <w:rPr>
                <w:sz w:val="20"/>
                <w:szCs w:val="20"/>
                <w:color w:val="auto"/>
              </w:rPr>
            </w:pPr>
            <w:r>
              <w:rPr>
                <w:rFonts w:ascii="Arial" w:cs="Arial" w:eastAsia="Arial" w:hAnsi="Arial"/>
                <w:sz w:val="14"/>
                <w:szCs w:val="14"/>
                <w:color w:val="auto"/>
              </w:rPr>
              <w:t>7.51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2.5s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780" w:type="dxa"/>
            <w:vAlign w:val="bottom"/>
          </w:tcPr>
          <w:p>
            <w:pPr>
              <w:jc w:val="right"/>
              <w:spacing w:after="0"/>
              <w:rPr>
                <w:sz w:val="20"/>
                <w:szCs w:val="20"/>
                <w:color w:val="auto"/>
              </w:rPr>
            </w:pPr>
            <w:r>
              <w:rPr>
                <w:rFonts w:ascii="Arial" w:cs="Arial" w:eastAsia="Arial" w:hAnsi="Arial"/>
                <w:sz w:val="14"/>
                <w:szCs w:val="14"/>
                <w:color w:val="auto"/>
              </w:rPr>
              <w:t>7.76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3.0s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669</w:t>
            </w:r>
          </w:p>
        </w:tc>
        <w:tc>
          <w:tcPr>
            <w:tcW w:w="780" w:type="dxa"/>
            <w:vAlign w:val="bottom"/>
          </w:tcPr>
          <w:p>
            <w:pPr>
              <w:jc w:val="right"/>
              <w:spacing w:after="0"/>
              <w:rPr>
                <w:sz w:val="20"/>
                <w:szCs w:val="20"/>
                <w:color w:val="auto"/>
              </w:rPr>
            </w:pPr>
            <w:r>
              <w:rPr>
                <w:rFonts w:ascii="Arial" w:cs="Arial" w:eastAsia="Arial" w:hAnsi="Arial"/>
                <w:sz w:val="14"/>
                <w:szCs w:val="14"/>
                <w:color w:val="auto"/>
              </w:rPr>
              <w:t>7.33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3.5s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1,069</w:t>
            </w:r>
          </w:p>
        </w:tc>
        <w:tc>
          <w:tcPr>
            <w:tcW w:w="780" w:type="dxa"/>
            <w:vAlign w:val="bottom"/>
          </w:tcPr>
          <w:p>
            <w:pPr>
              <w:jc w:val="right"/>
              <w:spacing w:after="0"/>
              <w:rPr>
                <w:sz w:val="20"/>
                <w:szCs w:val="20"/>
                <w:color w:val="auto"/>
              </w:rPr>
            </w:pPr>
            <w:r>
              <w:rPr>
                <w:rFonts w:ascii="Arial" w:cs="Arial" w:eastAsia="Arial" w:hAnsi="Arial"/>
                <w:sz w:val="14"/>
                <w:szCs w:val="14"/>
                <w:color w:val="auto"/>
              </w:rPr>
              <w:t>6.58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4.0s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964</w:t>
            </w:r>
          </w:p>
        </w:tc>
        <w:tc>
          <w:tcPr>
            <w:tcW w:w="780" w:type="dxa"/>
            <w:vAlign w:val="bottom"/>
          </w:tcPr>
          <w:p>
            <w:pPr>
              <w:jc w:val="right"/>
              <w:spacing w:after="0"/>
              <w:rPr>
                <w:sz w:val="20"/>
                <w:szCs w:val="20"/>
                <w:color w:val="auto"/>
              </w:rPr>
            </w:pPr>
            <w:r>
              <w:rPr>
                <w:rFonts w:ascii="Arial" w:cs="Arial" w:eastAsia="Arial" w:hAnsi="Arial"/>
                <w:sz w:val="14"/>
                <w:szCs w:val="14"/>
                <w:color w:val="auto"/>
              </w:rPr>
              <w:t>5.87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4.5s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1,916</w:t>
            </w:r>
          </w:p>
        </w:tc>
        <w:tc>
          <w:tcPr>
            <w:tcW w:w="780" w:type="dxa"/>
            <w:vAlign w:val="bottom"/>
          </w:tcPr>
          <w:p>
            <w:pPr>
              <w:jc w:val="right"/>
              <w:spacing w:after="0"/>
              <w:rPr>
                <w:sz w:val="20"/>
                <w:szCs w:val="20"/>
                <w:color w:val="auto"/>
              </w:rPr>
            </w:pPr>
            <w:r>
              <w:rPr>
                <w:rFonts w:ascii="Arial" w:cs="Arial" w:eastAsia="Arial" w:hAnsi="Arial"/>
                <w:sz w:val="14"/>
                <w:szCs w:val="14"/>
                <w:color w:val="auto"/>
              </w:rPr>
              <w:t>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5.0s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18.6 %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4,140</w:t>
            </w:r>
          </w:p>
        </w:tc>
        <w:tc>
          <w:tcPr>
            <w:tcW w:w="780" w:type="dxa"/>
            <w:vAlign w:val="bottom"/>
          </w:tcPr>
          <w:p>
            <w:pPr>
              <w:jc w:val="right"/>
              <w:spacing w:after="0"/>
              <w:rPr>
                <w:sz w:val="20"/>
                <w:szCs w:val="20"/>
                <w:color w:val="auto"/>
              </w:rPr>
            </w:pPr>
            <w:r>
              <w:rPr>
                <w:rFonts w:ascii="Arial" w:cs="Arial" w:eastAsia="Arial" w:hAnsi="Arial"/>
                <w:sz w:val="14"/>
                <w:szCs w:val="14"/>
                <w:color w:val="auto"/>
              </w:rPr>
              <w:t>4.79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5.5s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25.6 %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5,686</w:t>
            </w:r>
          </w:p>
        </w:tc>
        <w:tc>
          <w:tcPr>
            <w:tcW w:w="780" w:type="dxa"/>
            <w:vAlign w:val="bottom"/>
          </w:tcPr>
          <w:p>
            <w:pPr>
              <w:jc w:val="right"/>
              <w:spacing w:after="0"/>
              <w:rPr>
                <w:sz w:val="20"/>
                <w:szCs w:val="20"/>
                <w:color w:val="auto"/>
              </w:rPr>
            </w:pPr>
            <w:r>
              <w:rPr>
                <w:rFonts w:ascii="Arial" w:cs="Arial" w:eastAsia="Arial" w:hAnsi="Arial"/>
                <w:sz w:val="14"/>
                <w:szCs w:val="14"/>
                <w:color w:val="auto"/>
              </w:rPr>
              <w:t>3.45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6.0s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16.2 %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3,597</w:t>
            </w:r>
          </w:p>
        </w:tc>
        <w:tc>
          <w:tcPr>
            <w:tcW w:w="780" w:type="dxa"/>
            <w:vAlign w:val="bottom"/>
          </w:tcPr>
          <w:p>
            <w:pPr>
              <w:jc w:val="right"/>
              <w:spacing w:after="0"/>
              <w:rPr>
                <w:sz w:val="20"/>
                <w:szCs w:val="20"/>
                <w:color w:val="auto"/>
              </w:rPr>
            </w:pPr>
            <w:r>
              <w:rPr>
                <w:rFonts w:ascii="Arial" w:cs="Arial" w:eastAsia="Arial" w:hAnsi="Arial"/>
                <w:sz w:val="14"/>
                <w:szCs w:val="14"/>
                <w:color w:val="auto"/>
              </w:rPr>
              <w:t>2.28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6.5s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780" w:type="dxa"/>
            <w:vAlign w:val="bottom"/>
          </w:tcPr>
          <w:p>
            <w:pPr>
              <w:jc w:val="right"/>
              <w:spacing w:after="0"/>
              <w:rPr>
                <w:sz w:val="20"/>
                <w:szCs w:val="20"/>
                <w:color w:val="auto"/>
              </w:rPr>
            </w:pPr>
            <w:r>
              <w:rPr>
                <w:rFonts w:ascii="Arial" w:cs="Arial" w:eastAsia="Arial" w:hAnsi="Arial"/>
                <w:sz w:val="14"/>
                <w:szCs w:val="14"/>
                <w:color w:val="auto"/>
              </w:rPr>
              <w:t>1.30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0" w:type="dxa"/>
            <w:vAlign w:val="bottom"/>
          </w:tcPr>
          <w:p>
            <w:pPr>
              <w:jc w:val="center"/>
              <w:ind w:right="1028"/>
              <w:spacing w:after="0"/>
              <w:rPr>
                <w:sz w:val="20"/>
                <w:szCs w:val="20"/>
                <w:color w:val="auto"/>
              </w:rPr>
            </w:pPr>
            <w:r>
              <w:rPr>
                <w:rFonts w:ascii="Arial" w:cs="Arial" w:eastAsia="Arial" w:hAnsi="Arial"/>
                <w:sz w:val="14"/>
                <w:szCs w:val="14"/>
                <w:b w:val="1"/>
                <w:bCs w:val="1"/>
                <w:color w:val="auto"/>
              </w:rPr>
              <w:t>Ginnie Mae</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547</w:t>
            </w:r>
          </w:p>
        </w:tc>
        <w:tc>
          <w:tcPr>
            <w:tcW w:w="780" w:type="dxa"/>
            <w:vAlign w:val="bottom"/>
          </w:tcPr>
          <w:p>
            <w:pPr>
              <w:jc w:val="right"/>
              <w:spacing w:after="0"/>
              <w:rPr>
                <w:sz w:val="20"/>
                <w:szCs w:val="20"/>
                <w:color w:val="auto"/>
              </w:rPr>
            </w:pPr>
            <w:r>
              <w:rPr>
                <w:rFonts w:ascii="Arial" w:cs="Arial" w:eastAsia="Arial" w:hAnsi="Arial"/>
                <w:sz w:val="14"/>
                <w:szCs w:val="14"/>
                <w:color w:val="auto"/>
              </w:rPr>
              <w:t>4.09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5.0s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0.8 %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780" w:type="dxa"/>
            <w:vAlign w:val="bottom"/>
          </w:tcPr>
          <w:p>
            <w:pPr>
              <w:jc w:val="right"/>
              <w:spacing w:after="0"/>
              <w:rPr>
                <w:sz w:val="20"/>
                <w:szCs w:val="20"/>
                <w:color w:val="auto"/>
              </w:rPr>
            </w:pPr>
            <w:r>
              <w:rPr>
                <w:rFonts w:ascii="Arial" w:cs="Arial" w:eastAsia="Arial" w:hAnsi="Arial"/>
                <w:sz w:val="14"/>
                <w:szCs w:val="14"/>
                <w:color w:val="auto"/>
              </w:rPr>
              <w:t>5.57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0" w:type="dxa"/>
            <w:vAlign w:val="bottom"/>
          </w:tcPr>
          <w:p>
            <w:pPr>
              <w:jc w:val="center"/>
              <w:ind w:right="1008"/>
              <w:spacing w:after="0"/>
              <w:rPr>
                <w:sz w:val="20"/>
                <w:szCs w:val="20"/>
                <w:color w:val="auto"/>
              </w:rPr>
            </w:pPr>
            <w:r>
              <w:rPr>
                <w:rFonts w:ascii="Arial" w:cs="Arial" w:eastAsia="Arial" w:hAnsi="Arial"/>
                <w:sz w:val="14"/>
                <w:szCs w:val="14"/>
                <w:b w:val="1"/>
                <w:bCs w:val="1"/>
                <w:color w:val="auto"/>
              </w:rPr>
              <w:t>30y 5.5s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371</w:t>
            </w:r>
          </w:p>
        </w:tc>
        <w:tc>
          <w:tcPr>
            <w:tcW w:w="780" w:type="dxa"/>
            <w:vAlign w:val="bottom"/>
          </w:tcPr>
          <w:p>
            <w:pPr>
              <w:jc w:val="right"/>
              <w:spacing w:after="0"/>
              <w:rPr>
                <w:sz w:val="20"/>
                <w:szCs w:val="20"/>
                <w:color w:val="auto"/>
              </w:rPr>
            </w:pPr>
            <w:r>
              <w:rPr>
                <w:rFonts w:ascii="Arial" w:cs="Arial" w:eastAsia="Arial" w:hAnsi="Arial"/>
                <w:sz w:val="14"/>
                <w:szCs w:val="14"/>
                <w:color w:val="auto"/>
              </w:rPr>
              <w:t>3.39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0" w:type="dxa"/>
            <w:vAlign w:val="bottom"/>
            <w:tcBorders>
              <w:left w:val="single" w:sz="8" w:color="DBDBDB"/>
            </w:tcBorders>
            <w:shd w:val="clear" w:color="auto" w:fill="DBDBDB"/>
          </w:tcPr>
          <w:p>
            <w:pPr>
              <w:ind w:left="60"/>
              <w:spacing w:after="0"/>
              <w:rPr>
                <w:sz w:val="20"/>
                <w:szCs w:val="20"/>
                <w:color w:val="auto"/>
              </w:rPr>
            </w:pPr>
            <w:r>
              <w:rPr>
                <w:rFonts w:ascii="Arial" w:cs="Arial" w:eastAsia="Arial" w:hAnsi="Arial"/>
                <w:sz w:val="14"/>
                <w:szCs w:val="14"/>
                <w:b w:val="1"/>
                <w:bCs w:val="1"/>
                <w:color w:val="auto"/>
              </w:rPr>
              <w:t>Agency Portfolio</w:t>
            </w:r>
          </w:p>
        </w:tc>
        <w:tc>
          <w:tcPr>
            <w:tcW w:w="940" w:type="dxa"/>
            <w:vAlign w:val="bottom"/>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93.8 %</w:t>
            </w:r>
          </w:p>
        </w:tc>
        <w:tc>
          <w:tcPr>
            <w:tcW w:w="940" w:type="dxa"/>
            <w:vAlign w:val="bottom"/>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20,818</w:t>
            </w:r>
          </w:p>
        </w:tc>
        <w:tc>
          <w:tcPr>
            <w:tcW w:w="780" w:type="dxa"/>
            <w:vAlign w:val="bottom"/>
            <w:shd w:val="clear" w:color="auto" w:fill="DBDBDB"/>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200" w:type="dxa"/>
            <w:vAlign w:val="bottom"/>
          </w:tcPr>
          <w:p>
            <w:pPr>
              <w:ind w:left="60"/>
              <w:spacing w:after="0"/>
              <w:rPr>
                <w:sz w:val="20"/>
                <w:szCs w:val="20"/>
                <w:color w:val="auto"/>
              </w:rPr>
            </w:pPr>
            <w:r>
              <w:rPr>
                <w:rFonts w:ascii="Arial" w:cs="Arial" w:eastAsia="Arial" w:hAnsi="Arial"/>
                <w:sz w:val="14"/>
                <w:szCs w:val="14"/>
                <w:b w:val="1"/>
                <w:bCs w:val="1"/>
                <w:color w:val="auto"/>
              </w:rPr>
              <w:t>FN 15y 4.5s TBAs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0.9 %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780" w:type="dxa"/>
            <w:vAlign w:val="bottom"/>
          </w:tcPr>
          <w:p>
            <w:pPr>
              <w:jc w:val="right"/>
              <w:spacing w:after="0"/>
              <w:rPr>
                <w:sz w:val="20"/>
                <w:szCs w:val="20"/>
                <w:color w:val="auto"/>
              </w:rPr>
            </w:pPr>
            <w:r>
              <w:rPr>
                <w:rFonts w:ascii="Arial" w:cs="Arial" w:eastAsia="Arial" w:hAnsi="Arial"/>
                <w:sz w:val="14"/>
                <w:szCs w:val="14"/>
                <w:color w:val="auto"/>
              </w:rPr>
              <w:t>3.80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0" w:type="dxa"/>
            <w:vAlign w:val="bottom"/>
          </w:tcPr>
          <w:p>
            <w:pPr>
              <w:ind w:left="60"/>
              <w:spacing w:after="0"/>
              <w:rPr>
                <w:sz w:val="20"/>
                <w:szCs w:val="20"/>
                <w:color w:val="auto"/>
              </w:rPr>
            </w:pPr>
            <w:r>
              <w:rPr>
                <w:rFonts w:ascii="Arial" w:cs="Arial" w:eastAsia="Arial" w:hAnsi="Arial"/>
                <w:sz w:val="14"/>
                <w:szCs w:val="14"/>
                <w:b w:val="1"/>
                <w:bCs w:val="1"/>
                <w:color w:val="auto"/>
              </w:rPr>
              <w:t>FN 30y 5.5 TBAs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0.9 %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780" w:type="dxa"/>
            <w:vAlign w:val="bottom"/>
          </w:tcPr>
          <w:p>
            <w:pPr>
              <w:jc w:val="right"/>
              <w:spacing w:after="0"/>
              <w:rPr>
                <w:sz w:val="20"/>
                <w:szCs w:val="20"/>
                <w:color w:val="auto"/>
              </w:rPr>
            </w:pPr>
            <w:r>
              <w:rPr>
                <w:rFonts w:ascii="Arial" w:cs="Arial" w:eastAsia="Arial" w:hAnsi="Arial"/>
                <w:sz w:val="14"/>
                <w:szCs w:val="14"/>
                <w:color w:val="auto"/>
              </w:rPr>
              <w:t>3.60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200" w:type="dxa"/>
            <w:vAlign w:val="bottom"/>
            <w:tcBorders>
              <w:left w:val="single" w:sz="8" w:color="DBDBDB"/>
            </w:tcBorders>
            <w:shd w:val="clear" w:color="auto" w:fill="DBDBDB"/>
          </w:tcPr>
          <w:p>
            <w:pPr>
              <w:ind w:left="60"/>
              <w:spacing w:after="0"/>
              <w:rPr>
                <w:sz w:val="20"/>
                <w:szCs w:val="20"/>
                <w:color w:val="auto"/>
              </w:rPr>
            </w:pPr>
            <w:r>
              <w:rPr>
                <w:rFonts w:ascii="Arial" w:cs="Arial" w:eastAsia="Arial" w:hAnsi="Arial"/>
                <w:sz w:val="14"/>
                <w:szCs w:val="14"/>
                <w:b w:val="1"/>
                <w:bCs w:val="1"/>
                <w:color w:val="auto"/>
              </w:rPr>
              <w:t>Net TBA Positions</w:t>
            </w:r>
          </w:p>
        </w:tc>
        <w:tc>
          <w:tcPr>
            <w:tcW w:w="94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1.8 %</w:t>
            </w:r>
          </w:p>
        </w:tc>
        <w:tc>
          <w:tcPr>
            <w:tcW w:w="94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399</w:t>
            </w:r>
          </w:p>
        </w:tc>
        <w:tc>
          <w:tcPr>
            <w:tcW w:w="780" w:type="dxa"/>
            <w:vAlign w:val="bottom"/>
            <w:shd w:val="clear" w:color="auto" w:fill="DBDBDB"/>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200" w:type="dxa"/>
            <w:vAlign w:val="bottom"/>
          </w:tcPr>
          <w:p>
            <w:pPr>
              <w:ind w:left="60"/>
              <w:spacing w:after="0"/>
              <w:rPr>
                <w:sz w:val="20"/>
                <w:szCs w:val="20"/>
                <w:color w:val="auto"/>
              </w:rPr>
            </w:pPr>
            <w:r>
              <w:rPr>
                <w:rFonts w:ascii="Arial" w:cs="Arial" w:eastAsia="Arial" w:hAnsi="Arial"/>
                <w:sz w:val="14"/>
                <w:szCs w:val="14"/>
                <w:b w:val="1"/>
                <w:bCs w:val="1"/>
                <w:color w:val="auto"/>
              </w:rPr>
              <w:t>5Y US Treasury Longs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4.4 %</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982</w:t>
            </w:r>
          </w:p>
        </w:tc>
        <w:tc>
          <w:tcPr>
            <w:tcW w:w="780" w:type="dxa"/>
            <w:vAlign w:val="bottom"/>
          </w:tcPr>
          <w:p>
            <w:pPr>
              <w:jc w:val="right"/>
              <w:spacing w:after="0"/>
              <w:rPr>
                <w:sz w:val="20"/>
                <w:szCs w:val="20"/>
                <w:color w:val="auto"/>
              </w:rPr>
            </w:pPr>
            <w:r>
              <w:rPr>
                <w:rFonts w:ascii="Arial" w:cs="Arial" w:eastAsia="Arial" w:hAnsi="Arial"/>
                <w:sz w:val="14"/>
                <w:szCs w:val="14"/>
                <w:color w:val="auto"/>
              </w:rPr>
              <w:t>4.10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0" w:type="dxa"/>
            <w:vAlign w:val="bottom"/>
            <w:tcBorders>
              <w:left w:val="single" w:sz="8" w:color="DBDBDB"/>
              <w:bottom w:val="single" w:sz="8" w:color="40AEFF"/>
            </w:tcBorders>
            <w:shd w:val="clear" w:color="auto" w:fill="DBDBDB"/>
          </w:tcPr>
          <w:p>
            <w:pPr>
              <w:ind w:left="60"/>
              <w:spacing w:after="0"/>
              <w:rPr>
                <w:sz w:val="20"/>
                <w:szCs w:val="20"/>
                <w:color w:val="auto"/>
              </w:rPr>
            </w:pPr>
            <w:r>
              <w:rPr>
                <w:rFonts w:ascii="Arial" w:cs="Arial" w:eastAsia="Arial" w:hAnsi="Arial"/>
                <w:sz w:val="14"/>
                <w:szCs w:val="14"/>
                <w:b w:val="1"/>
                <w:bCs w:val="1"/>
                <w:color w:val="auto"/>
              </w:rPr>
              <w:t>US Treasury Long Positions</w:t>
            </w:r>
          </w:p>
        </w:tc>
        <w:tc>
          <w:tcPr>
            <w:tcW w:w="940" w:type="dxa"/>
            <w:vAlign w:val="bottom"/>
            <w:tcBorders>
              <w:bottom w:val="single" w:sz="8" w:color="40AEFF"/>
            </w:tcBorders>
            <w:shd w:val="clear" w:color="auto" w:fill="DBDBDB"/>
          </w:tcPr>
          <w:p>
            <w:pPr>
              <w:jc w:val="right"/>
              <w:ind w:right="28"/>
              <w:spacing w:after="0"/>
              <w:rPr>
                <w:sz w:val="20"/>
                <w:szCs w:val="20"/>
                <w:color w:val="auto"/>
              </w:rPr>
            </w:pPr>
            <w:r>
              <w:rPr>
                <w:rFonts w:ascii="Arial" w:cs="Arial" w:eastAsia="Arial" w:hAnsi="Arial"/>
                <w:sz w:val="14"/>
                <w:szCs w:val="14"/>
                <w:color w:val="auto"/>
              </w:rPr>
              <w:t>4.4 %</w:t>
            </w:r>
          </w:p>
        </w:tc>
        <w:tc>
          <w:tcPr>
            <w:tcW w:w="940" w:type="dxa"/>
            <w:vAlign w:val="bottom"/>
            <w:tcBorders>
              <w:bottom w:val="single" w:sz="8" w:color="40AEFF"/>
            </w:tcBorders>
            <w:shd w:val="clear" w:color="auto" w:fill="DBDBDB"/>
          </w:tcPr>
          <w:p>
            <w:pPr>
              <w:jc w:val="right"/>
              <w:ind w:right="48"/>
              <w:spacing w:after="0"/>
              <w:rPr>
                <w:sz w:val="20"/>
                <w:szCs w:val="20"/>
                <w:color w:val="auto"/>
              </w:rPr>
            </w:pPr>
            <w:r>
              <w:rPr>
                <w:rFonts w:ascii="Arial" w:cs="Arial" w:eastAsia="Arial" w:hAnsi="Arial"/>
                <w:sz w:val="14"/>
                <w:szCs w:val="14"/>
                <w:color w:val="auto"/>
              </w:rPr>
              <w:t>982</w:t>
            </w:r>
          </w:p>
        </w:tc>
        <w:tc>
          <w:tcPr>
            <w:tcW w:w="780" w:type="dxa"/>
            <w:vAlign w:val="bottom"/>
            <w:tcBorders>
              <w:bottom w:val="single" w:sz="8" w:color="40AEFF"/>
            </w:tcBorders>
            <w:shd w:val="clear" w:color="auto" w:fill="DBDBDB"/>
          </w:tcPr>
          <w:p>
            <w:pPr>
              <w:spacing w:after="0"/>
              <w:rPr>
                <w:sz w:val="24"/>
                <w:szCs w:val="24"/>
                <w:color w:val="auto"/>
              </w:rPr>
            </w:pPr>
          </w:p>
        </w:tc>
        <w:tc>
          <w:tcPr>
            <w:tcW w:w="20" w:type="dxa"/>
            <w:vAlign w:val="bottom"/>
            <w:tcBorders>
              <w:bottom w:val="single" w:sz="8" w:color="40AEFF"/>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200" w:type="dxa"/>
            <w:vAlign w:val="bottom"/>
            <w:tcBorders>
              <w:left w:val="single" w:sz="8" w:color="40AEFF"/>
            </w:tcBorders>
          </w:tcPr>
          <w:p>
            <w:pPr>
              <w:jc w:val="center"/>
              <w:ind w:right="1008"/>
              <w:spacing w:after="0"/>
              <w:rPr>
                <w:sz w:val="20"/>
                <w:szCs w:val="20"/>
                <w:color w:val="auto"/>
              </w:rPr>
            </w:pPr>
            <w:r>
              <w:rPr>
                <w:rFonts w:ascii="Arial" w:cs="Arial" w:eastAsia="Arial" w:hAnsi="Arial"/>
                <w:sz w:val="14"/>
                <w:szCs w:val="14"/>
                <w:b w:val="1"/>
                <w:bCs w:val="1"/>
                <w:color w:val="auto"/>
              </w:rPr>
              <w:t>Total Portfolio</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100.0 %</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22,198</w:t>
            </w:r>
          </w:p>
        </w:tc>
        <w:tc>
          <w:tcPr>
            <w:tcW w:w="780" w:type="dxa"/>
            <w:vAlign w:val="bottom"/>
          </w:tcPr>
          <w:p>
            <w:pPr>
              <w:spacing w:after="0"/>
              <w:rPr>
                <w:sz w:val="20"/>
                <w:szCs w:val="20"/>
                <w:color w:val="auto"/>
              </w:rPr>
            </w:pPr>
          </w:p>
        </w:tc>
        <w:tc>
          <w:tcPr>
            <w:tcW w:w="20" w:type="dxa"/>
            <w:vAlign w:val="bottom"/>
            <w:shd w:val="clear" w:color="auto" w:fill="40AEFF"/>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2200" w:type="dxa"/>
            <w:vAlign w:val="bottom"/>
            <w:tcBorders>
              <w:left w:val="single" w:sz="8" w:color="40AEFF"/>
              <w:bottom w:val="single" w:sz="8" w:color="40AEFF"/>
            </w:tcBorders>
          </w:tcPr>
          <w:p>
            <w:pPr>
              <w:spacing w:after="0"/>
              <w:rPr>
                <w:sz w:val="4"/>
                <w:szCs w:val="4"/>
                <w:color w:val="auto"/>
              </w:rPr>
            </w:pPr>
          </w:p>
        </w:tc>
        <w:tc>
          <w:tcPr>
            <w:tcW w:w="940" w:type="dxa"/>
            <w:vAlign w:val="bottom"/>
            <w:tcBorders>
              <w:bottom w:val="single" w:sz="8" w:color="40AEFF"/>
            </w:tcBorders>
          </w:tcPr>
          <w:p>
            <w:pPr>
              <w:spacing w:after="0"/>
              <w:rPr>
                <w:sz w:val="4"/>
                <w:szCs w:val="4"/>
                <w:color w:val="auto"/>
              </w:rPr>
            </w:pPr>
          </w:p>
        </w:tc>
        <w:tc>
          <w:tcPr>
            <w:tcW w:w="940" w:type="dxa"/>
            <w:vAlign w:val="bottom"/>
            <w:tcBorders>
              <w:bottom w:val="single" w:sz="8" w:color="40AEFF"/>
            </w:tcBorders>
          </w:tcPr>
          <w:p>
            <w:pPr>
              <w:spacing w:after="0"/>
              <w:rPr>
                <w:sz w:val="4"/>
                <w:szCs w:val="4"/>
                <w:color w:val="auto"/>
              </w:rPr>
            </w:pPr>
          </w:p>
        </w:tc>
        <w:tc>
          <w:tcPr>
            <w:tcW w:w="780" w:type="dxa"/>
            <w:vAlign w:val="bottom"/>
            <w:tcBorders>
              <w:bottom w:val="single" w:sz="8" w:color="40AEFF"/>
            </w:tcBorders>
          </w:tcPr>
          <w:p>
            <w:pPr>
              <w:spacing w:after="0"/>
              <w:rPr>
                <w:sz w:val="4"/>
                <w:szCs w:val="4"/>
                <w:color w:val="auto"/>
              </w:rPr>
            </w:pPr>
          </w:p>
        </w:tc>
        <w:tc>
          <w:tcPr>
            <w:tcW w:w="20" w:type="dxa"/>
            <w:vAlign w:val="bottom"/>
            <w:tcBorders>
              <w:bottom w:val="single" w:sz="8" w:color="40AEFF"/>
            </w:tcBorders>
            <w:shd w:val="clear" w:color="auto" w:fill="40A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ARMOUR Key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Common Stock Price ($)</w:t>
            </w:r>
          </w:p>
        </w:tc>
        <w:tc>
          <w:tcPr>
            <w:tcW w:w="1360" w:type="dxa"/>
            <w:vAlign w:val="bottom"/>
          </w:tcPr>
          <w:p>
            <w:pPr>
              <w:jc w:val="right"/>
              <w:spacing w:after="0"/>
              <w:rPr>
                <w:sz w:val="20"/>
                <w:szCs w:val="20"/>
                <w:color w:val="auto"/>
              </w:rPr>
            </w:pPr>
            <w:r>
              <w:rPr>
                <w:rFonts w:ascii="Arial" w:cs="Arial" w:eastAsia="Arial" w:hAnsi="Arial"/>
                <w:sz w:val="14"/>
                <w:szCs w:val="14"/>
                <w:color w:val="auto"/>
              </w:rPr>
              <w:t>17.15</w:t>
            </w:r>
          </w:p>
        </w:tc>
      </w:tr>
      <w:tr>
        <w:trPr>
          <w:trHeight w:val="419"/>
        </w:trPr>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 xml:space="preserve">Debt-Equity </w:t>
            </w:r>
            <w:r>
              <w:rPr>
                <w:rFonts w:ascii="Arial" w:cs="Arial" w:eastAsia="Arial" w:hAnsi="Arial"/>
                <w:sz w:val="18"/>
                <w:szCs w:val="18"/>
                <w:b w:val="1"/>
                <w:bCs w:val="1"/>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365"/>
        </w:trPr>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 xml:space="preserve">Implied Leverage </w:t>
            </w:r>
            <w:r>
              <w:rPr>
                <w:rFonts w:ascii="Arial" w:cs="Arial" w:eastAsia="Arial" w:hAnsi="Arial"/>
                <w:sz w:val="18"/>
                <w:szCs w:val="18"/>
                <w:b w:val="1"/>
                <w:bCs w:val="1"/>
                <w:color w:val="auto"/>
                <w:vertAlign w:val="superscript"/>
              </w:rPr>
              <w:t>(2)</w:t>
            </w:r>
          </w:p>
        </w:tc>
        <w:tc>
          <w:tcPr>
            <w:tcW w:w="13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364"/>
        </w:trPr>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 xml:space="preserve">Liquidity </w:t>
            </w:r>
            <w:r>
              <w:rPr>
                <w:rFonts w:ascii="Arial" w:cs="Arial" w:eastAsia="Arial" w:hAnsi="Arial"/>
                <w:sz w:val="18"/>
                <w:szCs w:val="18"/>
                <w:b w:val="1"/>
                <w:bCs w:val="1"/>
                <w:color w:val="auto"/>
                <w:vertAlign w:val="superscript"/>
              </w:rPr>
              <w:t>(3)</w:t>
            </w:r>
            <w:r>
              <w:rPr>
                <w:rFonts w:ascii="Arial" w:cs="Arial" w:eastAsia="Arial" w:hAnsi="Arial"/>
                <w:sz w:val="14"/>
                <w:szCs w:val="14"/>
                <w:b w:val="1"/>
                <w:bCs w:val="1"/>
                <w:color w:val="auto"/>
              </w:rPr>
              <w:t xml:space="preserve"> (in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1,161.9</w:t>
            </w:r>
          </w:p>
        </w:tc>
      </w:tr>
      <w:tr>
        <w:trPr>
          <w:trHeight w:val="317"/>
        </w:trPr>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Liquidity as Percentage of Total Capital</w:t>
            </w:r>
          </w:p>
        </w:tc>
        <w:tc>
          <w:tcPr>
            <w:tcW w:w="1360" w:type="dxa"/>
            <w:vAlign w:val="bottom"/>
          </w:tcPr>
          <w:p>
            <w:pPr>
              <w:jc w:val="right"/>
              <w:spacing w:after="0"/>
              <w:rPr>
                <w:sz w:val="20"/>
                <w:szCs w:val="20"/>
                <w:color w:val="auto"/>
              </w:rPr>
            </w:pPr>
            <w:r>
              <w:rPr>
                <w:rFonts w:ascii="Arial" w:cs="Arial" w:eastAsia="Arial" w:hAnsi="Arial"/>
                <w:sz w:val="14"/>
                <w:szCs w:val="14"/>
                <w:color w:val="auto"/>
              </w:rPr>
              <w:t>46 %</w:t>
            </w:r>
          </w:p>
        </w:tc>
      </w:tr>
      <w:tr>
        <w:trPr>
          <w:trHeight w:val="357"/>
        </w:trPr>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Q1 2026 Market Cap (in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2,062.1</w:t>
            </w:r>
          </w:p>
        </w:tc>
      </w:tr>
      <w:tr>
        <w:trPr>
          <w:trHeight w:val="191"/>
        </w:trPr>
        <w:tc>
          <w:tcPr>
            <w:tcW w:w="35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09"/>
        </w:trPr>
        <w:tc>
          <w:tcPr>
            <w:tcW w:w="3500" w:type="dxa"/>
            <w:vAlign w:val="bottom"/>
            <w:shd w:val="clear" w:color="auto" w:fill="1D4886"/>
          </w:tcPr>
          <w:p>
            <w:pPr>
              <w:ind w:left="60"/>
              <w:spacing w:after="0"/>
              <w:rPr>
                <w:sz w:val="20"/>
                <w:szCs w:val="20"/>
                <w:color w:val="auto"/>
              </w:rPr>
            </w:pPr>
            <w:r>
              <w:rPr>
                <w:rFonts w:ascii="Arial" w:cs="Arial" w:eastAsia="Arial" w:hAnsi="Arial"/>
                <w:sz w:val="14"/>
                <w:szCs w:val="14"/>
                <w:b w:val="1"/>
                <w:bCs w:val="1"/>
                <w:color w:val="FFFFFF"/>
              </w:rPr>
              <w:t>Dividend Information</w:t>
            </w:r>
          </w:p>
        </w:tc>
        <w:tc>
          <w:tcPr>
            <w:tcW w:w="1360" w:type="dxa"/>
            <w:vAlign w:val="bottom"/>
            <w:shd w:val="clear" w:color="auto" w:fill="1D4886"/>
          </w:tcPr>
          <w:p>
            <w:pPr>
              <w:spacing w:after="0"/>
              <w:rPr>
                <w:sz w:val="24"/>
                <w:szCs w:val="24"/>
                <w:color w:val="auto"/>
              </w:rPr>
            </w:pPr>
          </w:p>
        </w:tc>
      </w:tr>
      <w:tr>
        <w:trPr>
          <w:trHeight w:val="137"/>
        </w:trPr>
        <w:tc>
          <w:tcPr>
            <w:tcW w:w="3500" w:type="dxa"/>
            <w:vAlign w:val="bottom"/>
            <w:shd w:val="clear" w:color="auto" w:fill="1D4886"/>
          </w:tcPr>
          <w:p>
            <w:pPr>
              <w:spacing w:after="0"/>
              <w:rPr>
                <w:sz w:val="11"/>
                <w:szCs w:val="11"/>
                <w:color w:val="auto"/>
              </w:rPr>
            </w:pPr>
          </w:p>
        </w:tc>
        <w:tc>
          <w:tcPr>
            <w:tcW w:w="1360" w:type="dxa"/>
            <w:vAlign w:val="bottom"/>
            <w:shd w:val="clear" w:color="auto" w:fill="1D4886"/>
          </w:tcPr>
          <w:p>
            <w:pPr>
              <w:spacing w:after="0"/>
              <w:rPr>
                <w:sz w:val="11"/>
                <w:szCs w:val="11"/>
                <w:color w:val="auto"/>
              </w:rPr>
            </w:pPr>
          </w:p>
        </w:tc>
      </w:tr>
      <w:tr>
        <w:trPr>
          <w:trHeight w:val="349"/>
        </w:trPr>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June 2026 Common Dividend</w:t>
            </w:r>
          </w:p>
        </w:tc>
        <w:tc>
          <w:tcPr>
            <w:tcW w:w="1360" w:type="dxa"/>
            <w:vAlign w:val="bottom"/>
          </w:tcPr>
          <w:p>
            <w:pPr>
              <w:jc w:val="right"/>
              <w:spacing w:after="0"/>
              <w:rPr>
                <w:sz w:val="20"/>
                <w:szCs w:val="20"/>
                <w:color w:val="auto"/>
              </w:rPr>
            </w:pPr>
            <w:r>
              <w:rPr>
                <w:rFonts w:ascii="Arial" w:cs="Arial" w:eastAsia="Arial" w:hAnsi="Arial"/>
                <w:sz w:val="14"/>
                <w:szCs w:val="14"/>
                <w:color w:val="auto"/>
              </w:rPr>
              <w:t>0.24</w:t>
            </w:r>
          </w:p>
        </w:tc>
      </w:tr>
      <w:tr>
        <w:trPr>
          <w:trHeight w:val="365"/>
        </w:trPr>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Common Ex-Dividend Date/Record Date</w:t>
            </w:r>
          </w:p>
        </w:tc>
        <w:tc>
          <w:tcPr>
            <w:tcW w:w="1360" w:type="dxa"/>
            <w:vAlign w:val="bottom"/>
          </w:tcPr>
          <w:p>
            <w:pPr>
              <w:jc w:val="right"/>
              <w:spacing w:after="0"/>
              <w:rPr>
                <w:sz w:val="20"/>
                <w:szCs w:val="20"/>
                <w:color w:val="auto"/>
              </w:rPr>
            </w:pPr>
            <w:r>
              <w:rPr>
                <w:rFonts w:ascii="Arial" w:cs="Arial" w:eastAsia="Arial" w:hAnsi="Arial"/>
                <w:sz w:val="14"/>
                <w:szCs w:val="14"/>
                <w:color w:val="auto"/>
              </w:rPr>
              <w:t>6/15/2026</w:t>
            </w:r>
          </w:p>
        </w:tc>
      </w:tr>
      <w:tr>
        <w:trPr>
          <w:trHeight w:val="364"/>
        </w:trPr>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Pay Date</w:t>
            </w:r>
          </w:p>
        </w:tc>
        <w:tc>
          <w:tcPr>
            <w:tcW w:w="1360" w:type="dxa"/>
            <w:vAlign w:val="bottom"/>
          </w:tcPr>
          <w:p>
            <w:pPr>
              <w:jc w:val="right"/>
              <w:spacing w:after="0"/>
              <w:rPr>
                <w:sz w:val="20"/>
                <w:szCs w:val="20"/>
                <w:color w:val="auto"/>
              </w:rPr>
            </w:pPr>
            <w:r>
              <w:rPr>
                <w:rFonts w:ascii="Arial" w:cs="Arial" w:eastAsia="Arial" w:hAnsi="Arial"/>
                <w:sz w:val="14"/>
                <w:szCs w:val="14"/>
                <w:color w:val="auto"/>
              </w:rPr>
              <w:t>6/29/2026</w:t>
            </w:r>
          </w:p>
        </w:tc>
      </w:tr>
      <w:tr>
        <w:trPr>
          <w:trHeight w:val="372"/>
        </w:trPr>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Current Dividend Yield</w:t>
            </w:r>
          </w:p>
        </w:tc>
        <w:tc>
          <w:tcPr>
            <w:tcW w:w="1360" w:type="dxa"/>
            <w:vAlign w:val="bottom"/>
          </w:tcPr>
          <w:p>
            <w:pPr>
              <w:jc w:val="right"/>
              <w:spacing w:after="0"/>
              <w:rPr>
                <w:sz w:val="20"/>
                <w:szCs w:val="20"/>
                <w:color w:val="auto"/>
              </w:rPr>
            </w:pPr>
            <w:r>
              <w:rPr>
                <w:rFonts w:ascii="Arial" w:cs="Arial" w:eastAsia="Arial" w:hAnsi="Arial"/>
                <w:sz w:val="14"/>
                <w:szCs w:val="14"/>
                <w:color w:val="auto"/>
              </w:rPr>
              <w:t>16.8 %</w:t>
            </w: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ARMOUR Portfolio CPR</w:t>
      </w:r>
    </w:p>
    <w:p>
      <w:pPr>
        <w:spacing w:after="0" w:line="2896" w:lineRule="exact"/>
        <w:rPr>
          <w:sz w:val="20"/>
          <w:szCs w:val="20"/>
          <w:color w:val="auto"/>
        </w:rPr>
      </w:pPr>
    </w:p>
    <w:p>
      <w:pPr>
        <w:sectPr>
          <w:pgSz w:w="11900" w:h="16838" w:orient="portrait"/>
          <w:cols w:equalWidth="0" w:num="2">
            <w:col w:w="4880" w:space="620"/>
            <w:col w:w="4860"/>
          </w:cols>
          <w:pgMar w:left="760" w:top="644" w:right="7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6D6D6D"/>
        </w:rPr>
        <w:t>Portfolio and Key Data as of 05/31/26, except CPR which is as of 06/04/26 or as stated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color w:val="B6B6B6"/>
        </w:rPr>
        <w:t>Monthly Update June 2026</w:t>
      </w:r>
    </w:p>
    <w:p>
      <w:pPr>
        <w:sectPr>
          <w:pgSz w:w="11900" w:h="16838" w:orient="portrait"/>
          <w:cols w:equalWidth="0" w:num="1">
            <w:col w:w="10360"/>
          </w:cols>
          <w:pgMar w:left="760" w:top="644" w:right="7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spacing w:after="0"/>
        <w:tabs>
          <w:tab w:leader="none" w:pos="3480" w:val="left"/>
          <w:tab w:leader="none" w:pos="5040" w:val="left"/>
          <w:tab w:leader="none" w:pos="6900" w:val="left"/>
          <w:tab w:leader="none" w:pos="8600" w:val="left"/>
          <w:tab w:leader="none" w:pos="10020" w:val="left"/>
        </w:tabs>
        <w:rPr>
          <w:sz w:val="20"/>
          <w:szCs w:val="20"/>
          <w:color w:val="auto"/>
        </w:rPr>
      </w:pPr>
      <w:r>
        <w:rPr>
          <w:rFonts w:ascii="Arial" w:cs="Arial" w:eastAsia="Arial" w:hAnsi="Arial"/>
          <w:sz w:val="14"/>
          <w:szCs w:val="14"/>
          <w:b w:val="1"/>
          <w:bCs w:val="1"/>
          <w:color w:val="auto"/>
        </w:rPr>
        <w:t xml:space="preserve">BUCKLER Securities LLC </w:t>
      </w:r>
      <w:r>
        <w:rPr>
          <w:rFonts w:ascii="Arial" w:cs="Arial" w:eastAsia="Arial" w:hAnsi="Arial"/>
          <w:sz w:val="18"/>
          <w:szCs w:val="18"/>
          <w:b w:val="1"/>
          <w:bCs w:val="1"/>
          <w:color w:val="auto"/>
          <w:vertAlign w:val="superscript"/>
        </w:rPr>
        <w:t>(4)</w:t>
      </w:r>
      <w:r>
        <w:rPr>
          <w:sz w:val="20"/>
          <w:szCs w:val="20"/>
          <w:color w:val="auto"/>
        </w:rPr>
        <w:tab/>
      </w:r>
      <w:r>
        <w:rPr>
          <w:rFonts w:ascii="Arial" w:cs="Arial" w:eastAsia="Arial" w:hAnsi="Arial"/>
          <w:sz w:val="14"/>
          <w:szCs w:val="14"/>
          <w:color w:val="auto"/>
        </w:rPr>
        <w:t>9,294</w:t>
      </w:r>
      <w:r>
        <w:rPr>
          <w:sz w:val="20"/>
          <w:szCs w:val="20"/>
          <w:color w:val="auto"/>
        </w:rPr>
        <w:tab/>
      </w:r>
      <w:r>
        <w:rPr>
          <w:rFonts w:ascii="Arial" w:cs="Arial" w:eastAsia="Arial" w:hAnsi="Arial"/>
          <w:sz w:val="14"/>
          <w:szCs w:val="14"/>
          <w:color w:val="auto"/>
        </w:rPr>
        <w:t>46.8 %</w:t>
      </w:r>
      <w:r>
        <w:rPr>
          <w:sz w:val="20"/>
          <w:szCs w:val="20"/>
          <w:color w:val="auto"/>
        </w:rPr>
        <w:tab/>
      </w: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133</w:t>
      </w:r>
    </w:p>
    <w:p>
      <w:pPr>
        <w:sectPr>
          <w:pgSz w:w="11900" w:h="16838" w:orient="portrait"/>
          <w:cols w:equalWidth="0" w:num="1">
            <w:col w:w="10360"/>
          </w:cols>
          <w:pgMar w:left="760" w:top="644" w:right="77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880" w:type="dxa"/>
            <w:vAlign w:val="bottom"/>
            <w:tcBorders>
              <w:left w:val="single" w:sz="8" w:color="1C4787"/>
            </w:tcBorders>
            <w:shd w:val="clear" w:color="auto" w:fill="1C4787"/>
          </w:tcPr>
          <w:p>
            <w:pPr>
              <w:ind w:left="80"/>
              <w:spacing w:after="0"/>
              <w:rPr>
                <w:sz w:val="20"/>
                <w:szCs w:val="20"/>
                <w:color w:val="auto"/>
              </w:rPr>
            </w:pPr>
            <w:r>
              <w:rPr>
                <w:rFonts w:ascii="Arial" w:cs="Arial" w:eastAsia="Arial" w:hAnsi="Arial"/>
                <w:sz w:val="14"/>
                <w:szCs w:val="14"/>
                <w:b w:val="1"/>
                <w:bCs w:val="1"/>
                <w:color w:val="auto"/>
              </w:rPr>
              <w:t>All Other Counterparties</w:t>
            </w:r>
          </w:p>
        </w:tc>
        <w:tc>
          <w:tcPr>
            <w:tcW w:w="1300" w:type="dxa"/>
            <w:vAlign w:val="bottom"/>
            <w:shd w:val="clear" w:color="auto" w:fill="1C4787"/>
          </w:tcPr>
          <w:p>
            <w:pPr>
              <w:spacing w:after="0"/>
              <w:rPr>
                <w:sz w:val="14"/>
                <w:szCs w:val="14"/>
                <w:color w:val="auto"/>
              </w:rPr>
            </w:pPr>
          </w:p>
        </w:tc>
        <w:tc>
          <w:tcPr>
            <w:tcW w:w="780" w:type="dxa"/>
            <w:vAlign w:val="bottom"/>
            <w:shd w:val="clear" w:color="auto" w:fill="1C4787"/>
          </w:tcPr>
          <w:p>
            <w:pPr>
              <w:jc w:val="right"/>
              <w:ind w:right="48"/>
              <w:spacing w:after="0"/>
              <w:rPr>
                <w:sz w:val="20"/>
                <w:szCs w:val="20"/>
                <w:color w:val="auto"/>
              </w:rPr>
            </w:pPr>
            <w:r>
              <w:rPr>
                <w:rFonts w:ascii="Arial" w:cs="Arial" w:eastAsia="Arial" w:hAnsi="Arial"/>
                <w:sz w:val="14"/>
                <w:szCs w:val="14"/>
                <w:color w:val="auto"/>
              </w:rPr>
              <w:t>10,573</w:t>
            </w:r>
          </w:p>
        </w:tc>
        <w:tc>
          <w:tcPr>
            <w:tcW w:w="880" w:type="dxa"/>
            <w:vAlign w:val="bottom"/>
            <w:shd w:val="clear" w:color="auto" w:fill="1C4787"/>
          </w:tcPr>
          <w:p>
            <w:pPr>
              <w:spacing w:after="0"/>
              <w:rPr>
                <w:sz w:val="14"/>
                <w:szCs w:val="14"/>
                <w:color w:val="auto"/>
              </w:rPr>
            </w:pPr>
          </w:p>
        </w:tc>
        <w:tc>
          <w:tcPr>
            <w:tcW w:w="680" w:type="dxa"/>
            <w:vAlign w:val="bottom"/>
            <w:shd w:val="clear" w:color="auto" w:fill="1C4787"/>
          </w:tcPr>
          <w:p>
            <w:pPr>
              <w:jc w:val="right"/>
              <w:spacing w:after="0"/>
              <w:rPr>
                <w:sz w:val="20"/>
                <w:szCs w:val="20"/>
                <w:color w:val="auto"/>
              </w:rPr>
            </w:pPr>
            <w:r>
              <w:rPr>
                <w:rFonts w:ascii="Arial" w:cs="Arial" w:eastAsia="Arial" w:hAnsi="Arial"/>
                <w:sz w:val="14"/>
                <w:szCs w:val="14"/>
                <w:color w:val="auto"/>
              </w:rPr>
              <w:t>53.2 %</w:t>
            </w:r>
          </w:p>
        </w:tc>
        <w:tc>
          <w:tcPr>
            <w:tcW w:w="400" w:type="dxa"/>
            <w:vAlign w:val="bottom"/>
            <w:tcBorders>
              <w:right w:val="single" w:sz="8" w:color="1C4787"/>
            </w:tcBorders>
            <w:shd w:val="clear" w:color="auto" w:fill="1C4787"/>
          </w:tcPr>
          <w:p>
            <w:pPr>
              <w:spacing w:after="0"/>
              <w:rPr>
                <w:sz w:val="14"/>
                <w:szCs w:val="14"/>
                <w:color w:val="auto"/>
              </w:rPr>
            </w:pPr>
          </w:p>
        </w:tc>
        <w:tc>
          <w:tcPr>
            <w:tcW w:w="1200" w:type="dxa"/>
            <w:vAlign w:val="bottom"/>
            <w:gridSpan w:val="2"/>
            <w:shd w:val="clear" w:color="auto" w:fill="1C4787"/>
          </w:tcPr>
          <w:p>
            <w:pPr>
              <w:jc w:val="right"/>
              <w:spacing w:after="0"/>
              <w:rPr>
                <w:sz w:val="20"/>
                <w:szCs w:val="20"/>
                <w:color w:val="auto"/>
              </w:rPr>
            </w:pPr>
            <w:r>
              <w:rPr>
                <w:rFonts w:ascii="Arial" w:cs="Arial" w:eastAsia="Arial" w:hAnsi="Arial"/>
                <w:sz w:val="14"/>
                <w:szCs w:val="14"/>
                <w:color w:val="auto"/>
              </w:rPr>
              <w:t>61</w:t>
            </w:r>
          </w:p>
        </w:tc>
        <w:tc>
          <w:tcPr>
            <w:tcW w:w="1820" w:type="dxa"/>
            <w:vAlign w:val="bottom"/>
            <w:shd w:val="clear" w:color="auto" w:fill="1C4787"/>
          </w:tcPr>
          <w:p>
            <w:pPr>
              <w:jc w:val="right"/>
              <w:ind w:right="111"/>
              <w:spacing w:after="0"/>
              <w:rPr>
                <w:sz w:val="20"/>
                <w:szCs w:val="20"/>
                <w:color w:val="auto"/>
              </w:rPr>
            </w:pPr>
            <w:r>
              <w:rPr>
                <w:rFonts w:ascii="Arial" w:cs="Arial" w:eastAsia="Arial" w:hAnsi="Arial"/>
                <w:sz w:val="14"/>
                <w:szCs w:val="14"/>
                <w:color w:val="auto"/>
              </w:rPr>
              <w:t>39</w:t>
            </w:r>
          </w:p>
        </w:tc>
        <w:tc>
          <w:tcPr>
            <w:tcW w:w="1380" w:type="dxa"/>
            <w:vAlign w:val="bottom"/>
            <w:tcBorders>
              <w:right w:val="single" w:sz="8" w:color="1C4787"/>
            </w:tcBorders>
            <w:shd w:val="clear" w:color="auto" w:fill="1C4787"/>
          </w:tcPr>
          <w:p>
            <w:pPr>
              <w:jc w:val="right"/>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880" w:type="dxa"/>
            <w:vAlign w:val="bottom"/>
            <w:tcBorders>
              <w:left w:val="single" w:sz="8" w:color="1C4787"/>
            </w:tcBorders>
            <w:shd w:val="clear" w:color="auto" w:fill="1C4787"/>
          </w:tcPr>
          <w:p>
            <w:pPr>
              <w:ind w:left="80"/>
              <w:spacing w:after="0" w:line="110" w:lineRule="exact"/>
              <w:rPr>
                <w:sz w:val="20"/>
                <w:szCs w:val="20"/>
                <w:color w:val="auto"/>
              </w:rPr>
            </w:pPr>
            <w:r>
              <w:rPr>
                <w:rFonts w:ascii="Arial" w:cs="Arial" w:eastAsia="Arial" w:hAnsi="Arial"/>
                <w:sz w:val="12"/>
                <w:szCs w:val="12"/>
                <w:b w:val="1"/>
                <w:bCs w:val="1"/>
                <w:color w:val="FFFFFF"/>
              </w:rPr>
              <w:t>ARMOUR Repo</w:t>
            </w:r>
          </w:p>
        </w:tc>
        <w:tc>
          <w:tcPr>
            <w:tcW w:w="2080" w:type="dxa"/>
            <w:vAlign w:val="bottom"/>
            <w:gridSpan w:val="2"/>
            <w:shd w:val="clear" w:color="auto" w:fill="1C4787"/>
          </w:tcPr>
          <w:p>
            <w:pPr>
              <w:jc w:val="right"/>
              <w:ind w:right="48"/>
              <w:spacing w:after="0" w:line="110" w:lineRule="exact"/>
              <w:rPr>
                <w:sz w:val="20"/>
                <w:szCs w:val="20"/>
                <w:color w:val="auto"/>
              </w:rPr>
            </w:pPr>
            <w:r>
              <w:rPr>
                <w:rFonts w:ascii="Arial" w:cs="Arial" w:eastAsia="Arial" w:hAnsi="Arial"/>
                <w:sz w:val="12"/>
                <w:szCs w:val="12"/>
                <w:b w:val="1"/>
                <w:bCs w:val="1"/>
                <w:color w:val="FFFFFF"/>
              </w:rPr>
              <w:t>Principal Borrowed</w:t>
            </w:r>
          </w:p>
        </w:tc>
        <w:tc>
          <w:tcPr>
            <w:tcW w:w="1560" w:type="dxa"/>
            <w:vAlign w:val="bottom"/>
            <w:gridSpan w:val="2"/>
            <w:shd w:val="clear" w:color="auto" w:fill="1C4787"/>
          </w:tcPr>
          <w:p>
            <w:pPr>
              <w:jc w:val="right"/>
              <w:spacing w:after="0" w:line="110" w:lineRule="exact"/>
              <w:rPr>
                <w:sz w:val="20"/>
                <w:szCs w:val="20"/>
                <w:color w:val="auto"/>
              </w:rPr>
            </w:pPr>
            <w:r>
              <w:rPr>
                <w:rFonts w:ascii="Arial" w:cs="Arial" w:eastAsia="Arial" w:hAnsi="Arial"/>
                <w:sz w:val="12"/>
                <w:szCs w:val="12"/>
                <w:b w:val="1"/>
                <w:bCs w:val="1"/>
                <w:color w:val="FFFFFF"/>
              </w:rPr>
              <w:t>% of Repo Positions</w:t>
            </w:r>
          </w:p>
        </w:tc>
        <w:tc>
          <w:tcPr>
            <w:tcW w:w="1600" w:type="dxa"/>
            <w:vAlign w:val="bottom"/>
            <w:gridSpan w:val="3"/>
            <w:shd w:val="clear" w:color="auto" w:fill="1C4787"/>
          </w:tcPr>
          <w:p>
            <w:pPr>
              <w:jc w:val="right"/>
              <w:spacing w:after="0" w:line="110" w:lineRule="exact"/>
              <w:rPr>
                <w:sz w:val="20"/>
                <w:szCs w:val="20"/>
                <w:color w:val="auto"/>
              </w:rPr>
            </w:pPr>
            <w:r>
              <w:rPr>
                <w:rFonts w:ascii="Arial" w:cs="Arial" w:eastAsia="Arial" w:hAnsi="Arial"/>
                <w:sz w:val="12"/>
                <w:szCs w:val="12"/>
                <w:b w:val="1"/>
                <w:bCs w:val="1"/>
                <w:color w:val="FFFFFF"/>
              </w:rPr>
              <w:t>Weighted Average</w:t>
            </w:r>
          </w:p>
        </w:tc>
        <w:tc>
          <w:tcPr>
            <w:tcW w:w="1820" w:type="dxa"/>
            <w:vAlign w:val="bottom"/>
            <w:shd w:val="clear" w:color="auto" w:fill="1C4787"/>
          </w:tcPr>
          <w:p>
            <w:pPr>
              <w:jc w:val="right"/>
              <w:ind w:right="111"/>
              <w:spacing w:after="0" w:line="110" w:lineRule="exact"/>
              <w:rPr>
                <w:sz w:val="20"/>
                <w:szCs w:val="20"/>
                <w:color w:val="auto"/>
              </w:rPr>
            </w:pPr>
            <w:r>
              <w:rPr>
                <w:rFonts w:ascii="Arial" w:cs="Arial" w:eastAsia="Arial" w:hAnsi="Arial"/>
                <w:sz w:val="12"/>
                <w:szCs w:val="12"/>
                <w:b w:val="1"/>
                <w:bCs w:val="1"/>
                <w:color w:val="FFFFFF"/>
              </w:rPr>
              <w:t>Weighted Average</w:t>
            </w:r>
          </w:p>
        </w:tc>
        <w:tc>
          <w:tcPr>
            <w:tcW w:w="1380" w:type="dxa"/>
            <w:vAlign w:val="bottom"/>
            <w:tcBorders>
              <w:right w:val="single" w:sz="8" w:color="1C4787"/>
            </w:tcBorders>
            <w:shd w:val="clear" w:color="auto" w:fill="1C4787"/>
          </w:tcPr>
          <w:p>
            <w:pPr>
              <w:jc w:val="right"/>
              <w:spacing w:after="0" w:line="110" w:lineRule="exact"/>
              <w:rPr>
                <w:sz w:val="20"/>
                <w:szCs w:val="20"/>
                <w:color w:val="auto"/>
              </w:rPr>
            </w:pPr>
            <w:r>
              <w:rPr>
                <w:rFonts w:ascii="Arial" w:cs="Arial" w:eastAsia="Arial" w:hAnsi="Arial"/>
                <w:sz w:val="12"/>
                <w:szCs w:val="12"/>
                <w:b w:val="1"/>
                <w:bCs w:val="1"/>
                <w:color w:val="FFFFFF"/>
              </w:rPr>
              <w:t>Longest Maturity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880" w:type="dxa"/>
            <w:vAlign w:val="bottom"/>
            <w:tcBorders>
              <w:left w:val="single" w:sz="8" w:color="1C4787"/>
            </w:tcBorders>
            <w:shd w:val="clear" w:color="auto" w:fill="1C4787"/>
          </w:tcPr>
          <w:p>
            <w:pPr>
              <w:ind w:left="480"/>
              <w:spacing w:after="0" w:line="93" w:lineRule="exact"/>
              <w:rPr>
                <w:sz w:val="20"/>
                <w:szCs w:val="20"/>
                <w:color w:val="auto"/>
              </w:rPr>
            </w:pPr>
            <w:r>
              <w:rPr>
                <w:rFonts w:ascii="Arial" w:cs="Arial" w:eastAsia="Arial" w:hAnsi="Arial"/>
                <w:sz w:val="9"/>
                <w:szCs w:val="9"/>
                <w:b w:val="1"/>
                <w:bCs w:val="1"/>
                <w:color w:val="auto"/>
              </w:rPr>
              <w:t>(5)</w:t>
            </w:r>
          </w:p>
        </w:tc>
        <w:tc>
          <w:tcPr>
            <w:tcW w:w="2080" w:type="dxa"/>
            <w:vAlign w:val="bottom"/>
            <w:gridSpan w:val="2"/>
            <w:vMerge w:val="restart"/>
            <w:shd w:val="clear" w:color="auto" w:fill="1C4787"/>
          </w:tcPr>
          <w:p>
            <w:pPr>
              <w:jc w:val="right"/>
              <w:ind w:right="48"/>
              <w:spacing w:after="0"/>
              <w:rPr>
                <w:sz w:val="20"/>
                <w:szCs w:val="20"/>
                <w:color w:val="auto"/>
              </w:rPr>
            </w:pPr>
            <w:r>
              <w:rPr>
                <w:rFonts w:ascii="Arial" w:cs="Arial" w:eastAsia="Arial" w:hAnsi="Arial"/>
                <w:sz w:val="14"/>
                <w:szCs w:val="14"/>
                <w:b w:val="1"/>
                <w:bCs w:val="1"/>
                <w:color w:val="FFFFFF"/>
              </w:rPr>
              <w:t>(in $ millions)</w:t>
            </w:r>
            <w:r>
              <w:rPr>
                <w:rFonts w:ascii="Arial" w:cs="Arial" w:eastAsia="Arial" w:hAnsi="Arial"/>
                <w:sz w:val="14"/>
                <w:szCs w:val="14"/>
                <w:b w:val="1"/>
                <w:bCs w:val="1"/>
                <w:color w:val="000000"/>
              </w:rPr>
              <w:t>19,867</w:t>
            </w:r>
          </w:p>
        </w:tc>
        <w:tc>
          <w:tcPr>
            <w:tcW w:w="1560" w:type="dxa"/>
            <w:vAlign w:val="bottom"/>
            <w:gridSpan w:val="2"/>
            <w:vMerge w:val="restart"/>
            <w:shd w:val="clear" w:color="auto" w:fill="1C4787"/>
          </w:tcPr>
          <w:p>
            <w:pPr>
              <w:jc w:val="right"/>
              <w:spacing w:after="0"/>
              <w:rPr>
                <w:sz w:val="20"/>
                <w:szCs w:val="20"/>
                <w:color w:val="auto"/>
              </w:rPr>
            </w:pPr>
            <w:r>
              <w:rPr>
                <w:rFonts w:ascii="Arial" w:cs="Arial" w:eastAsia="Arial" w:hAnsi="Arial"/>
                <w:sz w:val="14"/>
                <w:szCs w:val="14"/>
                <w:b w:val="1"/>
                <w:bCs w:val="1"/>
                <w:color w:val="FFFFFF"/>
              </w:rPr>
              <w:t>with ARMOUR</w:t>
            </w:r>
            <w:r>
              <w:rPr>
                <w:rFonts w:ascii="Arial" w:cs="Arial" w:eastAsia="Arial" w:hAnsi="Arial"/>
                <w:sz w:val="14"/>
                <w:szCs w:val="14"/>
                <w:b w:val="1"/>
                <w:bCs w:val="1"/>
                <w:color w:val="000000"/>
              </w:rPr>
              <w:t>100.0%</w:t>
            </w:r>
          </w:p>
        </w:tc>
        <w:tc>
          <w:tcPr>
            <w:tcW w:w="1600" w:type="dxa"/>
            <w:vAlign w:val="bottom"/>
            <w:gridSpan w:val="3"/>
            <w:vMerge w:val="restart"/>
            <w:shd w:val="clear" w:color="auto" w:fill="1C4787"/>
          </w:tcPr>
          <w:p>
            <w:pPr>
              <w:jc w:val="right"/>
              <w:spacing w:after="0"/>
              <w:rPr>
                <w:sz w:val="20"/>
                <w:szCs w:val="20"/>
                <w:color w:val="auto"/>
              </w:rPr>
            </w:pPr>
            <w:r>
              <w:rPr>
                <w:rFonts w:ascii="Arial" w:cs="Arial" w:eastAsia="Arial" w:hAnsi="Arial"/>
                <w:sz w:val="14"/>
                <w:szCs w:val="14"/>
                <w:b w:val="1"/>
                <w:bCs w:val="1"/>
                <w:color w:val="FFFFFF"/>
              </w:rPr>
              <w:t>Original Term (days)</w:t>
            </w:r>
            <w:r>
              <w:rPr>
                <w:rFonts w:ascii="Arial" w:cs="Arial" w:eastAsia="Arial" w:hAnsi="Arial"/>
                <w:sz w:val="14"/>
                <w:szCs w:val="14"/>
                <w:b w:val="1"/>
                <w:bCs w:val="1"/>
                <w:color w:val="000000"/>
              </w:rPr>
              <w:t>58</w:t>
            </w:r>
          </w:p>
        </w:tc>
        <w:tc>
          <w:tcPr>
            <w:tcW w:w="1820" w:type="dxa"/>
            <w:vAlign w:val="bottom"/>
            <w:vMerge w:val="restart"/>
            <w:shd w:val="clear" w:color="auto" w:fill="1C4787"/>
          </w:tcPr>
          <w:p>
            <w:pPr>
              <w:jc w:val="right"/>
              <w:ind w:right="111"/>
              <w:spacing w:after="0"/>
              <w:rPr>
                <w:sz w:val="20"/>
                <w:szCs w:val="20"/>
                <w:color w:val="auto"/>
              </w:rPr>
            </w:pPr>
            <w:r>
              <w:rPr>
                <w:rFonts w:ascii="Arial" w:cs="Arial" w:eastAsia="Arial" w:hAnsi="Arial"/>
                <w:sz w:val="14"/>
                <w:szCs w:val="14"/>
                <w:b w:val="1"/>
                <w:bCs w:val="1"/>
                <w:color w:val="FFFFFF"/>
                <w:w w:val="95"/>
              </w:rPr>
              <w:t>Remaining Term (days)</w:t>
            </w:r>
            <w:r>
              <w:rPr>
                <w:rFonts w:ascii="Arial" w:cs="Arial" w:eastAsia="Arial" w:hAnsi="Arial"/>
                <w:sz w:val="14"/>
                <w:szCs w:val="14"/>
                <w:b w:val="1"/>
                <w:bCs w:val="1"/>
                <w:color w:val="000000"/>
                <w:w w:val="95"/>
              </w:rPr>
              <w:t>37</w:t>
            </w:r>
          </w:p>
        </w:tc>
        <w:tc>
          <w:tcPr>
            <w:tcW w:w="1380" w:type="dxa"/>
            <w:vAlign w:val="bottom"/>
            <w:tcBorders>
              <w:right w:val="single" w:sz="8" w:color="1C4787"/>
            </w:tcBorders>
            <w:vMerge w:val="restart"/>
            <w:shd w:val="clear" w:color="auto" w:fill="1C4787"/>
          </w:tcPr>
          <w:p>
            <w:pPr>
              <w:jc w:val="right"/>
              <w:spacing w:after="0"/>
              <w:rPr>
                <w:sz w:val="20"/>
                <w:szCs w:val="20"/>
                <w:color w:val="auto"/>
              </w:rPr>
            </w:pPr>
            <w:r>
              <w:rPr>
                <w:rFonts w:ascii="Arial" w:cs="Arial" w:eastAsia="Arial" w:hAnsi="Arial"/>
                <w:sz w:val="14"/>
                <w:szCs w:val="14"/>
                <w:b w:val="1"/>
                <w:bCs w:val="1"/>
                <w:color w:val="FFFFFF"/>
              </w:rPr>
              <w:t>(days)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880" w:type="dxa"/>
            <w:vAlign w:val="bottom"/>
            <w:tcBorders>
              <w:left w:val="single" w:sz="8" w:color="1C4787"/>
            </w:tcBorders>
            <w:shd w:val="clear" w:color="auto" w:fill="1C4787"/>
          </w:tcPr>
          <w:p>
            <w:pPr>
              <w:ind w:left="80"/>
              <w:spacing w:after="0" w:line="149" w:lineRule="exact"/>
              <w:rPr>
                <w:sz w:val="20"/>
                <w:szCs w:val="20"/>
                <w:color w:val="auto"/>
              </w:rPr>
            </w:pPr>
            <w:r>
              <w:rPr>
                <w:rFonts w:ascii="Arial" w:cs="Arial" w:eastAsia="Arial" w:hAnsi="Arial"/>
                <w:sz w:val="14"/>
                <w:szCs w:val="14"/>
                <w:b w:val="1"/>
                <w:bCs w:val="1"/>
                <w:color w:val="FFFFFF"/>
              </w:rPr>
              <w:t>C</w:t>
            </w:r>
            <w:r>
              <w:rPr>
                <w:rFonts w:ascii="Arial" w:cs="Arial" w:eastAsia="Arial" w:hAnsi="Arial"/>
                <w:sz w:val="14"/>
                <w:szCs w:val="14"/>
                <w:b w:val="1"/>
                <w:bCs w:val="1"/>
                <w:color w:val="000000"/>
              </w:rPr>
              <w:t>Total</w:t>
            </w:r>
            <w:r>
              <w:rPr>
                <w:rFonts w:ascii="Arial" w:cs="Arial" w:eastAsia="Arial" w:hAnsi="Arial"/>
                <w:sz w:val="14"/>
                <w:szCs w:val="14"/>
                <w:b w:val="1"/>
                <w:bCs w:val="1"/>
                <w:color w:val="FFFFFF"/>
              </w:rPr>
              <w:t>mposition</w:t>
            </w:r>
          </w:p>
        </w:tc>
        <w:tc>
          <w:tcPr>
            <w:tcW w:w="2080" w:type="dxa"/>
            <w:vAlign w:val="bottom"/>
            <w:gridSpan w:val="2"/>
            <w:vMerge w:val="continue"/>
            <w:shd w:val="clear" w:color="auto" w:fill="1C4787"/>
          </w:tcPr>
          <w:p>
            <w:pPr>
              <w:spacing w:after="0"/>
              <w:rPr>
                <w:sz w:val="12"/>
                <w:szCs w:val="12"/>
                <w:color w:val="auto"/>
              </w:rPr>
            </w:pPr>
          </w:p>
        </w:tc>
        <w:tc>
          <w:tcPr>
            <w:tcW w:w="1560" w:type="dxa"/>
            <w:vAlign w:val="bottom"/>
            <w:gridSpan w:val="2"/>
            <w:vMerge w:val="continue"/>
            <w:shd w:val="clear" w:color="auto" w:fill="1C4787"/>
          </w:tcPr>
          <w:p>
            <w:pPr>
              <w:spacing w:after="0"/>
              <w:rPr>
                <w:sz w:val="12"/>
                <w:szCs w:val="12"/>
                <w:color w:val="auto"/>
              </w:rPr>
            </w:pPr>
          </w:p>
        </w:tc>
        <w:tc>
          <w:tcPr>
            <w:tcW w:w="1600" w:type="dxa"/>
            <w:vAlign w:val="bottom"/>
            <w:gridSpan w:val="3"/>
            <w:vMerge w:val="continue"/>
            <w:shd w:val="clear" w:color="auto" w:fill="1C4787"/>
          </w:tcPr>
          <w:p>
            <w:pPr>
              <w:spacing w:after="0"/>
              <w:rPr>
                <w:sz w:val="12"/>
                <w:szCs w:val="12"/>
                <w:color w:val="auto"/>
              </w:rPr>
            </w:pPr>
          </w:p>
        </w:tc>
        <w:tc>
          <w:tcPr>
            <w:tcW w:w="1820" w:type="dxa"/>
            <w:vAlign w:val="bottom"/>
            <w:vMerge w:val="continue"/>
            <w:shd w:val="clear" w:color="auto" w:fill="1C4787"/>
          </w:tcPr>
          <w:p>
            <w:pPr>
              <w:spacing w:after="0"/>
              <w:rPr>
                <w:sz w:val="12"/>
                <w:szCs w:val="12"/>
                <w:color w:val="auto"/>
              </w:rPr>
            </w:pPr>
          </w:p>
        </w:tc>
        <w:tc>
          <w:tcPr>
            <w:tcW w:w="1380" w:type="dxa"/>
            <w:vAlign w:val="bottom"/>
            <w:tcBorders>
              <w:right w:val="single" w:sz="8" w:color="1C4787"/>
            </w:tcBorders>
            <w:vMerge w:val="continue"/>
            <w:shd w:val="clear" w:color="auto" w:fill="1C478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60" w:type="dxa"/>
            <w:vAlign w:val="bottom"/>
            <w:gridSpan w:val="2"/>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1C4787"/>
            </w:tcBorders>
          </w:tcPr>
          <w:p>
            <w:pPr>
              <w:spacing w:after="0"/>
              <w:rPr>
                <w:sz w:val="10"/>
                <w:szCs w:val="10"/>
                <w:color w:val="auto"/>
              </w:rPr>
            </w:pPr>
          </w:p>
        </w:tc>
        <w:tc>
          <w:tcPr>
            <w:tcW w:w="1880" w:type="dxa"/>
            <w:vAlign w:val="bottom"/>
            <w:tcBorders>
              <w:left w:val="single" w:sz="8" w:color="1C4787"/>
            </w:tcBorders>
            <w:vMerge w:val="restart"/>
            <w:shd w:val="clear" w:color="auto" w:fill="1C4787"/>
          </w:tcPr>
          <w:p>
            <w:pPr>
              <w:ind w:left="40"/>
              <w:spacing w:after="0"/>
              <w:rPr>
                <w:sz w:val="20"/>
                <w:szCs w:val="20"/>
                <w:color w:val="auto"/>
              </w:rPr>
            </w:pPr>
            <w:r>
              <w:rPr>
                <w:rFonts w:ascii="Arial" w:cs="Arial" w:eastAsia="Arial" w:hAnsi="Arial"/>
                <w:sz w:val="14"/>
                <w:szCs w:val="14"/>
                <w:b w:val="1"/>
                <w:bCs w:val="1"/>
                <w:color w:val="FFFFFF"/>
              </w:rPr>
              <w:t>ARMOUR Interest Rate</w:t>
            </w:r>
          </w:p>
        </w:tc>
        <w:tc>
          <w:tcPr>
            <w:tcW w:w="1300" w:type="dxa"/>
            <w:vAlign w:val="bottom"/>
            <w:shd w:val="clear" w:color="auto" w:fill="1C4787"/>
          </w:tcPr>
          <w:p>
            <w:pPr>
              <w:jc w:val="right"/>
              <w:ind w:right="169"/>
              <w:spacing w:after="0" w:line="126" w:lineRule="exact"/>
              <w:rPr>
                <w:sz w:val="20"/>
                <w:szCs w:val="20"/>
                <w:color w:val="auto"/>
              </w:rPr>
            </w:pPr>
            <w:r>
              <w:rPr>
                <w:rFonts w:ascii="Arial" w:cs="Arial" w:eastAsia="Arial" w:hAnsi="Arial"/>
                <w:sz w:val="14"/>
                <w:szCs w:val="14"/>
                <w:b w:val="1"/>
                <w:bCs w:val="1"/>
                <w:color w:val="FFFFFF"/>
              </w:rPr>
              <w:t>Notional</w:t>
            </w:r>
          </w:p>
        </w:tc>
        <w:tc>
          <w:tcPr>
            <w:tcW w:w="1660" w:type="dxa"/>
            <w:vAlign w:val="bottom"/>
            <w:gridSpan w:val="2"/>
            <w:shd w:val="clear" w:color="auto" w:fill="1C4787"/>
          </w:tcPr>
          <w:p>
            <w:pPr>
              <w:jc w:val="right"/>
              <w:ind w:right="49"/>
              <w:spacing w:after="0" w:line="126" w:lineRule="exact"/>
              <w:rPr>
                <w:sz w:val="20"/>
                <w:szCs w:val="20"/>
                <w:color w:val="auto"/>
              </w:rPr>
            </w:pPr>
            <w:r>
              <w:rPr>
                <w:rFonts w:ascii="Arial" w:cs="Arial" w:eastAsia="Arial" w:hAnsi="Arial"/>
                <w:sz w:val="14"/>
                <w:szCs w:val="14"/>
                <w:b w:val="1"/>
                <w:bCs w:val="1"/>
                <w:color w:val="FFFFFF"/>
              </w:rPr>
              <w:t>Weighted Average</w:t>
            </w:r>
          </w:p>
        </w:tc>
        <w:tc>
          <w:tcPr>
            <w:tcW w:w="1080" w:type="dxa"/>
            <w:vAlign w:val="bottom"/>
            <w:tcBorders>
              <w:right w:val="single" w:sz="8" w:color="1C4787"/>
            </w:tcBorders>
            <w:gridSpan w:val="2"/>
            <w:vMerge w:val="restart"/>
            <w:shd w:val="clear" w:color="auto" w:fill="1C4787"/>
          </w:tcPr>
          <w:p>
            <w:pPr>
              <w:jc w:val="right"/>
              <w:spacing w:after="0"/>
              <w:rPr>
                <w:sz w:val="20"/>
                <w:szCs w:val="20"/>
                <w:color w:val="auto"/>
              </w:rPr>
            </w:pPr>
            <w:r>
              <w:rPr>
                <w:rFonts w:ascii="Arial" w:cs="Arial" w:eastAsia="Arial" w:hAnsi="Arial"/>
                <w:sz w:val="14"/>
                <w:szCs w:val="14"/>
                <w:b w:val="1"/>
                <w:bCs w:val="1"/>
                <w:color w:val="FFFFFF"/>
              </w:rPr>
              <w:t>Weighted</w:t>
            </w:r>
          </w:p>
        </w:tc>
        <w:tc>
          <w:tcPr>
            <w:tcW w:w="440" w:type="dxa"/>
            <w:vAlign w:val="bottom"/>
          </w:tcPr>
          <w:p>
            <w:pPr>
              <w:spacing w:after="0"/>
              <w:rPr>
                <w:sz w:val="10"/>
                <w:szCs w:val="10"/>
                <w:color w:val="auto"/>
              </w:rPr>
            </w:pPr>
          </w:p>
        </w:tc>
        <w:tc>
          <w:tcPr>
            <w:tcW w:w="3960" w:type="dxa"/>
            <w:vAlign w:val="bottom"/>
            <w:tcBorders>
              <w:right w:val="single" w:sz="8" w:color="1C4787"/>
            </w:tcBorders>
            <w:gridSpan w:val="3"/>
            <w:vMerge w:val="restart"/>
            <w:shd w:val="clear" w:color="auto" w:fill="1C4787"/>
          </w:tcPr>
          <w:p>
            <w:pPr>
              <w:jc w:val="right"/>
              <w:ind w:right="411"/>
              <w:spacing w:after="0"/>
              <w:rPr>
                <w:sz w:val="20"/>
                <w:szCs w:val="20"/>
                <w:color w:val="auto"/>
              </w:rPr>
            </w:pPr>
            <w:r>
              <w:rPr>
                <w:rFonts w:ascii="Arial" w:cs="Arial" w:eastAsia="Arial" w:hAnsi="Arial"/>
                <w:sz w:val="14"/>
                <w:szCs w:val="14"/>
                <w:b w:val="1"/>
                <w:bCs w:val="1"/>
                <w:color w:val="FFFFFF"/>
              </w:rPr>
              <w:t xml:space="preserve">ARMOUR Hedge Type Notional (millions) </w:t>
            </w:r>
            <w:r>
              <w:rPr>
                <w:rFonts w:ascii="Arial" w:cs="Arial" w:eastAsia="Arial" w:hAnsi="Arial"/>
                <w:sz w:val="18"/>
                <w:szCs w:val="18"/>
                <w:b w:val="1"/>
                <w:bCs w:val="1"/>
                <w:color w:val="FFFFFF"/>
                <w:vertAlign w:val="superscript"/>
              </w:rPr>
              <w:t>(6)</w:t>
            </w:r>
          </w:p>
        </w:tc>
        <w:tc>
          <w:tcPr>
            <w:tcW w:w="20" w:type="dxa"/>
            <w:vAlign w:val="bottom"/>
            <w:shd w:val="clear" w:color="auto" w:fill="1C4787"/>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1C4787"/>
            </w:tcBorders>
          </w:tcPr>
          <w:p>
            <w:pPr>
              <w:spacing w:after="0"/>
              <w:rPr>
                <w:sz w:val="12"/>
                <w:szCs w:val="12"/>
                <w:color w:val="auto"/>
              </w:rPr>
            </w:pPr>
          </w:p>
        </w:tc>
        <w:tc>
          <w:tcPr>
            <w:tcW w:w="1880" w:type="dxa"/>
            <w:vAlign w:val="bottom"/>
            <w:tcBorders>
              <w:left w:val="single" w:sz="8" w:color="1C4787"/>
            </w:tcBorders>
            <w:vMerge w:val="continue"/>
            <w:shd w:val="clear" w:color="auto" w:fill="1C4787"/>
          </w:tcPr>
          <w:p>
            <w:pPr>
              <w:spacing w:after="0"/>
              <w:rPr>
                <w:sz w:val="12"/>
                <w:szCs w:val="12"/>
                <w:color w:val="auto"/>
              </w:rPr>
            </w:pPr>
          </w:p>
        </w:tc>
        <w:tc>
          <w:tcPr>
            <w:tcW w:w="1300" w:type="dxa"/>
            <w:vAlign w:val="bottom"/>
            <w:shd w:val="clear" w:color="auto" w:fill="1C4787"/>
          </w:tcPr>
          <w:p>
            <w:pPr>
              <w:jc w:val="right"/>
              <w:ind w:right="169"/>
              <w:spacing w:after="0" w:line="145" w:lineRule="exact"/>
              <w:rPr>
                <w:sz w:val="20"/>
                <w:szCs w:val="20"/>
                <w:color w:val="auto"/>
              </w:rPr>
            </w:pPr>
            <w:r>
              <w:rPr>
                <w:rFonts w:ascii="Arial" w:cs="Arial" w:eastAsia="Arial" w:hAnsi="Arial"/>
                <w:sz w:val="14"/>
                <w:szCs w:val="14"/>
                <w:b w:val="1"/>
                <w:bCs w:val="1"/>
                <w:color w:val="FFFFFF"/>
              </w:rPr>
              <w:t>Amount</w:t>
            </w:r>
          </w:p>
        </w:tc>
        <w:tc>
          <w:tcPr>
            <w:tcW w:w="1660" w:type="dxa"/>
            <w:vAlign w:val="bottom"/>
            <w:gridSpan w:val="2"/>
            <w:shd w:val="clear" w:color="auto" w:fill="1C4787"/>
          </w:tcPr>
          <w:p>
            <w:pPr>
              <w:jc w:val="right"/>
              <w:ind w:right="69"/>
              <w:spacing w:after="0" w:line="145" w:lineRule="exact"/>
              <w:rPr>
                <w:sz w:val="20"/>
                <w:szCs w:val="20"/>
                <w:color w:val="auto"/>
              </w:rPr>
            </w:pPr>
            <w:r>
              <w:rPr>
                <w:rFonts w:ascii="Arial" w:cs="Arial" w:eastAsia="Arial" w:hAnsi="Arial"/>
                <w:sz w:val="14"/>
                <w:szCs w:val="14"/>
                <w:b w:val="1"/>
                <w:bCs w:val="1"/>
                <w:color w:val="FFFFFF"/>
              </w:rPr>
              <w:t>Remaining Term</w:t>
            </w:r>
          </w:p>
        </w:tc>
        <w:tc>
          <w:tcPr>
            <w:tcW w:w="1080" w:type="dxa"/>
            <w:vAlign w:val="bottom"/>
            <w:tcBorders>
              <w:right w:val="single" w:sz="8" w:color="1C4787"/>
            </w:tcBorders>
            <w:gridSpan w:val="2"/>
            <w:vMerge w:val="continue"/>
            <w:shd w:val="clear" w:color="auto" w:fill="1C4787"/>
          </w:tcPr>
          <w:p>
            <w:pPr>
              <w:spacing w:after="0"/>
              <w:rPr>
                <w:sz w:val="12"/>
                <w:szCs w:val="12"/>
                <w:color w:val="auto"/>
              </w:rPr>
            </w:pPr>
          </w:p>
        </w:tc>
        <w:tc>
          <w:tcPr>
            <w:tcW w:w="440" w:type="dxa"/>
            <w:vAlign w:val="bottom"/>
          </w:tcPr>
          <w:p>
            <w:pPr>
              <w:spacing w:after="0"/>
              <w:rPr>
                <w:sz w:val="12"/>
                <w:szCs w:val="12"/>
                <w:color w:val="auto"/>
              </w:rPr>
            </w:pPr>
          </w:p>
        </w:tc>
        <w:tc>
          <w:tcPr>
            <w:tcW w:w="3960" w:type="dxa"/>
            <w:vAlign w:val="bottom"/>
            <w:tcBorders>
              <w:right w:val="single" w:sz="8" w:color="1C4787"/>
            </w:tcBorders>
            <w:gridSpan w:val="3"/>
            <w:vMerge w:val="continue"/>
            <w:shd w:val="clear" w:color="auto" w:fill="1C4787"/>
          </w:tcPr>
          <w:p>
            <w:pPr>
              <w:spacing w:after="0"/>
              <w:rPr>
                <w:sz w:val="12"/>
                <w:szCs w:val="12"/>
                <w:color w:val="auto"/>
              </w:rPr>
            </w:pPr>
          </w:p>
        </w:tc>
        <w:tc>
          <w:tcPr>
            <w:tcW w:w="20" w:type="dxa"/>
            <w:vAlign w:val="bottom"/>
            <w:shd w:val="clear" w:color="auto" w:fill="1C4787"/>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Borders>
              <w:right w:val="single" w:sz="8" w:color="1C4787"/>
            </w:tcBorders>
          </w:tcPr>
          <w:p>
            <w:pPr>
              <w:spacing w:after="0"/>
              <w:rPr>
                <w:sz w:val="15"/>
                <w:szCs w:val="15"/>
                <w:color w:val="auto"/>
              </w:rPr>
            </w:pPr>
          </w:p>
        </w:tc>
        <w:tc>
          <w:tcPr>
            <w:tcW w:w="1880" w:type="dxa"/>
            <w:vAlign w:val="bottom"/>
            <w:tcBorders>
              <w:left w:val="single" w:sz="8" w:color="1C4787"/>
              <w:bottom w:val="single" w:sz="8" w:color="1C4787"/>
            </w:tcBorders>
            <w:shd w:val="clear" w:color="auto" w:fill="1C4787"/>
          </w:tcPr>
          <w:p>
            <w:pPr>
              <w:ind w:left="40"/>
              <w:spacing w:after="0" w:line="149" w:lineRule="exact"/>
              <w:rPr>
                <w:sz w:val="20"/>
                <w:szCs w:val="20"/>
                <w:color w:val="auto"/>
              </w:rPr>
            </w:pPr>
            <w:r>
              <w:rPr>
                <w:rFonts w:ascii="Arial" w:cs="Arial" w:eastAsia="Arial" w:hAnsi="Arial"/>
                <w:sz w:val="14"/>
                <w:szCs w:val="14"/>
                <w:b w:val="1"/>
                <w:bCs w:val="1"/>
                <w:color w:val="FFFFFF"/>
              </w:rPr>
              <w:t>Swaps Maturity (months)</w:t>
            </w:r>
          </w:p>
        </w:tc>
        <w:tc>
          <w:tcPr>
            <w:tcW w:w="1300" w:type="dxa"/>
            <w:vAlign w:val="bottom"/>
            <w:tcBorders>
              <w:bottom w:val="single" w:sz="8" w:color="1C4787"/>
            </w:tcBorders>
            <w:shd w:val="clear" w:color="auto" w:fill="1C4787"/>
          </w:tcPr>
          <w:p>
            <w:pPr>
              <w:jc w:val="right"/>
              <w:ind w:right="169"/>
              <w:spacing w:after="0"/>
              <w:rPr>
                <w:sz w:val="20"/>
                <w:szCs w:val="20"/>
                <w:color w:val="auto"/>
              </w:rPr>
            </w:pPr>
            <w:r>
              <w:rPr>
                <w:rFonts w:ascii="Arial" w:cs="Arial" w:eastAsia="Arial" w:hAnsi="Arial"/>
                <w:sz w:val="14"/>
                <w:szCs w:val="14"/>
                <w:b w:val="1"/>
                <w:bCs w:val="1"/>
                <w:color w:val="FFFFFF"/>
              </w:rPr>
              <w:t>(in $ millions)</w:t>
            </w:r>
          </w:p>
        </w:tc>
        <w:tc>
          <w:tcPr>
            <w:tcW w:w="780" w:type="dxa"/>
            <w:vAlign w:val="bottom"/>
            <w:tcBorders>
              <w:bottom w:val="single" w:sz="8" w:color="1C4787"/>
            </w:tcBorders>
            <w:shd w:val="clear" w:color="auto" w:fill="1C4787"/>
          </w:tcPr>
          <w:p>
            <w:pPr>
              <w:spacing w:after="0"/>
              <w:rPr>
                <w:sz w:val="15"/>
                <w:szCs w:val="15"/>
                <w:color w:val="auto"/>
              </w:rPr>
            </w:pPr>
          </w:p>
        </w:tc>
        <w:tc>
          <w:tcPr>
            <w:tcW w:w="880" w:type="dxa"/>
            <w:vAlign w:val="bottom"/>
            <w:tcBorders>
              <w:bottom w:val="single" w:sz="8" w:color="1C4787"/>
            </w:tcBorders>
            <w:shd w:val="clear" w:color="auto" w:fill="1C4787"/>
          </w:tcPr>
          <w:p>
            <w:pPr>
              <w:jc w:val="right"/>
              <w:ind w:right="49"/>
              <w:spacing w:after="0"/>
              <w:rPr>
                <w:sz w:val="20"/>
                <w:szCs w:val="20"/>
                <w:color w:val="auto"/>
              </w:rPr>
            </w:pPr>
            <w:r>
              <w:rPr>
                <w:rFonts w:ascii="Arial" w:cs="Arial" w:eastAsia="Arial" w:hAnsi="Arial"/>
                <w:sz w:val="14"/>
                <w:szCs w:val="14"/>
                <w:b w:val="1"/>
                <w:bCs w:val="1"/>
                <w:color w:val="FFFFFF"/>
              </w:rPr>
              <w:t>(months)</w:t>
            </w:r>
          </w:p>
        </w:tc>
        <w:tc>
          <w:tcPr>
            <w:tcW w:w="1080" w:type="dxa"/>
            <w:vAlign w:val="bottom"/>
            <w:tcBorders>
              <w:bottom w:val="single" w:sz="8" w:color="1C4787"/>
              <w:right w:val="single" w:sz="8" w:color="1C4787"/>
            </w:tcBorders>
            <w:gridSpan w:val="2"/>
            <w:shd w:val="clear" w:color="auto" w:fill="1C4787"/>
          </w:tcPr>
          <w:p>
            <w:pPr>
              <w:jc w:val="right"/>
              <w:spacing w:after="0" w:line="149" w:lineRule="exact"/>
              <w:rPr>
                <w:sz w:val="20"/>
                <w:szCs w:val="20"/>
                <w:color w:val="auto"/>
              </w:rPr>
            </w:pPr>
            <w:r>
              <w:rPr>
                <w:rFonts w:ascii="Arial" w:cs="Arial" w:eastAsia="Arial" w:hAnsi="Arial"/>
                <w:sz w:val="14"/>
                <w:szCs w:val="14"/>
                <w:b w:val="1"/>
                <w:bCs w:val="1"/>
                <w:color w:val="FFFFFF"/>
              </w:rPr>
              <w:t>Average Rate</w:t>
            </w:r>
          </w:p>
        </w:tc>
        <w:tc>
          <w:tcPr>
            <w:tcW w:w="440" w:type="dxa"/>
            <w:vAlign w:val="bottom"/>
          </w:tcPr>
          <w:p>
            <w:pPr>
              <w:spacing w:after="0"/>
              <w:rPr>
                <w:sz w:val="15"/>
                <w:szCs w:val="15"/>
                <w:color w:val="auto"/>
              </w:rPr>
            </w:pPr>
          </w:p>
        </w:tc>
        <w:tc>
          <w:tcPr>
            <w:tcW w:w="760" w:type="dxa"/>
            <w:vAlign w:val="bottom"/>
            <w:tcBorders>
              <w:bottom w:val="single" w:sz="8" w:color="1C4787"/>
            </w:tcBorders>
            <w:shd w:val="clear" w:color="auto" w:fill="1C4787"/>
          </w:tcPr>
          <w:p>
            <w:pPr>
              <w:spacing w:after="0"/>
              <w:rPr>
                <w:sz w:val="15"/>
                <w:szCs w:val="15"/>
                <w:color w:val="auto"/>
              </w:rPr>
            </w:pPr>
          </w:p>
        </w:tc>
        <w:tc>
          <w:tcPr>
            <w:tcW w:w="1820" w:type="dxa"/>
            <w:vAlign w:val="bottom"/>
            <w:tcBorders>
              <w:bottom w:val="single" w:sz="8" w:color="1C4787"/>
            </w:tcBorders>
            <w:shd w:val="clear" w:color="auto" w:fill="1C4787"/>
          </w:tcPr>
          <w:p>
            <w:pPr>
              <w:spacing w:after="0"/>
              <w:rPr>
                <w:sz w:val="15"/>
                <w:szCs w:val="15"/>
                <w:color w:val="auto"/>
              </w:rPr>
            </w:pPr>
          </w:p>
        </w:tc>
        <w:tc>
          <w:tcPr>
            <w:tcW w:w="1380" w:type="dxa"/>
            <w:vAlign w:val="bottom"/>
            <w:tcBorders>
              <w:bottom w:val="single" w:sz="8" w:color="1C4787"/>
              <w:right w:val="single" w:sz="8" w:color="1C4787"/>
            </w:tcBorders>
            <w:shd w:val="clear" w:color="auto" w:fill="1C4787"/>
          </w:tcPr>
          <w:p>
            <w:pPr>
              <w:spacing w:after="0"/>
              <w:rPr>
                <w:sz w:val="15"/>
                <w:szCs w:val="15"/>
                <w:color w:val="auto"/>
              </w:rPr>
            </w:pPr>
          </w:p>
        </w:tc>
        <w:tc>
          <w:tcPr>
            <w:tcW w:w="20" w:type="dxa"/>
            <w:vAlign w:val="bottom"/>
            <w:tcBorders>
              <w:bottom w:val="single" w:sz="8" w:color="1C4787"/>
            </w:tcBorders>
            <w:shd w:val="clear" w:color="auto" w:fill="1C4787"/>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1880" w:type="dxa"/>
            <w:vAlign w:val="bottom"/>
            <w:tcBorders>
              <w:top w:val="single" w:sz="8" w:color="5B9BD5"/>
              <w:left w:val="single" w:sz="8" w:color="5B9BD5"/>
              <w:bottom w:val="single" w:sz="8" w:color="5B9BD5"/>
            </w:tcBorders>
          </w:tcPr>
          <w:p>
            <w:pPr>
              <w:ind w:left="40"/>
              <w:spacing w:after="0"/>
              <w:rPr>
                <w:sz w:val="20"/>
                <w:szCs w:val="20"/>
                <w:color w:val="auto"/>
              </w:rPr>
            </w:pPr>
            <w:r>
              <w:rPr>
                <w:rFonts w:ascii="Arial" w:cs="Arial" w:eastAsia="Arial" w:hAnsi="Arial"/>
                <w:sz w:val="14"/>
                <w:szCs w:val="14"/>
                <w:b w:val="1"/>
                <w:bCs w:val="1"/>
                <w:color w:val="auto"/>
              </w:rPr>
              <w:t>0-12</w:t>
            </w:r>
          </w:p>
        </w:tc>
        <w:tc>
          <w:tcPr>
            <w:tcW w:w="1300" w:type="dxa"/>
            <w:vAlign w:val="bottom"/>
            <w:tcBorders>
              <w:top w:val="single" w:sz="8" w:color="5B9BD5"/>
              <w:bottom w:val="single" w:sz="8" w:color="5B9BD5"/>
            </w:tcBorders>
          </w:tcPr>
          <w:p>
            <w:pPr>
              <w:jc w:val="right"/>
              <w:ind w:right="169"/>
              <w:spacing w:after="0"/>
              <w:rPr>
                <w:sz w:val="20"/>
                <w:szCs w:val="20"/>
                <w:color w:val="auto"/>
              </w:rPr>
            </w:pPr>
            <w:r>
              <w:rPr>
                <w:rFonts w:ascii="Arial" w:cs="Arial" w:eastAsia="Arial" w:hAnsi="Arial"/>
                <w:sz w:val="14"/>
                <w:szCs w:val="14"/>
                <w:color w:val="auto"/>
              </w:rPr>
              <w:t>1,479</w:t>
            </w:r>
          </w:p>
        </w:tc>
        <w:tc>
          <w:tcPr>
            <w:tcW w:w="780" w:type="dxa"/>
            <w:vAlign w:val="bottom"/>
            <w:tcBorders>
              <w:top w:val="single" w:sz="8" w:color="5B9BD5"/>
              <w:bottom w:val="single" w:sz="8" w:color="5B9BD5"/>
            </w:tcBorders>
          </w:tcPr>
          <w:p>
            <w:pPr>
              <w:spacing w:after="0"/>
              <w:rPr>
                <w:sz w:val="24"/>
                <w:szCs w:val="24"/>
                <w:color w:val="auto"/>
              </w:rPr>
            </w:pPr>
          </w:p>
        </w:tc>
        <w:tc>
          <w:tcPr>
            <w:tcW w:w="880" w:type="dxa"/>
            <w:vAlign w:val="bottom"/>
            <w:tcBorders>
              <w:top w:val="single" w:sz="8" w:color="5B9BD5"/>
              <w:bottom w:val="single" w:sz="8" w:color="5B9BD5"/>
            </w:tcBorders>
          </w:tcPr>
          <w:p>
            <w:pPr>
              <w:jc w:val="right"/>
              <w:ind w:right="89"/>
              <w:spacing w:after="0"/>
              <w:rPr>
                <w:sz w:val="20"/>
                <w:szCs w:val="20"/>
                <w:color w:val="auto"/>
              </w:rPr>
            </w:pPr>
            <w:r>
              <w:rPr>
                <w:rFonts w:ascii="Arial" w:cs="Arial" w:eastAsia="Arial" w:hAnsi="Arial"/>
                <w:sz w:val="14"/>
                <w:szCs w:val="14"/>
                <w:color w:val="auto"/>
              </w:rPr>
              <w:t>9</w:t>
            </w:r>
          </w:p>
        </w:tc>
        <w:tc>
          <w:tcPr>
            <w:tcW w:w="680" w:type="dxa"/>
            <w:vAlign w:val="bottom"/>
            <w:tcBorders>
              <w:top w:val="single" w:sz="8" w:color="5B9BD5"/>
              <w:bottom w:val="single" w:sz="8" w:color="5B9BD5"/>
            </w:tcBorders>
          </w:tcPr>
          <w:p>
            <w:pPr>
              <w:spacing w:after="0"/>
              <w:rPr>
                <w:sz w:val="24"/>
                <w:szCs w:val="24"/>
                <w:color w:val="auto"/>
              </w:rPr>
            </w:pPr>
          </w:p>
        </w:tc>
        <w:tc>
          <w:tcPr>
            <w:tcW w:w="400" w:type="dxa"/>
            <w:vAlign w:val="bottom"/>
            <w:tcBorders>
              <w:top w:val="single" w:sz="8" w:color="5B9BD5"/>
              <w:bottom w:val="single" w:sz="8" w:color="5B9BD5"/>
            </w:tcBorders>
          </w:tcPr>
          <w:p>
            <w:pPr>
              <w:jc w:val="right"/>
              <w:ind w:right="9"/>
              <w:spacing w:after="0"/>
              <w:rPr>
                <w:sz w:val="20"/>
                <w:szCs w:val="20"/>
                <w:color w:val="auto"/>
              </w:rPr>
            </w:pPr>
            <w:r>
              <w:rPr>
                <w:rFonts w:ascii="Arial" w:cs="Arial" w:eastAsia="Arial" w:hAnsi="Arial"/>
                <w:sz w:val="14"/>
                <w:szCs w:val="14"/>
                <w:color w:val="auto"/>
              </w:rPr>
              <w:t>1.42</w:t>
            </w:r>
          </w:p>
        </w:tc>
        <w:tc>
          <w:tcPr>
            <w:tcW w:w="440" w:type="dxa"/>
            <w:vAlign w:val="bottom"/>
            <w:tcBorders>
              <w:top w:val="single" w:sz="8" w:color="5B9BD5"/>
              <w:bottom w:val="single" w:sz="8" w:color="5B9BD5"/>
            </w:tcBorders>
          </w:tcPr>
          <w:p>
            <w:pPr>
              <w:spacing w:after="0"/>
              <w:rPr>
                <w:sz w:val="24"/>
                <w:szCs w:val="24"/>
                <w:color w:val="auto"/>
              </w:rPr>
            </w:pPr>
          </w:p>
        </w:tc>
        <w:tc>
          <w:tcPr>
            <w:tcW w:w="760" w:type="dxa"/>
            <w:vAlign w:val="bottom"/>
            <w:tcBorders>
              <w:top w:val="single" w:sz="8" w:color="5B9BD5"/>
              <w:bottom w:val="single" w:sz="8" w:color="5B9BD5"/>
            </w:tcBorders>
          </w:tcPr>
          <w:p>
            <w:pPr>
              <w:spacing w:after="0"/>
              <w:rPr>
                <w:sz w:val="24"/>
                <w:szCs w:val="24"/>
                <w:color w:val="auto"/>
              </w:rPr>
            </w:pPr>
          </w:p>
        </w:tc>
        <w:tc>
          <w:tcPr>
            <w:tcW w:w="1820" w:type="dxa"/>
            <w:vAlign w:val="bottom"/>
            <w:tcBorders>
              <w:top w:val="single" w:sz="8" w:color="5B9BD5"/>
              <w:bottom w:val="single" w:sz="8" w:color="5B9BD5"/>
            </w:tcBorders>
          </w:tcPr>
          <w:p>
            <w:pPr>
              <w:spacing w:after="0"/>
              <w:rPr>
                <w:sz w:val="24"/>
                <w:szCs w:val="24"/>
                <w:color w:val="auto"/>
              </w:rPr>
            </w:pPr>
          </w:p>
        </w:tc>
        <w:tc>
          <w:tcPr>
            <w:tcW w:w="1380" w:type="dxa"/>
            <w:vAlign w:val="bottom"/>
            <w:tcBorders>
              <w:top w:val="single" w:sz="8" w:color="5B9BD5"/>
              <w:bottom w:val="single" w:sz="8" w:color="5B9BD5"/>
              <w:right w:val="single" w:sz="8" w:color="5B9BD5"/>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13-24</w:t>
            </w:r>
          </w:p>
        </w:tc>
        <w:tc>
          <w:tcPr>
            <w:tcW w:w="1300" w:type="dxa"/>
            <w:vAlign w:val="bottom"/>
          </w:tcPr>
          <w:p>
            <w:pPr>
              <w:jc w:val="right"/>
              <w:ind w:right="169"/>
              <w:spacing w:after="0"/>
              <w:rPr>
                <w:sz w:val="20"/>
                <w:szCs w:val="20"/>
                <w:color w:val="auto"/>
              </w:rPr>
            </w:pPr>
            <w:r>
              <w:rPr>
                <w:rFonts w:ascii="Arial" w:cs="Arial" w:eastAsia="Arial" w:hAnsi="Arial"/>
                <w:sz w:val="14"/>
                <w:szCs w:val="14"/>
                <w:color w:val="auto"/>
              </w:rPr>
              <w:t>2,500</w:t>
            </w:r>
          </w:p>
        </w:tc>
        <w:tc>
          <w:tcPr>
            <w:tcW w:w="780" w:type="dxa"/>
            <w:vAlign w:val="bottom"/>
          </w:tcPr>
          <w:p>
            <w:pPr>
              <w:spacing w:after="0"/>
              <w:rPr>
                <w:sz w:val="24"/>
                <w:szCs w:val="2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20</w:t>
            </w:r>
          </w:p>
        </w:tc>
        <w:tc>
          <w:tcPr>
            <w:tcW w:w="680" w:type="dxa"/>
            <w:vAlign w:val="bottom"/>
          </w:tcPr>
          <w:p>
            <w:pPr>
              <w:spacing w:after="0"/>
              <w:rPr>
                <w:sz w:val="24"/>
                <w:szCs w:val="2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3.62</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25-36</w:t>
            </w:r>
          </w:p>
        </w:tc>
        <w:tc>
          <w:tcPr>
            <w:tcW w:w="1300" w:type="dxa"/>
            <w:vAlign w:val="bottom"/>
          </w:tcPr>
          <w:p>
            <w:pPr>
              <w:jc w:val="right"/>
              <w:ind w:right="169"/>
              <w:spacing w:after="0"/>
              <w:rPr>
                <w:sz w:val="20"/>
                <w:szCs w:val="20"/>
                <w:color w:val="auto"/>
              </w:rPr>
            </w:pPr>
            <w:r>
              <w:rPr>
                <w:rFonts w:ascii="Arial" w:cs="Arial" w:eastAsia="Arial" w:hAnsi="Arial"/>
                <w:sz w:val="14"/>
                <w:szCs w:val="14"/>
                <w:color w:val="auto"/>
              </w:rPr>
              <w:t>3,593</w:t>
            </w:r>
          </w:p>
        </w:tc>
        <w:tc>
          <w:tcPr>
            <w:tcW w:w="780" w:type="dxa"/>
            <w:vAlign w:val="bottom"/>
          </w:tcPr>
          <w:p>
            <w:pPr>
              <w:spacing w:after="0"/>
              <w:rPr>
                <w:sz w:val="24"/>
                <w:szCs w:val="2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30</w:t>
            </w:r>
          </w:p>
        </w:tc>
        <w:tc>
          <w:tcPr>
            <w:tcW w:w="680" w:type="dxa"/>
            <w:vAlign w:val="bottom"/>
          </w:tcPr>
          <w:p>
            <w:pPr>
              <w:spacing w:after="0"/>
              <w:rPr>
                <w:sz w:val="24"/>
                <w:szCs w:val="2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3.52</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37-48</w:t>
            </w:r>
          </w:p>
        </w:tc>
        <w:tc>
          <w:tcPr>
            <w:tcW w:w="1300" w:type="dxa"/>
            <w:vAlign w:val="bottom"/>
          </w:tcPr>
          <w:p>
            <w:pPr>
              <w:jc w:val="right"/>
              <w:ind w:right="169"/>
              <w:spacing w:after="0"/>
              <w:rPr>
                <w:sz w:val="20"/>
                <w:szCs w:val="20"/>
                <w:color w:val="auto"/>
              </w:rPr>
            </w:pPr>
            <w:r>
              <w:rPr>
                <w:rFonts w:ascii="Arial" w:cs="Arial" w:eastAsia="Arial" w:hAnsi="Arial"/>
                <w:sz w:val="14"/>
                <w:szCs w:val="14"/>
                <w:color w:val="auto"/>
              </w:rPr>
              <w:t>1,302</w:t>
            </w:r>
          </w:p>
        </w:tc>
        <w:tc>
          <w:tcPr>
            <w:tcW w:w="780" w:type="dxa"/>
            <w:vAlign w:val="bottom"/>
          </w:tcPr>
          <w:p>
            <w:pPr>
              <w:spacing w:after="0"/>
              <w:rPr>
                <w:sz w:val="24"/>
                <w:szCs w:val="2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42</w:t>
            </w:r>
          </w:p>
        </w:tc>
        <w:tc>
          <w:tcPr>
            <w:tcW w:w="680" w:type="dxa"/>
            <w:vAlign w:val="bottom"/>
          </w:tcPr>
          <w:p>
            <w:pPr>
              <w:spacing w:after="0"/>
              <w:rPr>
                <w:sz w:val="24"/>
                <w:szCs w:val="2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1.01</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49-60</w:t>
            </w:r>
          </w:p>
        </w:tc>
        <w:tc>
          <w:tcPr>
            <w:tcW w:w="1300" w:type="dxa"/>
            <w:vAlign w:val="bottom"/>
          </w:tcPr>
          <w:p>
            <w:pPr>
              <w:jc w:val="right"/>
              <w:ind w:right="169"/>
              <w:spacing w:after="0"/>
              <w:rPr>
                <w:sz w:val="20"/>
                <w:szCs w:val="20"/>
                <w:color w:val="auto"/>
              </w:rPr>
            </w:pPr>
            <w:r>
              <w:rPr>
                <w:rFonts w:ascii="Arial" w:cs="Arial" w:eastAsia="Arial" w:hAnsi="Arial"/>
                <w:sz w:val="14"/>
                <w:szCs w:val="14"/>
                <w:color w:val="auto"/>
              </w:rPr>
              <w:t>2,150</w:t>
            </w:r>
          </w:p>
        </w:tc>
        <w:tc>
          <w:tcPr>
            <w:tcW w:w="780" w:type="dxa"/>
            <w:vAlign w:val="bottom"/>
          </w:tcPr>
          <w:p>
            <w:pPr>
              <w:spacing w:after="0"/>
              <w:rPr>
                <w:sz w:val="24"/>
                <w:szCs w:val="2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56</w:t>
            </w:r>
          </w:p>
        </w:tc>
        <w:tc>
          <w:tcPr>
            <w:tcW w:w="680" w:type="dxa"/>
            <w:vAlign w:val="bottom"/>
          </w:tcPr>
          <w:p>
            <w:pPr>
              <w:spacing w:after="0"/>
              <w:rPr>
                <w:sz w:val="24"/>
                <w:szCs w:val="2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0.93</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61-72</w:t>
            </w:r>
          </w:p>
        </w:tc>
        <w:tc>
          <w:tcPr>
            <w:tcW w:w="1300" w:type="dxa"/>
            <w:vAlign w:val="bottom"/>
          </w:tcPr>
          <w:p>
            <w:pPr>
              <w:jc w:val="right"/>
              <w:ind w:right="169"/>
              <w:spacing w:after="0"/>
              <w:rPr>
                <w:sz w:val="20"/>
                <w:szCs w:val="20"/>
                <w:color w:val="auto"/>
              </w:rPr>
            </w:pPr>
            <w:r>
              <w:rPr>
                <w:rFonts w:ascii="Arial" w:cs="Arial" w:eastAsia="Arial" w:hAnsi="Arial"/>
                <w:sz w:val="14"/>
                <w:szCs w:val="14"/>
                <w:color w:val="auto"/>
              </w:rPr>
              <w:t>400</w:t>
            </w:r>
          </w:p>
        </w:tc>
        <w:tc>
          <w:tcPr>
            <w:tcW w:w="780" w:type="dxa"/>
            <w:vAlign w:val="bottom"/>
          </w:tcPr>
          <w:p>
            <w:pPr>
              <w:spacing w:after="0"/>
              <w:rPr>
                <w:sz w:val="24"/>
                <w:szCs w:val="2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69</w:t>
            </w:r>
          </w:p>
        </w:tc>
        <w:tc>
          <w:tcPr>
            <w:tcW w:w="680" w:type="dxa"/>
            <w:vAlign w:val="bottom"/>
          </w:tcPr>
          <w:p>
            <w:pPr>
              <w:spacing w:after="0"/>
              <w:rPr>
                <w:sz w:val="24"/>
                <w:szCs w:val="2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1.48</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73-84</w:t>
            </w:r>
          </w:p>
        </w:tc>
        <w:tc>
          <w:tcPr>
            <w:tcW w:w="1300" w:type="dxa"/>
            <w:vAlign w:val="bottom"/>
          </w:tcPr>
          <w:p>
            <w:pPr>
              <w:jc w:val="right"/>
              <w:ind w:right="169"/>
              <w:spacing w:after="0"/>
              <w:rPr>
                <w:sz w:val="20"/>
                <w:szCs w:val="20"/>
                <w:color w:val="auto"/>
              </w:rPr>
            </w:pPr>
            <w:r>
              <w:rPr>
                <w:rFonts w:ascii="Arial" w:cs="Arial" w:eastAsia="Arial" w:hAnsi="Arial"/>
                <w:sz w:val="14"/>
                <w:szCs w:val="14"/>
                <w:color w:val="auto"/>
              </w:rPr>
              <w:t>1,150</w:t>
            </w:r>
          </w:p>
        </w:tc>
        <w:tc>
          <w:tcPr>
            <w:tcW w:w="780" w:type="dxa"/>
            <w:vAlign w:val="bottom"/>
          </w:tcPr>
          <w:p>
            <w:pPr>
              <w:spacing w:after="0"/>
              <w:rPr>
                <w:sz w:val="24"/>
                <w:szCs w:val="2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79</w:t>
            </w:r>
          </w:p>
        </w:tc>
        <w:tc>
          <w:tcPr>
            <w:tcW w:w="680" w:type="dxa"/>
            <w:vAlign w:val="bottom"/>
          </w:tcPr>
          <w:p>
            <w:pPr>
              <w:spacing w:after="0"/>
              <w:rPr>
                <w:sz w:val="24"/>
                <w:szCs w:val="2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3.03</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85-96</w:t>
            </w:r>
          </w:p>
        </w:tc>
        <w:tc>
          <w:tcPr>
            <w:tcW w:w="130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780" w:type="dxa"/>
            <w:vAlign w:val="bottom"/>
          </w:tcPr>
          <w:p>
            <w:pPr>
              <w:spacing w:after="0"/>
              <w:rPr>
                <w:sz w:val="24"/>
                <w:szCs w:val="2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4"/>
                <w:szCs w:val="2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97-108</w:t>
            </w:r>
          </w:p>
        </w:tc>
        <w:tc>
          <w:tcPr>
            <w:tcW w:w="1300" w:type="dxa"/>
            <w:vAlign w:val="bottom"/>
          </w:tcPr>
          <w:p>
            <w:pPr>
              <w:jc w:val="right"/>
              <w:ind w:right="169"/>
              <w:spacing w:after="0"/>
              <w:rPr>
                <w:sz w:val="20"/>
                <w:szCs w:val="20"/>
                <w:color w:val="auto"/>
              </w:rPr>
            </w:pPr>
            <w:r>
              <w:rPr>
                <w:rFonts w:ascii="Arial" w:cs="Arial" w:eastAsia="Arial" w:hAnsi="Arial"/>
                <w:sz w:val="14"/>
                <w:szCs w:val="14"/>
                <w:color w:val="auto"/>
              </w:rPr>
              <w:t>800</w:t>
            </w:r>
          </w:p>
        </w:tc>
        <w:tc>
          <w:tcPr>
            <w:tcW w:w="780" w:type="dxa"/>
            <w:vAlign w:val="bottom"/>
          </w:tcPr>
          <w:p>
            <w:pPr>
              <w:spacing w:after="0"/>
              <w:rPr>
                <w:sz w:val="24"/>
                <w:szCs w:val="2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102</w:t>
            </w:r>
          </w:p>
        </w:tc>
        <w:tc>
          <w:tcPr>
            <w:tcW w:w="680" w:type="dxa"/>
            <w:vAlign w:val="bottom"/>
          </w:tcPr>
          <w:p>
            <w:pPr>
              <w:spacing w:after="0"/>
              <w:rPr>
                <w:sz w:val="24"/>
                <w:szCs w:val="2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3.76</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109-120</w:t>
            </w:r>
          </w:p>
        </w:tc>
        <w:tc>
          <w:tcPr>
            <w:tcW w:w="1300" w:type="dxa"/>
            <w:vAlign w:val="bottom"/>
          </w:tcPr>
          <w:p>
            <w:pPr>
              <w:jc w:val="right"/>
              <w:ind w:right="169"/>
              <w:spacing w:after="0"/>
              <w:rPr>
                <w:sz w:val="20"/>
                <w:szCs w:val="20"/>
                <w:color w:val="auto"/>
              </w:rPr>
            </w:pPr>
            <w:r>
              <w:rPr>
                <w:rFonts w:ascii="Arial" w:cs="Arial" w:eastAsia="Arial" w:hAnsi="Arial"/>
                <w:sz w:val="14"/>
                <w:szCs w:val="14"/>
                <w:color w:val="auto"/>
              </w:rPr>
              <w:t>1,190</w:t>
            </w:r>
          </w:p>
        </w:tc>
        <w:tc>
          <w:tcPr>
            <w:tcW w:w="780" w:type="dxa"/>
            <w:vAlign w:val="bottom"/>
          </w:tcPr>
          <w:p>
            <w:pPr>
              <w:spacing w:after="0"/>
              <w:rPr>
                <w:sz w:val="24"/>
                <w:szCs w:val="24"/>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115</w:t>
            </w:r>
          </w:p>
        </w:tc>
        <w:tc>
          <w:tcPr>
            <w:tcW w:w="680" w:type="dxa"/>
            <w:vAlign w:val="bottom"/>
          </w:tcPr>
          <w:p>
            <w:pPr>
              <w:spacing w:after="0"/>
              <w:rPr>
                <w:sz w:val="24"/>
                <w:szCs w:val="2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3.80</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0" w:type="dxa"/>
            <w:vAlign w:val="bottom"/>
            <w:tcBorders>
              <w:bottom w:val="single" w:sz="8" w:color="5B9BD5"/>
            </w:tcBorders>
          </w:tcPr>
          <w:p>
            <w:pPr>
              <w:spacing w:after="0"/>
              <w:rPr>
                <w:sz w:val="24"/>
                <w:szCs w:val="24"/>
                <w:color w:val="auto"/>
              </w:rPr>
            </w:pPr>
          </w:p>
        </w:tc>
        <w:tc>
          <w:tcPr>
            <w:tcW w:w="1880" w:type="dxa"/>
            <w:vAlign w:val="bottom"/>
            <w:tcBorders>
              <w:bottom w:val="single" w:sz="8" w:color="5B9BD5"/>
            </w:tcBorders>
          </w:tcPr>
          <w:p>
            <w:pPr>
              <w:ind w:left="40"/>
              <w:spacing w:after="0"/>
              <w:rPr>
                <w:sz w:val="20"/>
                <w:szCs w:val="20"/>
                <w:color w:val="auto"/>
              </w:rPr>
            </w:pPr>
            <w:r>
              <w:rPr>
                <w:rFonts w:ascii="Arial" w:cs="Arial" w:eastAsia="Arial" w:hAnsi="Arial"/>
                <w:sz w:val="14"/>
                <w:szCs w:val="14"/>
                <w:b w:val="1"/>
                <w:bCs w:val="1"/>
                <w:color w:val="auto"/>
              </w:rPr>
              <w:t>&gt;120</w:t>
            </w:r>
          </w:p>
        </w:tc>
        <w:tc>
          <w:tcPr>
            <w:tcW w:w="1300" w:type="dxa"/>
            <w:vAlign w:val="bottom"/>
            <w:tcBorders>
              <w:bottom w:val="single" w:sz="8" w:color="5B9BD5"/>
            </w:tcBorders>
          </w:tcPr>
          <w:p>
            <w:pPr>
              <w:jc w:val="right"/>
              <w:ind w:right="169"/>
              <w:spacing w:after="0"/>
              <w:rPr>
                <w:sz w:val="20"/>
                <w:szCs w:val="20"/>
                <w:color w:val="auto"/>
              </w:rPr>
            </w:pPr>
            <w:r>
              <w:rPr>
                <w:rFonts w:ascii="Arial" w:cs="Arial" w:eastAsia="Arial" w:hAnsi="Arial"/>
                <w:sz w:val="14"/>
                <w:szCs w:val="14"/>
                <w:color w:val="auto"/>
              </w:rPr>
              <w:t>775</w:t>
            </w:r>
          </w:p>
        </w:tc>
        <w:tc>
          <w:tcPr>
            <w:tcW w:w="780" w:type="dxa"/>
            <w:vAlign w:val="bottom"/>
            <w:tcBorders>
              <w:bottom w:val="single" w:sz="8" w:color="5B9BD5"/>
            </w:tcBorders>
          </w:tcPr>
          <w:p>
            <w:pPr>
              <w:spacing w:after="0"/>
              <w:rPr>
                <w:sz w:val="24"/>
                <w:szCs w:val="24"/>
                <w:color w:val="auto"/>
              </w:rPr>
            </w:pPr>
          </w:p>
        </w:tc>
        <w:tc>
          <w:tcPr>
            <w:tcW w:w="880" w:type="dxa"/>
            <w:vAlign w:val="bottom"/>
            <w:tcBorders>
              <w:bottom w:val="single" w:sz="8" w:color="5B9BD5"/>
            </w:tcBorders>
          </w:tcPr>
          <w:p>
            <w:pPr>
              <w:jc w:val="right"/>
              <w:ind w:right="89"/>
              <w:spacing w:after="0"/>
              <w:rPr>
                <w:sz w:val="20"/>
                <w:szCs w:val="20"/>
                <w:color w:val="auto"/>
              </w:rPr>
            </w:pPr>
            <w:r>
              <w:rPr>
                <w:rFonts w:ascii="Arial" w:cs="Arial" w:eastAsia="Arial" w:hAnsi="Arial"/>
                <w:sz w:val="14"/>
                <w:szCs w:val="14"/>
                <w:color w:val="auto"/>
              </w:rPr>
              <w:t>177</w:t>
            </w:r>
          </w:p>
        </w:tc>
        <w:tc>
          <w:tcPr>
            <w:tcW w:w="680" w:type="dxa"/>
            <w:vAlign w:val="bottom"/>
            <w:tcBorders>
              <w:bottom w:val="single" w:sz="8" w:color="5B9BD5"/>
            </w:tcBorders>
          </w:tcPr>
          <w:p>
            <w:pPr>
              <w:spacing w:after="0"/>
              <w:rPr>
                <w:sz w:val="24"/>
                <w:szCs w:val="24"/>
                <w:color w:val="auto"/>
              </w:rPr>
            </w:pPr>
          </w:p>
        </w:tc>
        <w:tc>
          <w:tcPr>
            <w:tcW w:w="400" w:type="dxa"/>
            <w:vAlign w:val="bottom"/>
            <w:tcBorders>
              <w:bottom w:val="single" w:sz="8" w:color="5B9BD5"/>
            </w:tcBorders>
          </w:tcPr>
          <w:p>
            <w:pPr>
              <w:jc w:val="right"/>
              <w:ind w:right="9"/>
              <w:spacing w:after="0"/>
              <w:rPr>
                <w:sz w:val="20"/>
                <w:szCs w:val="20"/>
                <w:color w:val="auto"/>
              </w:rPr>
            </w:pPr>
            <w:r>
              <w:rPr>
                <w:rFonts w:ascii="Arial" w:cs="Arial" w:eastAsia="Arial" w:hAnsi="Arial"/>
                <w:sz w:val="14"/>
                <w:szCs w:val="14"/>
                <w:color w:val="auto"/>
              </w:rPr>
              <w:t>4.22</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 w:type="dxa"/>
            <w:vAlign w:val="bottom"/>
            <w:tcBorders>
              <w:right w:val="single" w:sz="8" w:color="5B9BD5"/>
            </w:tcBorders>
            <w:shd w:val="clear" w:color="auto" w:fill="5B9BD5"/>
          </w:tcPr>
          <w:p>
            <w:pPr>
              <w:spacing w:after="0"/>
              <w:rPr>
                <w:sz w:val="23"/>
                <w:szCs w:val="23"/>
                <w:color w:val="auto"/>
              </w:rPr>
            </w:pPr>
          </w:p>
        </w:tc>
        <w:tc>
          <w:tcPr>
            <w:tcW w:w="188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ind w:right="189"/>
              <w:spacing w:after="0"/>
              <w:rPr>
                <w:sz w:val="20"/>
                <w:szCs w:val="20"/>
                <w:color w:val="auto"/>
              </w:rPr>
            </w:pPr>
            <w:r>
              <w:rPr>
                <w:rFonts w:ascii="Arial" w:cs="Arial" w:eastAsia="Arial" w:hAnsi="Arial"/>
                <w:sz w:val="14"/>
                <w:szCs w:val="14"/>
                <w:b w:val="1"/>
                <w:bCs w:val="1"/>
                <w:color w:val="auto"/>
              </w:rPr>
              <w:t>15,339</w:t>
            </w:r>
          </w:p>
        </w:tc>
        <w:tc>
          <w:tcPr>
            <w:tcW w:w="780" w:type="dxa"/>
            <w:vAlign w:val="bottom"/>
          </w:tcPr>
          <w:p>
            <w:pPr>
              <w:spacing w:after="0"/>
              <w:rPr>
                <w:sz w:val="23"/>
                <w:szCs w:val="23"/>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auto"/>
              </w:rPr>
              <w:t>53</w:t>
            </w:r>
          </w:p>
        </w:tc>
        <w:tc>
          <w:tcPr>
            <w:tcW w:w="680" w:type="dxa"/>
            <w:vAlign w:val="bottom"/>
          </w:tcPr>
          <w:p>
            <w:pPr>
              <w:spacing w:after="0"/>
              <w:rPr>
                <w:sz w:val="23"/>
                <w:szCs w:val="23"/>
                <w:color w:val="auto"/>
              </w:rPr>
            </w:pPr>
          </w:p>
        </w:tc>
        <w:tc>
          <w:tcPr>
            <w:tcW w:w="400" w:type="dxa"/>
            <w:vAlign w:val="bottom"/>
            <w:tcBorders>
              <w:right w:val="single" w:sz="8" w:color="5B9BD5"/>
            </w:tcBorders>
          </w:tcPr>
          <w:p>
            <w:pPr>
              <w:jc w:val="right"/>
              <w:spacing w:after="0"/>
              <w:rPr>
                <w:sz w:val="20"/>
                <w:szCs w:val="20"/>
                <w:color w:val="auto"/>
              </w:rPr>
            </w:pPr>
            <w:r>
              <w:rPr>
                <w:rFonts w:ascii="Arial" w:cs="Arial" w:eastAsia="Arial" w:hAnsi="Arial"/>
                <w:sz w:val="14"/>
                <w:szCs w:val="14"/>
                <w:b w:val="1"/>
                <w:bCs w:val="1"/>
                <w:color w:val="auto"/>
              </w:rPr>
              <w:t>2.74</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5B9BD5"/>
              <w:right w:val="single" w:sz="8" w:color="5B9BD5"/>
            </w:tcBorders>
            <w:shd w:val="clear" w:color="auto" w:fill="5B9BD5"/>
          </w:tcPr>
          <w:p>
            <w:pPr>
              <w:spacing w:after="0"/>
              <w:rPr>
                <w:sz w:val="6"/>
                <w:szCs w:val="6"/>
                <w:color w:val="auto"/>
              </w:rPr>
            </w:pPr>
          </w:p>
        </w:tc>
        <w:tc>
          <w:tcPr>
            <w:tcW w:w="1880" w:type="dxa"/>
            <w:vAlign w:val="bottom"/>
            <w:tcBorders>
              <w:bottom w:val="single" w:sz="8" w:color="5B9BD5"/>
            </w:tcBorders>
          </w:tcPr>
          <w:p>
            <w:pPr>
              <w:spacing w:after="0"/>
              <w:rPr>
                <w:sz w:val="6"/>
                <w:szCs w:val="6"/>
                <w:color w:val="auto"/>
              </w:rPr>
            </w:pPr>
          </w:p>
        </w:tc>
        <w:tc>
          <w:tcPr>
            <w:tcW w:w="1300" w:type="dxa"/>
            <w:vAlign w:val="bottom"/>
            <w:tcBorders>
              <w:bottom w:val="single" w:sz="8" w:color="5B9BD5"/>
            </w:tcBorders>
          </w:tcPr>
          <w:p>
            <w:pPr>
              <w:spacing w:after="0"/>
              <w:rPr>
                <w:sz w:val="6"/>
                <w:szCs w:val="6"/>
                <w:color w:val="auto"/>
              </w:rPr>
            </w:pPr>
          </w:p>
        </w:tc>
        <w:tc>
          <w:tcPr>
            <w:tcW w:w="780" w:type="dxa"/>
            <w:vAlign w:val="bottom"/>
            <w:tcBorders>
              <w:bottom w:val="single" w:sz="8" w:color="5B9BD5"/>
            </w:tcBorders>
          </w:tcPr>
          <w:p>
            <w:pPr>
              <w:spacing w:after="0"/>
              <w:rPr>
                <w:sz w:val="6"/>
                <w:szCs w:val="6"/>
                <w:color w:val="auto"/>
              </w:rPr>
            </w:pPr>
          </w:p>
        </w:tc>
        <w:tc>
          <w:tcPr>
            <w:tcW w:w="880" w:type="dxa"/>
            <w:vAlign w:val="bottom"/>
            <w:tcBorders>
              <w:bottom w:val="single" w:sz="8" w:color="5B9BD5"/>
            </w:tcBorders>
          </w:tcPr>
          <w:p>
            <w:pPr>
              <w:spacing w:after="0"/>
              <w:rPr>
                <w:sz w:val="6"/>
                <w:szCs w:val="6"/>
                <w:color w:val="auto"/>
              </w:rPr>
            </w:pPr>
          </w:p>
        </w:tc>
        <w:tc>
          <w:tcPr>
            <w:tcW w:w="680" w:type="dxa"/>
            <w:vAlign w:val="bottom"/>
            <w:tcBorders>
              <w:bottom w:val="single" w:sz="8" w:color="5B9BD5"/>
            </w:tcBorders>
          </w:tcPr>
          <w:p>
            <w:pPr>
              <w:spacing w:after="0"/>
              <w:rPr>
                <w:sz w:val="6"/>
                <w:szCs w:val="6"/>
                <w:color w:val="auto"/>
              </w:rPr>
            </w:pPr>
          </w:p>
        </w:tc>
        <w:tc>
          <w:tcPr>
            <w:tcW w:w="400" w:type="dxa"/>
            <w:vAlign w:val="bottom"/>
            <w:tcBorders>
              <w:bottom w:val="single" w:sz="8" w:color="5B9BD5"/>
              <w:right w:val="single" w:sz="8" w:color="5B9BD5"/>
            </w:tcBorders>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700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7700010"/>
                    </a:xfrm>
                    <a:prstGeom prst="rect">
                      <a:avLst/>
                    </a:prstGeom>
                    <a:noFill/>
                  </pic:spPr>
                </pic:pic>
              </a:graphicData>
            </a:graphic>
          </wp:anchor>
        </w:drawing>
      </w:r>
    </w:p>
    <w:p>
      <w:pPr>
        <w:spacing w:after="0" w:line="309" w:lineRule="exact"/>
        <w:rPr>
          <w:sz w:val="20"/>
          <w:szCs w:val="20"/>
          <w:color w:val="auto"/>
        </w:rPr>
      </w:pPr>
    </w:p>
    <w:p>
      <w:pPr>
        <w:ind w:left="20" w:right="60"/>
        <w:spacing w:after="0" w:line="246" w:lineRule="auto"/>
        <w:rPr>
          <w:sz w:val="20"/>
          <w:szCs w:val="20"/>
          <w:color w:val="auto"/>
        </w:rPr>
      </w:pPr>
      <w:r>
        <w:rPr>
          <w:rFonts w:ascii="Arial" w:cs="Arial" w:eastAsia="Arial" w:hAnsi="Arial"/>
          <w:sz w:val="13"/>
          <w:szCs w:val="13"/>
          <w:color w:val="6D6D6D"/>
        </w:rPr>
        <w:t>Certain statements made in this presentation regarding ARMOUR Residential REIT, Inc. (“ARMOUR” or the “Company”), and any other statements regarding ARMOUR’s future expectations, beliefs, goals or prospects constitute “forward-looking statements” made within the meaning of the safe harbor provisions of the United States Private Securities Litigation Reform Act of 1995. Any statements that are not statements of historical fact (including statements containing the words “expect,” “estimate,” “project,” “budget,” “forecast,” “anticipate,” “intend,” “plan,” “may,” “will,” “could,” “should,” “believes,” “predicts,” “potential,” “continue,” and similar expressions) should also be considered forward-looking statements. Forward-looking statements include but are not limited to statements regarding the projections and future plans for ARMOUR’s business, growth and operational improvements. Because forward-looking statements relate to the future, they are subject to inherent uncertainties, risks and changes in circumstances that are difficult to predict and many of which are outside of ARMOUR’s control. A number of important factors could cause actual results or events to differ materially from those indicated by such forward-looking statements. Additional information concerning these factors and risks are contained in the Company’s most recent annual and quarterly reports and other reports filed with the Securities and Exchange Commission. ARMOUR assumes no obligation to update the information in this communication, except as otherwise required by law. Readers are cautioned not to place undue reliance on these forward-looking statements, which speak only as of the date hereof.</w:t>
      </w:r>
    </w:p>
    <w:p>
      <w:pPr>
        <w:spacing w:after="0" w:line="88" w:lineRule="exact"/>
        <w:rPr>
          <w:sz w:val="20"/>
          <w:szCs w:val="20"/>
          <w:color w:val="auto"/>
        </w:rPr>
      </w:pPr>
    </w:p>
    <w:p>
      <w:pPr>
        <w:ind w:left="20"/>
        <w:spacing w:after="0" w:line="251" w:lineRule="auto"/>
        <w:rPr>
          <w:sz w:val="20"/>
          <w:szCs w:val="20"/>
          <w:color w:val="auto"/>
        </w:rPr>
      </w:pPr>
      <w:r>
        <w:rPr>
          <w:rFonts w:ascii="Arial" w:cs="Arial" w:eastAsia="Arial" w:hAnsi="Arial"/>
          <w:sz w:val="13"/>
          <w:szCs w:val="13"/>
          <w:color w:val="6D6D6D"/>
        </w:rPr>
        <w:t>This material is for information purposes only and does not constitute an offer to sell, a solicitation of an offer to buy, or a recommendation for any securities or financial instruments. The statements, information and estimates contained herein are based on information that the Company believes to be reliable as of today's date unless otherwise indicated. ARMOUR cannot guarantee future results, levels of activity, performance or achievements.</w:t>
      </w:r>
    </w:p>
    <w:p>
      <w:pPr>
        <w:spacing w:after="0" w:line="98" w:lineRule="exact"/>
        <w:rPr>
          <w:sz w:val="20"/>
          <w:szCs w:val="20"/>
          <w:color w:val="auto"/>
        </w:rPr>
      </w:pPr>
    </w:p>
    <w:p>
      <w:pPr>
        <w:ind w:left="20" w:right="160"/>
        <w:spacing w:after="0" w:line="264" w:lineRule="auto"/>
        <w:rPr>
          <w:sz w:val="20"/>
          <w:szCs w:val="20"/>
          <w:color w:val="auto"/>
        </w:rPr>
      </w:pPr>
      <w:r>
        <w:rPr>
          <w:rFonts w:ascii="Arial" w:cs="Arial" w:eastAsia="Arial" w:hAnsi="Arial"/>
          <w:sz w:val="13"/>
          <w:szCs w:val="13"/>
          <w:color w:val="6D6D6D"/>
        </w:rPr>
        <w:t>Pricing and duration information are estimates provided by independent third-party providers based on models that require inputs and assumptions. Actual realized prices and durations will depend on a number of factors that cannot be predicted with certainty and may be materially different from estimates.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color w:val="6D6D6D"/>
        </w:rPr>
        <w:t>AMOUNTS MAY NOT FOOT DUE TO ROUNDING.</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6D6D6D"/>
        </w:rPr>
        <w:t>THE INFORMATION PRESENTED HEREIN IS UNAUDITED AND NOT REVIEWED BY OUR INDEPENDENT PUBLIC ACCOUNTANTS.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6D6D6D"/>
        </w:rPr>
        <w:t>Footnotes</w:t>
      </w:r>
    </w:p>
    <w:p>
      <w:pPr>
        <w:spacing w:after="0" w:line="127" w:lineRule="exact"/>
        <w:rPr>
          <w:sz w:val="20"/>
          <w:szCs w:val="20"/>
          <w:color w:val="auto"/>
        </w:rPr>
      </w:pPr>
    </w:p>
    <w:p>
      <w:pPr>
        <w:ind w:left="660" w:hanging="316"/>
        <w:spacing w:after="0"/>
        <w:tabs>
          <w:tab w:leader="none" w:pos="660" w:val="left"/>
        </w:tabs>
        <w:numPr>
          <w:ilvl w:val="0"/>
          <w:numId w:val="2"/>
        </w:numPr>
        <w:rPr>
          <w:rFonts w:ascii="Arial" w:cs="Arial" w:eastAsia="Arial" w:hAnsi="Arial"/>
          <w:sz w:val="13"/>
          <w:szCs w:val="13"/>
          <w:color w:val="6D6D6D"/>
        </w:rPr>
      </w:pPr>
      <w:r>
        <w:rPr>
          <w:rFonts w:ascii="Arial" w:cs="Arial" w:eastAsia="Arial" w:hAnsi="Arial"/>
          <w:sz w:val="13"/>
          <w:szCs w:val="13"/>
          <w:color w:val="6D6D6D"/>
        </w:rPr>
        <w:t>Total Repo divided by Shareholders’ Equity.</w:t>
      </w:r>
    </w:p>
    <w:p>
      <w:pPr>
        <w:spacing w:after="0" w:line="26" w:lineRule="exact"/>
        <w:rPr>
          <w:rFonts w:ascii="Arial" w:cs="Arial" w:eastAsia="Arial" w:hAnsi="Arial"/>
          <w:sz w:val="13"/>
          <w:szCs w:val="13"/>
          <w:color w:val="6D6D6D"/>
        </w:rPr>
      </w:pPr>
    </w:p>
    <w:p>
      <w:pPr>
        <w:ind w:left="660" w:hanging="316"/>
        <w:spacing w:after="0"/>
        <w:tabs>
          <w:tab w:leader="none" w:pos="660" w:val="left"/>
        </w:tabs>
        <w:numPr>
          <w:ilvl w:val="0"/>
          <w:numId w:val="2"/>
        </w:numPr>
        <w:rPr>
          <w:rFonts w:ascii="Arial" w:cs="Arial" w:eastAsia="Arial" w:hAnsi="Arial"/>
          <w:sz w:val="13"/>
          <w:szCs w:val="13"/>
          <w:color w:val="6D6D6D"/>
        </w:rPr>
      </w:pPr>
      <w:r>
        <w:rPr>
          <w:rFonts w:ascii="Arial" w:cs="Arial" w:eastAsia="Arial" w:hAnsi="Arial"/>
          <w:sz w:val="13"/>
          <w:szCs w:val="13"/>
          <w:color w:val="6D6D6D"/>
        </w:rPr>
        <w:t>Implied Leverage is Total Repo plus TBA market value net of forward settling trades divided by Shareholders’ Equity.</w:t>
      </w:r>
    </w:p>
    <w:p>
      <w:pPr>
        <w:spacing w:after="0" w:line="39" w:lineRule="exact"/>
        <w:rPr>
          <w:rFonts w:ascii="Arial" w:cs="Arial" w:eastAsia="Arial" w:hAnsi="Arial"/>
          <w:sz w:val="13"/>
          <w:szCs w:val="13"/>
          <w:color w:val="6D6D6D"/>
        </w:rPr>
      </w:pPr>
    </w:p>
    <w:p>
      <w:pPr>
        <w:ind w:left="660" w:hanging="316"/>
        <w:spacing w:after="0"/>
        <w:tabs>
          <w:tab w:leader="none" w:pos="660" w:val="left"/>
        </w:tabs>
        <w:numPr>
          <w:ilvl w:val="0"/>
          <w:numId w:val="2"/>
        </w:numPr>
        <w:rPr>
          <w:rFonts w:ascii="Arial" w:cs="Arial" w:eastAsia="Arial" w:hAnsi="Arial"/>
          <w:sz w:val="13"/>
          <w:szCs w:val="13"/>
          <w:color w:val="6D6D6D"/>
        </w:rPr>
      </w:pPr>
      <w:r>
        <w:rPr>
          <w:rFonts w:ascii="Arial" w:cs="Arial" w:eastAsia="Arial" w:hAnsi="Arial"/>
          <w:sz w:val="13"/>
          <w:szCs w:val="13"/>
          <w:color w:val="6D6D6D"/>
        </w:rPr>
        <w:t>Liquidity is cash plus unencumbered Agency and US Government securities. Excludes any forward settling trades.</w:t>
      </w:r>
    </w:p>
    <w:p>
      <w:pPr>
        <w:spacing w:after="0" w:line="39" w:lineRule="exact"/>
        <w:rPr>
          <w:rFonts w:ascii="Arial" w:cs="Arial" w:eastAsia="Arial" w:hAnsi="Arial"/>
          <w:sz w:val="13"/>
          <w:szCs w:val="13"/>
          <w:color w:val="6D6D6D"/>
        </w:rPr>
      </w:pPr>
    </w:p>
    <w:p>
      <w:pPr>
        <w:ind w:left="660" w:hanging="316"/>
        <w:spacing w:after="0"/>
        <w:tabs>
          <w:tab w:leader="none" w:pos="660" w:val="left"/>
        </w:tabs>
        <w:numPr>
          <w:ilvl w:val="0"/>
          <w:numId w:val="2"/>
        </w:numPr>
        <w:rPr>
          <w:rFonts w:ascii="Arial" w:cs="Arial" w:eastAsia="Arial" w:hAnsi="Arial"/>
          <w:sz w:val="13"/>
          <w:szCs w:val="13"/>
          <w:color w:val="6D6D6D"/>
        </w:rPr>
      </w:pPr>
      <w:r>
        <w:rPr>
          <w:rFonts w:ascii="Arial" w:cs="Arial" w:eastAsia="Arial" w:hAnsi="Arial"/>
          <w:sz w:val="13"/>
          <w:szCs w:val="13"/>
          <w:color w:val="6D6D6D"/>
        </w:rPr>
        <w:t>BUCKLER Securities LLC is an SEC registered broker-dealer and a member of FICC and FINRA that is affiliated with ARMOUR.</w:t>
      </w:r>
    </w:p>
    <w:p>
      <w:pPr>
        <w:spacing w:after="0" w:line="39" w:lineRule="exact"/>
        <w:rPr>
          <w:rFonts w:ascii="Arial" w:cs="Arial" w:eastAsia="Arial" w:hAnsi="Arial"/>
          <w:sz w:val="13"/>
          <w:szCs w:val="13"/>
          <w:color w:val="6D6D6D"/>
        </w:rPr>
      </w:pPr>
    </w:p>
    <w:p>
      <w:pPr>
        <w:ind w:left="660" w:hanging="316"/>
        <w:spacing w:after="0"/>
        <w:tabs>
          <w:tab w:leader="none" w:pos="660" w:val="left"/>
        </w:tabs>
        <w:numPr>
          <w:ilvl w:val="0"/>
          <w:numId w:val="2"/>
        </w:numPr>
        <w:rPr>
          <w:rFonts w:ascii="Arial" w:cs="Arial" w:eastAsia="Arial" w:hAnsi="Arial"/>
          <w:sz w:val="13"/>
          <w:szCs w:val="13"/>
          <w:color w:val="6D6D6D"/>
        </w:rPr>
      </w:pPr>
      <w:r>
        <w:rPr>
          <w:rFonts w:ascii="Arial" w:cs="Arial" w:eastAsia="Arial" w:hAnsi="Arial"/>
          <w:sz w:val="13"/>
          <w:szCs w:val="13"/>
          <w:color w:val="6D6D6D"/>
        </w:rPr>
        <w:t>Repo composition includes funding for US Treasury longs and margin collateral posted to ARMOUR.</w:t>
      </w:r>
    </w:p>
    <w:p>
      <w:pPr>
        <w:spacing w:after="0" w:line="39" w:lineRule="exact"/>
        <w:rPr>
          <w:rFonts w:ascii="Arial" w:cs="Arial" w:eastAsia="Arial" w:hAnsi="Arial"/>
          <w:sz w:val="13"/>
          <w:szCs w:val="13"/>
          <w:color w:val="6D6D6D"/>
        </w:rPr>
      </w:pPr>
    </w:p>
    <w:p>
      <w:pPr>
        <w:ind w:left="660" w:hanging="316"/>
        <w:spacing w:after="0"/>
        <w:tabs>
          <w:tab w:leader="none" w:pos="660" w:val="left"/>
        </w:tabs>
        <w:numPr>
          <w:ilvl w:val="0"/>
          <w:numId w:val="2"/>
        </w:numPr>
        <w:rPr>
          <w:rFonts w:ascii="Arial" w:cs="Arial" w:eastAsia="Arial" w:hAnsi="Arial"/>
          <w:sz w:val="13"/>
          <w:szCs w:val="13"/>
          <w:color w:val="6D6D6D"/>
        </w:rPr>
      </w:pPr>
      <w:r>
        <w:rPr>
          <w:rFonts w:ascii="Arial" w:cs="Arial" w:eastAsia="Arial" w:hAnsi="Arial"/>
          <w:sz w:val="13"/>
          <w:szCs w:val="13"/>
          <w:color w:val="6D6D6D"/>
        </w:rPr>
        <w:t>ARMOUR’s Treasury Futures have a weighted average duration of 11.2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color w:val="6D6D6D"/>
        </w:rPr>
        <w:t>Portfolio and Key Data as of 05/31/26, except CPR which is as of 06/04/26 or as stated otherwise.</w:t>
      </w:r>
    </w:p>
    <w:sectPr>
      <w:pgSz w:w="11900" w:h="16838" w:orient="portrait"/>
      <w:cols w:equalWidth="0" w:num="1">
        <w:col w:w="10400"/>
      </w:cols>
      <w:pgMar w:left="740" w:top="7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2026-06-12T15:26:26Z</dcterms:created>
  <dcterms:modified xsi:type="dcterms:W3CDTF">2026-06-12T15:26:26Z</dcterms:modified>
</cp:coreProperties>
</file>