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_____________</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______________</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CURRENT REPORT 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Date of Report (Date of earliest event reported) July 21, 2026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u w:val="single"/>
        </w:rPr>
      </w:pPr>
      <w:r>
        <w:rPr>
          <w:rFonts w:ascii="Times New Roman;serif" w:hAnsi="Times New Roman;serif"/>
          <w:b/>
          <w:color w:val="000000"/>
          <w:sz w:val="32"/>
          <w:u w:val="single"/>
        </w:rPr>
        <w:t>ARMOUR Residential REIT, Inc.</w:t>
      </w:r>
    </w:p>
    <w:p>
      <w:pPr>
        <w:pStyle w:val="TextBody"/>
        <w:bidi w:val="0"/>
        <w:spacing w:lineRule="auto" w:line="288" w:before="0" w:after="0"/>
        <w:ind w:left="0" w:right="0" w:firstLine="45"/>
        <w:jc w:val="center"/>
        <w:rPr>
          <w:rFonts w:ascii="Times New Roman;serif" w:hAnsi="Times New Roman;serif"/>
          <w:b w:val="false"/>
          <w:color w:val="000000"/>
          <w:sz w:val="32"/>
        </w:rPr>
      </w:pPr>
      <w:r>
        <w:rPr>
          <w:rFonts w:ascii="Times New Roman;serif" w:hAnsi="Times New Roman;serif"/>
          <w:b w:val="false"/>
          <w:color w:val="000000"/>
          <w:sz w:val="32"/>
        </w:rPr>
        <w:t>(Exact Name of Registrant as Specified in Its Charter)</w:t>
      </w:r>
    </w:p>
    <w:tbl>
      <w:tblPr>
        <w:tblW w:w="7617" w:type="dxa"/>
        <w:jc w:val="center"/>
        <w:tblInd w:w="0" w:type="dxa"/>
        <w:tblLayout w:type="fixed"/>
        <w:tblCellMar>
          <w:top w:w="28" w:type="dxa"/>
          <w:left w:w="28" w:type="dxa"/>
          <w:bottom w:w="28" w:type="dxa"/>
          <w:right w:w="28" w:type="dxa"/>
        </w:tblCellMar>
      </w:tblPr>
      <w:tblGrid>
        <w:gridCol w:w="829"/>
        <w:gridCol w:w="731"/>
        <w:gridCol w:w="734"/>
        <w:gridCol w:w="762"/>
        <w:gridCol w:w="762"/>
        <w:gridCol w:w="770"/>
        <w:gridCol w:w="884"/>
        <w:gridCol w:w="884"/>
        <w:gridCol w:w="1261"/>
      </w:tblGrid>
      <w:tr>
        <w:trPr/>
        <w:tc>
          <w:tcPr>
            <w:tcW w:w="8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001-34766</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26-1908763</w:t>
            </w:r>
          </w:p>
        </w:tc>
      </w:tr>
      <w:tr>
        <w:trPr/>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720" w:type="dxa"/>
        <w:jc w:val="center"/>
        <w:tblInd w:w="0" w:type="dxa"/>
        <w:tblLayout w:type="fixed"/>
        <w:tblCellMar>
          <w:top w:w="28" w:type="dxa"/>
          <w:left w:w="28" w:type="dxa"/>
          <w:bottom w:w="28" w:type="dxa"/>
          <w:right w:w="28" w:type="dxa"/>
        </w:tblCellMar>
      </w:tblPr>
      <w:tblGrid>
        <w:gridCol w:w="623"/>
        <w:gridCol w:w="547"/>
        <w:gridCol w:w="547"/>
        <w:gridCol w:w="547"/>
        <w:gridCol w:w="547"/>
        <w:gridCol w:w="547"/>
        <w:gridCol w:w="109"/>
        <w:gridCol w:w="109"/>
        <w:gridCol w:w="109"/>
        <w:gridCol w:w="303"/>
        <w:gridCol w:w="303"/>
        <w:gridCol w:w="429"/>
      </w:tblGrid>
      <w:tr>
        <w:trPr/>
        <w:tc>
          <w:tcPr>
            <w:tcW w:w="62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3001 Ocean Drive, Suite 201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Vero Beach,</w:t>
            </w:r>
          </w:p>
        </w:tc>
        <w:tc>
          <w:tcPr>
            <w:tcW w:w="16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32963</w:t>
            </w:r>
          </w:p>
        </w:tc>
      </w:tr>
      <w:tr>
        <w:trPr/>
        <w:tc>
          <w:tcPr>
            <w:tcW w:w="33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(772) 617-4340 </w:t>
      </w:r>
    </w:p>
    <w:p>
      <w:pPr>
        <w:pStyle w:val="TextBody"/>
        <w:bidi w:val="0"/>
        <w:spacing w:lineRule="auto" w:line="288" w:before="0" w:after="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left"/>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8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1687"/>
        <w:gridCol w:w="1470"/>
        <w:gridCol w:w="1483"/>
        <w:gridCol w:w="109"/>
        <w:gridCol w:w="109"/>
        <w:gridCol w:w="109"/>
        <w:gridCol w:w="511"/>
        <w:gridCol w:w="508"/>
        <w:gridCol w:w="510"/>
        <w:gridCol w:w="109"/>
        <w:gridCol w:w="109"/>
        <w:gridCol w:w="109"/>
        <w:gridCol w:w="987"/>
        <w:gridCol w:w="987"/>
        <w:gridCol w:w="1408"/>
      </w:tblGrid>
      <w:tr>
        <w:trPr/>
        <w:tc>
          <w:tcPr>
            <w:tcW w:w="1687"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r>
      <w:tr>
        <w:trPr/>
        <w:tc>
          <w:tcPr>
            <w:tcW w:w="4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Exchange on which registered</w:t>
            </w:r>
          </w:p>
        </w:tc>
      </w:tr>
      <w:tr>
        <w:trPr/>
        <w:tc>
          <w:tcPr>
            <w:tcW w:w="4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7.00% Series C Cumulative Redeemable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ARR-PRC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4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a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July 21, 2026, ARMOUR Residential REIT, Inc. (“ARMOUR”) issued a press release announcing that it will provide an online, real-time webcast of its conference call with equity analysts covering ARMOUR's operating results for the second quarter ended June 30, 2026, on Thursday, July 23, 2026, beginning at 8:00 a.m. (ET).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copy of the press release is attached as Exhibit 99.1 to this report.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reported under this Item 7.01 of Form 8-K, including Exhibit 99.1, is being furnished and shall not be deemed “filed” for purposes of Section 18 of the Securities Exchange Act of 1934, as amended (the “Exchange Act”), or otherwise subject to the liabilities under that section and shall not be deemed to be incorporated by reference into any filing of ARMOUR under the Securities Act of 1933, as amended, or the Exchange Act, except as shall be expressly set forth by specific reference in such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680" w:type="dxa"/>
        <w:jc w:val="left"/>
        <w:tblInd w:w="0" w:type="dxa"/>
        <w:tblLayout w:type="fixed"/>
        <w:tblCellMar>
          <w:top w:w="28" w:type="dxa"/>
          <w:left w:w="28" w:type="dxa"/>
          <w:bottom w:w="28" w:type="dxa"/>
          <w:right w:w="28" w:type="dxa"/>
        </w:tblCellMar>
      </w:tblPr>
      <w:tblGrid>
        <w:gridCol w:w="391"/>
        <w:gridCol w:w="344"/>
        <w:gridCol w:w="345"/>
        <w:gridCol w:w="1928"/>
        <w:gridCol w:w="1928"/>
        <w:gridCol w:w="274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earningscallannounce.htm">
              <w:r>
                <w:rPr>
                  <w:rStyle w:val="InternetLink"/>
                  <w:rFonts w:ascii="Times New Roman;serif" w:hAnsi="Times New Roman;serif"/>
                  <w:b w:val="false"/>
                  <w:color w:val="0000FF"/>
                  <w:sz w:val="20"/>
                  <w:u w:val="single"/>
                </w:rPr>
                <w:t>Press release dated July 21,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July 21, 2026</w:t>
      </w:r>
    </w:p>
    <w:tbl>
      <w:tblPr>
        <w:tblW w:w="4629" w:type="dxa"/>
        <w:jc w:val="left"/>
        <w:tblInd w:w="0" w:type="dxa"/>
        <w:tblLayout w:type="fixed"/>
        <w:tblCellMar>
          <w:top w:w="28" w:type="dxa"/>
          <w:left w:w="28" w:type="dxa"/>
          <w:bottom w:w="28" w:type="dxa"/>
          <w:right w:w="28" w:type="dxa"/>
        </w:tblCellMar>
      </w:tblPr>
      <w:tblGrid>
        <w:gridCol w:w="124"/>
        <w:gridCol w:w="109"/>
        <w:gridCol w:w="109"/>
        <w:gridCol w:w="359"/>
        <w:gridCol w:w="359"/>
        <w:gridCol w:w="359"/>
        <w:gridCol w:w="655"/>
        <w:gridCol w:w="655"/>
        <w:gridCol w:w="655"/>
        <w:gridCol w:w="359"/>
        <w:gridCol w:w="359"/>
        <w:gridCol w:w="5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8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ARMOUR RESIDENTIAL REIT,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Gordon M. Harper</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Gordon M. Harper</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drawing>
          <wp:inline distT="0" distB="0" distL="0" distR="0">
            <wp:extent cx="2600325" cy="6477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600325" cy="64770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8"/>
        </w:rPr>
      </w:pPr>
      <w:r>
        <w:rPr>
          <w:rFonts w:ascii="sans-serif" w:hAnsi="sans-serif"/>
          <w:b/>
          <w:color w:val="000000"/>
          <w:sz w:val="28"/>
        </w:rPr>
        <w:t xml:space="preserve">ARMOUR RESIDENTIAL REIT, INC. SECOND QUARTER 2026 </w:t>
      </w:r>
    </w:p>
    <w:p>
      <w:pPr>
        <w:pStyle w:val="TextBody"/>
        <w:bidi w:val="0"/>
        <w:spacing w:lineRule="auto" w:line="288" w:before="0" w:after="0"/>
        <w:jc w:val="center"/>
        <w:rPr>
          <w:rFonts w:ascii="sans-serif" w:hAnsi="sans-serif"/>
          <w:b/>
          <w:color w:val="000000"/>
          <w:sz w:val="28"/>
        </w:rPr>
      </w:pPr>
      <w:r>
        <w:rPr>
          <w:rFonts w:ascii="sans-serif" w:hAnsi="sans-serif"/>
          <w:b/>
          <w:color w:val="000000"/>
          <w:sz w:val="28"/>
        </w:rPr>
        <w:t>WEBCAST SCHEDULED FOR JULY 23, 2026</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pPr>
      <w:r>
        <w:rPr>
          <w:rFonts w:ascii="sans-serif" w:hAnsi="sans-serif"/>
          <w:b/>
          <w:color w:val="000000"/>
          <w:sz w:val="24"/>
        </w:rPr>
        <w:t xml:space="preserve">VERO BEACH, Florida – July 21, 2026 </w:t>
      </w:r>
      <w:r>
        <w:rPr>
          <w:color w:val="000000"/>
        </w:rPr>
        <w:t xml:space="preserve">– </w:t>
      </w:r>
      <w:r>
        <w:rPr>
          <w:rFonts w:ascii="sans-serif" w:hAnsi="sans-serif"/>
          <w:b w:val="false"/>
          <w:color w:val="000000"/>
          <w:sz w:val="24"/>
        </w:rPr>
        <w:t>ARMOUR Residential REIT, Inc. (NYSE: ARR and ARR-PRC) (“ARMOUR” or the “Company”) announced today that it will provide an online, real</w:t>
        <w:noBreakHyphen/>
        <w:t>time webcast of its conference call with equity analysts covering second quarter 2026 operating results on Thursday, July 23, 2026. The Company will issue its second quarter 2026 earnings release after the close of trading on Wednesday, July 22, 2026.</w:t>
      </w:r>
    </w:p>
    <w:p>
      <w:pPr>
        <w:pStyle w:val="TextBody"/>
        <w:bidi w:val="0"/>
        <w:spacing w:before="0" w:after="0"/>
        <w:jc w:val="both"/>
        <w:rPr/>
      </w:pPr>
      <w:r>
        <w:rPr/>
      </w:r>
    </w:p>
    <w:p>
      <w:pPr>
        <w:pStyle w:val="TextBody"/>
        <w:bidi w:val="0"/>
        <w:spacing w:lineRule="auto" w:line="268" w:before="0" w:after="0"/>
        <w:jc w:val="left"/>
        <w:rPr/>
      </w:pPr>
      <w:r>
        <w:rPr>
          <w:rFonts w:ascii="sans-serif" w:hAnsi="sans-serif"/>
          <w:b w:val="false"/>
          <w:color w:val="000000"/>
          <w:sz w:val="24"/>
        </w:rPr>
        <w:t>The live broadcast will be available</w:t>
      </w:r>
      <w:r>
        <w:rPr>
          <w:color w:val="1C4787"/>
        </w:rPr>
        <w:t xml:space="preserve"> </w:t>
      </w:r>
      <w:r>
        <w:rPr>
          <w:rFonts w:ascii="sans-serif" w:hAnsi="sans-serif"/>
          <w:b w:val="false"/>
          <w:color w:val="000000"/>
          <w:sz w:val="24"/>
        </w:rPr>
        <w:t xml:space="preserve">on July 23, 2026, beginning at 8:00 a.m. (Eastern Time) at </w:t>
      </w:r>
      <w:r>
        <w:rPr>
          <w:rFonts w:ascii="sans-serif" w:hAnsi="sans-serif"/>
          <w:b w:val="false"/>
          <w:color w:val="0563C1"/>
          <w:sz w:val="24"/>
          <w:u w:val="single"/>
        </w:rPr>
        <w:t>https://event.choruscall.com/mediaframe/webcast.html?webcastid=wQ5O4Se4</w:t>
      </w:r>
      <w:r>
        <w:rPr>
          <w:rFonts w:ascii="sans-serif" w:hAnsi="sans-serif"/>
          <w:b w:val="false"/>
          <w:color w:val="000000"/>
          <w:sz w:val="24"/>
        </w:rPr>
        <w:t xml:space="preserve">. </w:t>
      </w:r>
    </w:p>
    <w:p>
      <w:pPr>
        <w:pStyle w:val="TextBody"/>
        <w:bidi w:val="0"/>
        <w:spacing w:before="0" w:after="0"/>
        <w:jc w:val="left"/>
        <w:rPr/>
      </w:pPr>
      <w:r>
        <w:rPr/>
      </w:r>
    </w:p>
    <w:p>
      <w:pPr>
        <w:pStyle w:val="TextBody"/>
        <w:bidi w:val="0"/>
        <w:spacing w:lineRule="auto" w:line="268" w:before="0" w:after="0"/>
        <w:jc w:val="both"/>
        <w:rPr/>
      </w:pPr>
      <w:r>
        <w:rPr>
          <w:rFonts w:ascii="sans-serif" w:hAnsi="sans-serif"/>
          <w:b w:val="false"/>
          <w:color w:val="000000"/>
          <w:sz w:val="24"/>
        </w:rPr>
        <w:t xml:space="preserve">The online replay will be available on the Company’s website </w:t>
      </w:r>
      <w:r>
        <w:rPr>
          <w:rFonts w:ascii="sans-serif" w:hAnsi="sans-serif"/>
          <w:b w:val="false"/>
          <w:color w:val="0563C1"/>
          <w:sz w:val="24"/>
          <w:u w:val="single"/>
        </w:rPr>
        <w:t>www.armourreit.com</w:t>
      </w:r>
      <w:r>
        <w:rPr>
          <w:color w:val="000000"/>
        </w:rPr>
        <w:t xml:space="preserve"> </w:t>
      </w:r>
      <w:r>
        <w:rPr>
          <w:rFonts w:ascii="sans-serif" w:hAnsi="sans-serif"/>
          <w:b w:val="false"/>
          <w:color w:val="000000"/>
          <w:sz w:val="24"/>
        </w:rPr>
        <w:t>and continue for one year.</w:t>
      </w:r>
    </w:p>
    <w:p>
      <w:pPr>
        <w:pStyle w:val="TextBody"/>
        <w:bidi w:val="0"/>
        <w:spacing w:before="0" w:after="0"/>
        <w:jc w:val="both"/>
        <w:rPr/>
      </w:pPr>
      <w:r>
        <w:rPr/>
      </w:r>
    </w:p>
    <w:p>
      <w:pPr>
        <w:pStyle w:val="TextBody"/>
        <w:bidi w:val="0"/>
        <w:spacing w:lineRule="auto" w:line="288" w:before="0" w:after="0"/>
        <w:jc w:val="both"/>
        <w:rPr>
          <w:rFonts w:ascii="sans-serif" w:hAnsi="sans-serif"/>
          <w:b/>
          <w:color w:val="000000"/>
          <w:sz w:val="24"/>
        </w:rPr>
      </w:pPr>
      <w:r>
        <w:rPr>
          <w:rFonts w:ascii="sans-serif" w:hAnsi="sans-serif"/>
          <w:b/>
          <w:color w:val="000000"/>
          <w:sz w:val="24"/>
        </w:rPr>
        <w:t>About ARMOUR Residential REIT, Inc.</w:t>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 xml:space="preserve">ARMOUR invests primarily in fixed rate residential, adjustable rate and hybrid adjustable rate residential mortgage-backed securities issued or guaranteed by U.S. Government-sponsored enterprises or guaranteed by the Government National Mortgage Association. ARMOUR is externally managed and advised by ARMOUR Capital Management LP, an investment advisor registered with the Securities and Exchange Commission (“SEC”). </w:t>
      </w:r>
    </w:p>
    <w:p>
      <w:pPr>
        <w:pStyle w:val="TextBody"/>
        <w:bidi w:val="0"/>
        <w:spacing w:before="0" w:after="0"/>
        <w:jc w:val="both"/>
        <w:rPr/>
      </w:pPr>
      <w:r>
        <w:rPr/>
      </w:r>
    </w:p>
    <w:p>
      <w:pPr>
        <w:pStyle w:val="TextBody"/>
        <w:bidi w:val="0"/>
        <w:spacing w:lineRule="auto" w:line="288" w:before="0" w:after="0"/>
        <w:jc w:val="both"/>
        <w:rPr>
          <w:rFonts w:ascii="sans-serif" w:hAnsi="sans-serif"/>
          <w:b/>
          <w:color w:val="000000"/>
          <w:sz w:val="24"/>
        </w:rPr>
      </w:pPr>
      <w:r>
        <w:rPr>
          <w:rFonts w:ascii="sans-serif" w:hAnsi="sans-serif"/>
          <w:b/>
          <w:color w:val="000000"/>
          <w:sz w:val="24"/>
        </w:rPr>
        <w:t>Additional Information and Where to Find It</w:t>
      </w:r>
    </w:p>
    <w:p>
      <w:pPr>
        <w:pStyle w:val="TextBody"/>
        <w:bidi w:val="0"/>
        <w:spacing w:lineRule="auto" w:line="288" w:before="0" w:after="0"/>
        <w:jc w:val="both"/>
        <w:rPr/>
      </w:pPr>
      <w:r>
        <w:rPr>
          <w:rFonts w:ascii="sans-serif" w:hAnsi="sans-serif"/>
          <w:b w:val="false"/>
          <w:color w:val="000000"/>
          <w:sz w:val="24"/>
        </w:rPr>
        <w:t xml:space="preserve">Investors, security holders and other interested persons may find additional information regarding the Company at the SEC’s internet site at </w:t>
      </w:r>
      <w:r>
        <w:rPr>
          <w:rFonts w:ascii="sans-serif" w:hAnsi="sans-serif"/>
          <w:b w:val="false"/>
          <w:color w:val="0563C1"/>
          <w:sz w:val="24"/>
          <w:u w:val="single"/>
        </w:rPr>
        <w:t>www.sec.gov</w:t>
      </w:r>
      <w:r>
        <w:rPr>
          <w:rFonts w:ascii="sans-serif" w:hAnsi="sans-serif"/>
          <w:b w:val="false"/>
          <w:color w:val="000000"/>
          <w:sz w:val="24"/>
        </w:rPr>
        <w:t xml:space="preserve">, or the Company website at </w:t>
      </w:r>
      <w:r>
        <w:rPr>
          <w:rFonts w:ascii="sans-serif" w:hAnsi="sans-serif"/>
          <w:b w:val="false"/>
          <w:color w:val="0563C1"/>
          <w:sz w:val="24"/>
          <w:u w:val="single"/>
        </w:rPr>
        <w:t>www.armourreit.com</w:t>
      </w:r>
      <w:r>
        <w:rPr>
          <w:rFonts w:ascii="sans-serif" w:hAnsi="sans-serif"/>
          <w:b w:val="false"/>
          <w:color w:val="0000FF"/>
          <w:sz w:val="24"/>
        </w:rPr>
        <w:t>,</w:t>
      </w:r>
      <w:r>
        <w:rPr>
          <w:color w:val="000000"/>
        </w:rPr>
        <w:t xml:space="preserve"> </w:t>
      </w:r>
      <w:r>
        <w:rPr>
          <w:rFonts w:ascii="sans-serif" w:hAnsi="sans-serif"/>
          <w:b w:val="false"/>
          <w:color w:val="000000"/>
          <w:sz w:val="24"/>
        </w:rPr>
        <w:t>or by directing requests to: ARMOUR Residential REIT, Inc., 3001 Ocean Drive, Suite 201, Vero Beach, Florida 32963, Attention: Investor Relations.</w:t>
      </w:r>
    </w:p>
    <w:p>
      <w:pPr>
        <w:pStyle w:val="TextBody"/>
        <w:bidi w:val="0"/>
        <w:spacing w:before="0" w:after="0"/>
        <w:jc w:val="both"/>
        <w:rPr/>
      </w:pPr>
      <w:r>
        <w:rPr/>
      </w:r>
    </w:p>
    <w:p>
      <w:pPr>
        <w:pStyle w:val="TextBody"/>
        <w:bidi w:val="0"/>
        <w:spacing w:lineRule="auto" w:line="288" w:before="0" w:after="0"/>
        <w:jc w:val="both"/>
        <w:rPr/>
      </w:pPr>
      <w:r>
        <w:rPr>
          <w:rFonts w:ascii="sans-serif" w:hAnsi="sans-serif"/>
          <w:b/>
          <w:color w:val="000000"/>
          <w:sz w:val="24"/>
        </w:rPr>
        <w:t>Investor Contact:</w:t>
      </w:r>
      <w:r>
        <w:rPr>
          <w:color w:val="000000"/>
        </w:rPr>
        <w:t>    </w:t>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Gordon M. Harper</w:t>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Chief Financial Officer</w:t>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ARMOUR Residential REIT, Inc.</w:t>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(772) 617-4340</w:t>
      </w:r>
    </w:p>
    <w:p>
      <w:pPr>
        <w:pStyle w:val="TextBody"/>
        <w:bidi w:val="0"/>
        <w:spacing w:before="0" w:after="0"/>
        <w:jc w:val="both"/>
        <w:rPr/>
      </w:pPr>
      <w:r>
        <w:rPr/>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7800"/>
                <wp:effectExtent l="0" t="0" r="0" b="0"/>
                <wp:wrapNone/>
                <wp:docPr id="5" name="Frame4"/>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 END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 END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804</Words>
  <Characters>4534</Characters>
  <CharactersWithSpaces>5326</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