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44361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4436110"/>
                    </a:xfrm>
                    <a:prstGeom prst="rect">
                      <a:avLst/>
                    </a:prstGeom>
                    <a:noFill/>
                  </pic:spPr>
                </pic:pic>
              </a:graphicData>
            </a:graphic>
          </wp:anchor>
        </w:drawing>
      </w:r>
    </w:p>
    <w:p>
      <w:pPr>
        <w:spacing w:after="0" w:line="1244"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Losyev Sergey</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3001 OCEAN DRIVE SUITE 201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Armour Residential REIT,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ARR</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0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06/16/2026</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617"/>
        <w:spacing w:after="0"/>
        <w:rPr>
          <w:sz w:val="20"/>
          <w:szCs w:val="20"/>
          <w:color w:val="auto"/>
        </w:rPr>
      </w:pPr>
      <w:r>
        <w:rPr>
          <w:rFonts w:ascii="Times New Roman" w:cs="Times New Roman" w:eastAsia="Times New Roman" w:hAnsi="Times New Roman"/>
          <w:sz w:val="17"/>
          <w:szCs w:val="17"/>
          <w:color w:val="0000FF"/>
        </w:rPr>
        <w:t>Co-Chief Investment Officer</w:t>
      </w:r>
    </w:p>
    <w:p>
      <w:pPr>
        <w:spacing w:after="0" w:line="313" w:lineRule="exact"/>
        <w:rPr>
          <w:sz w:val="24"/>
          <w:szCs w:val="24"/>
          <w:color w:val="auto"/>
        </w:rPr>
      </w:pPr>
    </w:p>
    <w:p>
      <w:pPr>
        <w:sectPr>
          <w:pgSz w:w="11900" w:h="16838" w:orient="portrait"/>
          <w:cols w:equalWidth="0" w:num="3">
            <w:col w:w="3180" w:space="720"/>
            <w:col w:w="3180" w:space="643"/>
            <w:col w:w="3357"/>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840" w:type="dxa"/>
            <w:vAlign w:val="bottom"/>
            <w:tcBorders>
              <w:bottom w:val="single" w:sz="8" w:color="9A9A9A"/>
            </w:tcBorders>
          </w:tcPr>
          <w:p>
            <w:pPr>
              <w:spacing w:after="0"/>
              <w:rPr>
                <w:sz w:val="3"/>
                <w:szCs w:val="3"/>
                <w:color w:val="auto"/>
              </w:rPr>
            </w:pPr>
          </w:p>
        </w:tc>
        <w:tc>
          <w:tcPr>
            <w:tcW w:w="980" w:type="dxa"/>
            <w:vAlign w:val="bottom"/>
            <w:tcBorders>
              <w:bottom w:val="single" w:sz="8" w:color="9A9A9A"/>
            </w:tcBorders>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80" w:type="dxa"/>
            <w:vAlign w:val="bottom"/>
            <w:tcBorders>
              <w:bottom w:val="single" w:sz="8" w:color="9A9A9A"/>
            </w:tcBorders>
          </w:tcPr>
          <w:p>
            <w:pPr>
              <w:spacing w:after="0"/>
              <w:rPr>
                <w:sz w:val="3"/>
                <w:szCs w:val="3"/>
                <w:color w:val="auto"/>
              </w:rPr>
            </w:pPr>
          </w:p>
        </w:tc>
        <w:tc>
          <w:tcPr>
            <w:tcW w:w="3700" w:type="dxa"/>
            <w:vAlign w:val="bottom"/>
            <w:gridSpan w:val="8"/>
            <w:vMerge w:val="restart"/>
          </w:tcPr>
          <w:p>
            <w:pPr>
              <w:jc w:val="center"/>
              <w:ind w:right="41"/>
              <w:spacing w:after="0"/>
              <w:rPr>
                <w:sz w:val="20"/>
                <w:szCs w:val="20"/>
                <w:color w:val="auto"/>
              </w:rPr>
            </w:pPr>
            <w:r>
              <w:rPr>
                <w:rFonts w:ascii="Arial" w:cs="Arial" w:eastAsia="Arial" w:hAnsi="Arial"/>
                <w:sz w:val="13"/>
                <w:szCs w:val="13"/>
                <w:color w:val="auto"/>
                <w:w w:val="99"/>
              </w:rPr>
              <w:t>4. If Amendment, Date of Original Filed (Month/Day/Year)</w:t>
            </w:r>
          </w:p>
        </w:tc>
        <w:tc>
          <w:tcPr>
            <w:tcW w:w="3640" w:type="dxa"/>
            <w:vAlign w:val="bottom"/>
            <w:gridSpan w:val="10"/>
            <w:vMerge w:val="restart"/>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8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700" w:type="dxa"/>
            <w:vAlign w:val="bottom"/>
            <w:gridSpan w:val="8"/>
            <w:vMerge w:val="continue"/>
          </w:tcPr>
          <w:p>
            <w:pPr>
              <w:spacing w:after="0"/>
              <w:rPr>
                <w:sz w:val="7"/>
                <w:szCs w:val="7"/>
                <w:color w:val="auto"/>
              </w:rPr>
            </w:pPr>
          </w:p>
        </w:tc>
        <w:tc>
          <w:tcPr>
            <w:tcW w:w="364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2"/>
          </w:tcPr>
          <w:p>
            <w:pPr>
              <w:ind w:left="28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VERO BEACH  FL</w:t>
            </w:r>
          </w:p>
        </w:tc>
        <w:tc>
          <w:tcPr>
            <w:tcW w:w="980" w:type="dxa"/>
            <w:vAlign w:val="bottom"/>
          </w:tcPr>
          <w:p>
            <w:pPr>
              <w:spacing w:after="0"/>
              <w:rPr>
                <w:sz w:val="19"/>
                <w:szCs w:val="19"/>
                <w:color w:val="auto"/>
              </w:rPr>
            </w:pPr>
          </w:p>
        </w:tc>
        <w:tc>
          <w:tcPr>
            <w:tcW w:w="11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32963</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60" w:type="dxa"/>
            <w:vAlign w:val="bottom"/>
            <w:gridSpan w:val="7"/>
          </w:tcPr>
          <w:p>
            <w:pPr>
              <w:ind w:left="140"/>
              <w:spacing w:after="0" w:line="137"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1820" w:type="dxa"/>
            <w:vAlign w:val="bottom"/>
            <w:gridSpan w:val="2"/>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1680" w:type="dxa"/>
            <w:vAlign w:val="bottom"/>
            <w:tcBorders>
              <w:bottom w:val="single" w:sz="8" w:color="2C2C2C"/>
            </w:tcBorders>
            <w:gridSpan w:val="4"/>
          </w:tcPr>
          <w:p>
            <w:pPr>
              <w:spacing w:after="0"/>
              <w:rPr>
                <w:sz w:val="10"/>
                <w:szCs w:val="10"/>
                <w:color w:val="auto"/>
              </w:rPr>
            </w:pPr>
          </w:p>
        </w:tc>
        <w:tc>
          <w:tcPr>
            <w:tcW w:w="2540" w:type="dxa"/>
            <w:vAlign w:val="bottom"/>
            <w:tcBorders>
              <w:bottom w:val="single" w:sz="8" w:color="2C2C2C"/>
            </w:tcBorders>
            <w:gridSpan w:val="5"/>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5"/>
          </w:tcPr>
          <w:p>
            <w:pPr>
              <w:ind w:left="76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4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60" w:type="dxa"/>
            <w:vAlign w:val="bottom"/>
            <w:gridSpan w:val="3"/>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8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8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40" w:type="dxa"/>
            <w:vAlign w:val="bottom"/>
            <w:tcBorders>
              <w:bottom w:val="single" w:sz="8" w:color="2C2C2C"/>
            </w:tcBorders>
            <w:gridSpan w:val="5"/>
          </w:tcPr>
          <w:p>
            <w:pPr>
              <w:spacing w:after="0"/>
              <w:rPr>
                <w:sz w:val="7"/>
                <w:szCs w:val="7"/>
                <w:color w:val="auto"/>
              </w:rPr>
            </w:pPr>
          </w:p>
        </w:tc>
        <w:tc>
          <w:tcPr>
            <w:tcW w:w="16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840" w:type="dxa"/>
            <w:vAlign w:val="bottom"/>
            <w:tcBorders>
              <w:top w:val="single" w:sz="8" w:color="2C2C2C"/>
            </w:tcBorders>
          </w:tcPr>
          <w:p>
            <w:pPr>
              <w:spacing w:after="0"/>
              <w:rPr>
                <w:sz w:val="18"/>
                <w:szCs w:val="18"/>
                <w:color w:val="auto"/>
              </w:rPr>
            </w:pPr>
          </w:p>
        </w:tc>
        <w:tc>
          <w:tcPr>
            <w:tcW w:w="98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50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98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98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Phantom</w:t>
            </w:r>
          </w:p>
        </w:tc>
        <w:tc>
          <w:tcPr>
            <w:tcW w:w="84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98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06/16/2026</w:t>
            </w: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50,000</w:t>
            </w:r>
          </w:p>
        </w:tc>
        <w:tc>
          <w:tcPr>
            <w:tcW w:w="340" w:type="dxa"/>
            <w:vAlign w:val="bottom"/>
          </w:tcPr>
          <w:p>
            <w:pPr>
              <w:spacing w:after="0"/>
              <w:rPr>
                <w:sz w:val="20"/>
                <w:szCs w:val="20"/>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160" w:type="dxa"/>
            <w:vAlign w:val="bottom"/>
          </w:tcPr>
          <w:p>
            <w:pPr>
              <w:spacing w:after="0"/>
              <w:rPr>
                <w:sz w:val="20"/>
                <w:szCs w:val="20"/>
                <w:color w:val="auto"/>
              </w:rPr>
            </w:pPr>
          </w:p>
        </w:tc>
        <w:tc>
          <w:tcPr>
            <w:tcW w:w="540" w:type="dxa"/>
            <w:vAlign w:val="bottom"/>
          </w:tcPr>
          <w:p>
            <w:pPr>
              <w:ind w:left="120"/>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20"/>
                <w:szCs w:val="20"/>
                <w:color w:val="auto"/>
              </w:rPr>
            </w:pPr>
            <w:r>
              <w:rPr>
                <w:rFonts w:ascii="Times New Roman" w:cs="Times New Roman" w:eastAsia="Times New Roman" w:hAnsi="Times New Roman"/>
                <w:sz w:val="17"/>
                <w:szCs w:val="17"/>
                <w:color w:val="0000FF"/>
              </w:rPr>
              <w:t>50,000</w:t>
            </w:r>
          </w:p>
        </w:tc>
        <w:tc>
          <w:tcPr>
            <w:tcW w:w="60" w:type="dxa"/>
            <w:vAlign w:val="bottom"/>
          </w:tcPr>
          <w:p>
            <w:pPr>
              <w:spacing w:after="0"/>
              <w:rPr>
                <w:sz w:val="20"/>
                <w:szCs w:val="20"/>
                <w:color w:val="auto"/>
              </w:rPr>
            </w:pPr>
          </w:p>
        </w:tc>
        <w:tc>
          <w:tcPr>
            <w:tcW w:w="72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72,500</w:t>
            </w:r>
          </w:p>
        </w:tc>
        <w:tc>
          <w:tcPr>
            <w:tcW w:w="280" w:type="dxa"/>
            <w:vAlign w:val="bottom"/>
          </w:tcPr>
          <w:p>
            <w:pPr>
              <w:spacing w:after="0"/>
              <w:rPr>
                <w:sz w:val="20"/>
                <w:szCs w:val="20"/>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2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840" w:type="dxa"/>
            <w:vAlign w:val="bottom"/>
            <w:tcBorders>
              <w:bottom w:val="single" w:sz="8" w:color="2C2C2C"/>
            </w:tcBorders>
          </w:tcPr>
          <w:p>
            <w:pPr>
              <w:spacing w:after="0"/>
              <w:rPr>
                <w:sz w:val="13"/>
                <w:szCs w:val="13"/>
                <w:color w:val="auto"/>
              </w:rPr>
            </w:pPr>
          </w:p>
        </w:tc>
        <w:tc>
          <w:tcPr>
            <w:tcW w:w="98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-1922145</wp:posOffset>
            </wp:positionV>
            <wp:extent cx="29210" cy="19272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192722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unit of phantom stock is the economic equivalent of one share of ARMOUR common stock.</w:t>
      </w:r>
    </w:p>
    <w:p>
      <w:pPr>
        <w:spacing w:after="0" w:line="44" w:lineRule="exact"/>
        <w:rPr>
          <w:rFonts w:ascii="Times New Roman" w:cs="Times New Roman" w:eastAsia="Times New Roman" w:hAnsi="Times New Roman"/>
          <w:sz w:val="13"/>
          <w:szCs w:val="13"/>
          <w:color w:val="008000"/>
        </w:rPr>
      </w:pPr>
    </w:p>
    <w:p>
      <w:pPr>
        <w:ind w:left="40" w:right="22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16, 2026, the reporting person was granted an aggregate of 50,000 phantom shares under ARMOUR Residential REIT, Inc.'s ("ARMOUR") Fourth Amended and Restated 2009 Stock Incentive Plan (the "Plan") pursuant to the time-based vesting schedule described as follows: 2,500 phantom shares will vest on each of August 20, November 20, February 20, and May 20, through May 20, 2031, at which time all phantom stock shall have vested. Upon vesting, the reporting person will be entitled to an equal number of shares of ARMOUR common stock within 30 days.</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3"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6"/>
              </w:rPr>
              <w:t>/s/ Sergey Losyev</w:t>
            </w:r>
          </w:p>
        </w:tc>
        <w:tc>
          <w:tcPr>
            <w:tcW w:w="1000" w:type="dxa"/>
            <w:vAlign w:val="bottom"/>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06/18/2026</w:t>
            </w:r>
          </w:p>
        </w:tc>
      </w:tr>
      <w:tr>
        <w:trPr>
          <w:trHeight w:val="227"/>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16863" TargetMode="External"/><Relationship Id="rId14" Type="http://schemas.openxmlformats.org/officeDocument/2006/relationships/hyperlink" Target="http://www.sec.gov/cgi-bin/browse-edgar?action=getcompany&amp;CIK=000142820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2026-06-18T15:10:46Z</dcterms:created>
  <dcterms:modified xsi:type="dcterms:W3CDTF">2026-06-18T15:10:46Z</dcterms:modified>
</cp:coreProperties>
</file>