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42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4256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2"/>
            <w:vMerge w:val="restart"/>
          </w:tcPr>
          <w:p>
            <w:pPr>
              <w:spacing w:after="0"/>
              <w:rPr>
                <w:rFonts w:ascii="Times New Roman" w:cs="Times New Roman" w:eastAsia="Times New Roman" w:hAnsi="Times New Roman"/>
                <w:sz w:val="21"/>
                <w:szCs w:val="21"/>
                <w:color w:val="0000EE"/>
                <w:w w:val="95"/>
              </w:rPr>
            </w:pPr>
            <w:hyperlink r:id="rId13">
              <w:r>
                <w:rPr>
                  <w:rFonts w:ascii="Times New Roman" w:cs="Times New Roman" w:eastAsia="Times New Roman" w:hAnsi="Times New Roman"/>
                  <w:sz w:val="21"/>
                  <w:szCs w:val="21"/>
                  <w:color w:val="0000EE"/>
                  <w:w w:val="95"/>
                </w:rPr>
                <w:t>PAPERIN STEWART J</w:t>
              </w:r>
            </w:hyperlink>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Armour Residential REIT,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980" w:type="dxa"/>
            <w:vAlign w:val="bottom"/>
            <w:tcBorders>
              <w:bottom w:val="single" w:sz="8" w:color="0000EE"/>
            </w:tcBorders>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580" w:type="dxa"/>
            <w:vAlign w:val="bottom"/>
            <w:tcBorders>
              <w:top w:val="single" w:sz="8" w:color="0000EE"/>
            </w:tcBorders>
          </w:tcPr>
          <w:p>
            <w:pPr>
              <w:spacing w:after="0"/>
              <w:rPr>
                <w:sz w:val="5"/>
                <w:szCs w:val="5"/>
                <w:color w:val="auto"/>
              </w:rPr>
            </w:pPr>
          </w:p>
        </w:tc>
        <w:tc>
          <w:tcPr>
            <w:tcW w:w="11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7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1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3001 OCEAN DRIVE</w:t>
            </w:r>
          </w:p>
        </w:tc>
        <w:tc>
          <w:tcPr>
            <w:tcW w:w="1640" w:type="dxa"/>
            <w:vAlign w:val="bottom"/>
          </w:tcPr>
          <w:p>
            <w:pPr>
              <w:spacing w:after="0"/>
              <w:rPr>
                <w:sz w:val="10"/>
                <w:szCs w:val="10"/>
                <w:color w:val="auto"/>
              </w:rPr>
            </w:pPr>
          </w:p>
        </w:tc>
        <w:tc>
          <w:tcPr>
            <w:tcW w:w="274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#201</w:t>
            </w:r>
          </w:p>
        </w:tc>
        <w:tc>
          <w:tcPr>
            <w:tcW w:w="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VERO BEACH</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32963</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0000FF"/>
              </w:rPr>
              <w:t>05/21/2026</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9"/>
              </w:rPr>
              <w:t>1,900</w:t>
            </w:r>
          </w:p>
        </w:tc>
        <w:tc>
          <w:tcPr>
            <w:tcW w:w="66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11,250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00" w:type="dxa"/>
            <w:vAlign w:val="bottom"/>
            <w:gridSpan w:val="4"/>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tcBorders>
              <w:top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gridSpan w:val="3"/>
          </w:tcPr>
          <w:p>
            <w:pPr>
              <w:jc w:val="right"/>
              <w:ind w:right="441"/>
              <w:spacing w:after="0"/>
              <w:rPr>
                <w:sz w:val="20"/>
                <w:szCs w:val="20"/>
                <w:color w:val="auto"/>
              </w:rPr>
            </w:pPr>
            <w:r>
              <w:rPr>
                <w:rFonts w:ascii="Times New Roman" w:cs="Times New Roman" w:eastAsia="Times New Roman" w:hAnsi="Times New Roman"/>
                <w:sz w:val="17"/>
                <w:szCs w:val="17"/>
                <w:color w:val="0000FF"/>
              </w:rPr>
              <w:t>208</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05/21/2026</w:t>
            </w: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1,900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w:t>
            </w: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rPr>
              <w:t>30,254</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the reporting person elected to convert 1,900 shares of vested phantom stock into 1,900 shares of ARMOUR common stock. The 1,900 shares are part of, and relate to, phantom stock vesting over a five-year period, which was reported on a Form 4 filed by the reporting person on February 14, 2023, December 18, 2025 and May 21, 2026.</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indirectly through the Stewart J. Paperin Family Trust. Mr. Paperin has a pecuniary interest in and investment control over the shares held by the Trust.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of phantom stock is the economic equivalent of one share of ARMOUR common stock.</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Stewart J. Paperin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05/26/2026</w:t>
            </w: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7637" TargetMode="External"/><Relationship Id="rId14" Type="http://schemas.openxmlformats.org/officeDocument/2006/relationships/hyperlink" Target="http://www.sec.gov/cgi-bin/browse-edgar?action=getcompany&amp;CIK=0001428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2026-05-26T16:01:59Z</dcterms:created>
  <dcterms:modified xsi:type="dcterms:W3CDTF">2026-05-26T16:01:59Z</dcterms:modified>
</cp:coreProperties>
</file>