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43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36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Macauley Desmond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OCEAN DRIVE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Armour Residential REIT,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17"/>
        <w:spacing w:after="0"/>
        <w:rPr>
          <w:sz w:val="20"/>
          <w:szCs w:val="20"/>
          <w:color w:val="auto"/>
        </w:rPr>
      </w:pPr>
      <w:r>
        <w:rPr>
          <w:rFonts w:ascii="Times New Roman" w:cs="Times New Roman" w:eastAsia="Times New Roman" w:hAnsi="Times New Roman"/>
          <w:sz w:val="17"/>
          <w:szCs w:val="17"/>
          <w:color w:val="0000FF"/>
        </w:rPr>
        <w:t>Co-Chief Investment Officer</w:t>
      </w:r>
    </w:p>
    <w:p>
      <w:pPr>
        <w:spacing w:after="0" w:line="313" w:lineRule="exact"/>
        <w:rPr>
          <w:sz w:val="24"/>
          <w:szCs w:val="24"/>
          <w:color w:val="auto"/>
        </w:rPr>
      </w:pPr>
    </w:p>
    <w:p>
      <w:pPr>
        <w:sectPr>
          <w:pgSz w:w="11900" w:h="16838" w:orient="portrait"/>
          <w:cols w:equalWidth="0" w:num="3">
            <w:col w:w="3180" w:space="720"/>
            <w:col w:w="3180" w:space="64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VERO BEACH  FL</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32963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72,500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16, 2026, the reporting person was granted an aggregate of 50,000 phantom shares under ARMOUR Residential REIT, Inc.'s ("ARMOUR") Fourth Amended and Restated 2009 Stock Incentive Plan (the "Plan") pursuant to the time-based vesting schedule described as follows: 2,500 phantom shares will vest on each of August 20, November 20, February 20, and May 20, through May 20, 2031, at which time all phantom stock shall have vested. Upon vesting, the reporting person will be entitled to an equal number of shares of ARMOUR common stock within 30 days.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Desmond Macauley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6620"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2026-06-18T15:05:03Z</dcterms:created>
  <dcterms:modified xsi:type="dcterms:W3CDTF">2026-06-18T15:05:03Z</dcterms:modified>
</cp:coreProperties>
</file>