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78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7840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Macauley Desmond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3001 OCEAN DRIVE SUITE 201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Armour Residential REIT,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ARR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14"/>
        <w:spacing w:after="0"/>
        <w:rPr>
          <w:sz w:val="20"/>
          <w:szCs w:val="20"/>
          <w:color w:val="auto"/>
        </w:rPr>
      </w:pPr>
      <w:r>
        <w:rPr>
          <w:rFonts w:ascii="Times New Roman" w:cs="Times New Roman" w:eastAsia="Times New Roman" w:hAnsi="Times New Roman"/>
          <w:sz w:val="17"/>
          <w:szCs w:val="17"/>
          <w:color w:val="0000FF"/>
        </w:rPr>
        <w:t>Co-Chief Investment Officer</w:t>
      </w:r>
    </w:p>
    <w:p>
      <w:pPr>
        <w:spacing w:after="0" w:line="318" w:lineRule="exact"/>
        <w:rPr>
          <w:sz w:val="24"/>
          <w:szCs w:val="24"/>
          <w:color w:val="auto"/>
        </w:rPr>
      </w:pPr>
    </w:p>
    <w:p>
      <w:pPr>
        <w:sectPr>
          <w:pgSz w:w="11900" w:h="16838" w:orient="portrait"/>
          <w:cols w:equalWidth="0" w:num="3">
            <w:col w:w="3180" w:space="720"/>
            <w:col w:w="3220" w:space="60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8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VERO BEACH  FL</w:t>
            </w:r>
          </w:p>
        </w:tc>
        <w:tc>
          <w:tcPr>
            <w:tcW w:w="98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32963</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6"/>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200" w:type="dxa"/>
            <w:vAlign w:val="bottom"/>
            <w:gridSpan w:val="3"/>
          </w:tcPr>
          <w:p>
            <w:pPr>
              <w:ind w:left="1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10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1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200" w:type="dxa"/>
            <w:vAlign w:val="bottom"/>
            <w:tcBorders>
              <w:bottom w:val="single" w:sz="8" w:color="2C2C2C"/>
            </w:tcBorders>
            <w:gridSpan w:val="3"/>
          </w:tcPr>
          <w:p>
            <w:pPr>
              <w:jc w:val="right"/>
              <w:ind w:right="120"/>
              <w:spacing w:after="0"/>
              <w:rPr>
                <w:sz w:val="20"/>
                <w:szCs w:val="20"/>
                <w:color w:val="auto"/>
              </w:rPr>
            </w:pPr>
            <w:r>
              <w:rPr>
                <w:rFonts w:ascii="Times New Roman" w:cs="Times New Roman" w:eastAsia="Times New Roman" w:hAnsi="Times New Roman"/>
                <w:sz w:val="17"/>
                <w:szCs w:val="17"/>
                <w:color w:val="0000FF"/>
              </w:rPr>
              <w:t>05/21/2026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1,500</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6,859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200" w:type="dxa"/>
            <w:vAlign w:val="bottom"/>
            <w:tcBorders>
              <w:bottom w:val="single" w:sz="8" w:color="2C2C2C"/>
            </w:tcBorders>
            <w:gridSpan w:val="3"/>
          </w:tcPr>
          <w:p>
            <w:pPr>
              <w:jc w:val="right"/>
              <w:ind w:right="120"/>
              <w:spacing w:after="0"/>
              <w:rPr>
                <w:sz w:val="20"/>
                <w:szCs w:val="20"/>
                <w:color w:val="auto"/>
              </w:rPr>
            </w:pPr>
            <w:r>
              <w:rPr>
                <w:rFonts w:ascii="Times New Roman" w:cs="Times New Roman" w:eastAsia="Times New Roman" w:hAnsi="Times New Roman"/>
                <w:sz w:val="17"/>
                <w:szCs w:val="17"/>
                <w:color w:val="0000FF"/>
              </w:rPr>
              <w:t>05/21/2026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389</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16.47</w:t>
            </w:r>
          </w:p>
        </w:tc>
        <w:tc>
          <w:tcPr>
            <w:tcW w:w="12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6,470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6"/>
          </w:tcPr>
          <w:p>
            <w:pPr>
              <w:jc w:val="center"/>
              <w:ind w:left="7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60" w:type="dxa"/>
            <w:vAlign w:val="bottom"/>
            <w:gridSpan w:val="12"/>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05/21/2026</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1,500</w:t>
            </w:r>
          </w:p>
        </w:tc>
        <w:tc>
          <w:tcPr>
            <w:tcW w:w="76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1,500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22,500</w:t>
            </w:r>
          </w:p>
        </w:tc>
        <w:tc>
          <w:tcPr>
            <w:tcW w:w="260" w:type="dxa"/>
            <w:vAlign w:val="bottom"/>
          </w:tcPr>
          <w:p>
            <w:pPr>
              <w:spacing w:after="0"/>
              <w:rPr>
                <w:sz w:val="15"/>
                <w:szCs w:val="15"/>
                <w:color w:val="auto"/>
              </w:rPr>
            </w:pP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4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21, 2026, the reporting person elected to convert 1,111 of the 1,500 shares of vested phantom stock into 1,111 shares of ARMOUR common stock. The reporting person elected to convert the remaining 389 shares of vested phantom stock into cash solely to pay income taxes on the vested stock. The 1,500 shares are part of, and relate to, phantom stock vesting over a five-year period, which was reported on a Form 4 report filed by the reporting person on April 30, 2025.</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of phantom stock is the economic equivalent of one share of ARMOUR common stock.</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Desmond Macauley</w:t>
            </w:r>
          </w:p>
        </w:tc>
        <w:tc>
          <w:tcPr>
            <w:tcW w:w="6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05/26/2026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6620" TargetMode="External"/><Relationship Id="rId14" Type="http://schemas.openxmlformats.org/officeDocument/2006/relationships/hyperlink" Target="http://www.sec.gov/cgi-bin/browse-edgar?action=getcompany&amp;CIK=00014282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2026-05-26T15:53:22Z</dcterms:created>
  <dcterms:modified xsi:type="dcterms:W3CDTF">2026-05-26T15:53:22Z</dcterms:modified>
</cp:coreProperties>
</file>